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522"/>
        <w:jc w:val="both"/>
        <w:rPr>
          <w:b/>
          <w:szCs w:val="21"/>
        </w:rPr>
      </w:pPr>
      <w:bookmarkStart w:id="0" w:name="_Hlk47516151"/>
      <w:bookmarkEnd w:id="0"/>
    </w:p>
    <w:p>
      <w:pPr>
        <w:ind w:firstLine="522"/>
        <w:jc w:val="both"/>
        <w:rPr>
          <w:b/>
          <w:szCs w:val="21"/>
        </w:rPr>
      </w:pPr>
    </w:p>
    <w:p>
      <w:pPr>
        <w:spacing w:line="360" w:lineRule="auto"/>
        <w:ind w:firstLine="0" w:firstLineChars="0"/>
        <w:jc w:val="center"/>
        <w:rPr>
          <w:b/>
          <w:bCs/>
          <w:sz w:val="40"/>
          <w:szCs w:val="36"/>
          <w:lang w:bidi="en-US"/>
        </w:rPr>
      </w:pPr>
      <w:bookmarkStart w:id="1" w:name="_Toc7173539"/>
      <w:bookmarkStart w:id="2" w:name="_Toc4157687"/>
      <w:bookmarkStart w:id="3" w:name="_Toc518915479"/>
      <w:bookmarkStart w:id="4" w:name="_Toc4662303"/>
      <w:bookmarkStart w:id="5" w:name="_Toc49761351"/>
      <w:bookmarkStart w:id="6" w:name="_Toc521537506"/>
      <w:bookmarkStart w:id="7" w:name="_Toc515476990"/>
      <w:bookmarkStart w:id="8" w:name="_Toc10644635"/>
      <w:bookmarkStart w:id="9" w:name="_Toc49952159"/>
      <w:bookmarkStart w:id="10" w:name="_Toc527332922"/>
      <w:bookmarkStart w:id="11" w:name="_Toc514161539"/>
      <w:bookmarkStart w:id="12" w:name="_Toc4662492"/>
      <w:bookmarkStart w:id="13" w:name="_Toc4689176"/>
      <w:bookmarkStart w:id="14" w:name="_Toc521071792"/>
      <w:r>
        <w:rPr>
          <w:b/>
          <w:bCs/>
          <w:sz w:val="40"/>
          <w:szCs w:val="36"/>
          <w:lang w:bidi="en-US"/>
        </w:rPr>
        <w:t>重庆峰磊矿业有限公司建筑石料用灰岩矿扩建工程</w:t>
      </w:r>
    </w:p>
    <w:bookmarkEnd w:id="1"/>
    <w:bookmarkEnd w:id="2"/>
    <w:bookmarkEnd w:id="3"/>
    <w:bookmarkEnd w:id="4"/>
    <w:bookmarkEnd w:id="5"/>
    <w:bookmarkEnd w:id="6"/>
    <w:bookmarkEnd w:id="7"/>
    <w:bookmarkEnd w:id="8"/>
    <w:bookmarkEnd w:id="9"/>
    <w:bookmarkEnd w:id="10"/>
    <w:bookmarkEnd w:id="11"/>
    <w:bookmarkEnd w:id="12"/>
    <w:bookmarkEnd w:id="13"/>
    <w:bookmarkEnd w:id="14"/>
    <w:p>
      <w:pPr>
        <w:spacing w:line="360" w:lineRule="auto"/>
        <w:ind w:firstLine="195" w:firstLineChars="27"/>
        <w:jc w:val="center"/>
        <w:rPr>
          <w:b/>
          <w:sz w:val="72"/>
          <w:szCs w:val="84"/>
        </w:rPr>
      </w:pPr>
      <w:bookmarkStart w:id="15" w:name="_Toc518915481"/>
      <w:bookmarkStart w:id="16" w:name="_Toc4662494"/>
      <w:bookmarkStart w:id="17" w:name="_Toc7173541"/>
      <w:bookmarkStart w:id="18" w:name="_Toc75531471"/>
      <w:bookmarkStart w:id="19" w:name="_Toc514161541"/>
      <w:bookmarkStart w:id="20" w:name="_Toc49761353"/>
      <w:bookmarkStart w:id="21" w:name="_Toc512685014"/>
      <w:bookmarkStart w:id="22" w:name="_Toc10644637"/>
      <w:bookmarkStart w:id="23" w:name="_Toc512696829"/>
      <w:bookmarkStart w:id="24" w:name="_Toc4157689"/>
      <w:bookmarkStart w:id="25" w:name="_Toc521071794"/>
      <w:bookmarkStart w:id="26" w:name="_Toc49952161"/>
      <w:bookmarkStart w:id="27" w:name="_Toc527332924"/>
      <w:bookmarkStart w:id="28" w:name="_Toc4662305"/>
      <w:bookmarkStart w:id="29" w:name="_Toc4689178"/>
      <w:bookmarkStart w:id="30" w:name="_Toc515476992"/>
      <w:bookmarkStart w:id="31" w:name="_Toc521537508"/>
      <w:bookmarkStart w:id="32" w:name="_Toc87867465"/>
      <w:bookmarkStart w:id="33" w:name="_Toc87461625"/>
      <w:r>
        <w:rPr>
          <w:b/>
          <w:sz w:val="72"/>
          <w:szCs w:val="84"/>
        </w:rPr>
        <w:t>环境影响报告书</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Start w:id="34" w:name="_Toc512696830"/>
      <w:bookmarkStart w:id="35" w:name="_Toc515476993"/>
      <w:bookmarkStart w:id="36" w:name="_Toc4157690"/>
      <w:bookmarkStart w:id="37" w:name="_Toc512685015"/>
      <w:bookmarkStart w:id="38" w:name="_Toc75531472"/>
      <w:bookmarkStart w:id="39" w:name="_Toc87461626"/>
      <w:bookmarkStart w:id="40" w:name="_Toc527332925"/>
      <w:bookmarkStart w:id="41" w:name="_Toc4662306"/>
      <w:bookmarkStart w:id="42" w:name="_Toc514161542"/>
      <w:bookmarkStart w:id="43" w:name="_Toc87867466"/>
      <w:bookmarkStart w:id="44" w:name="_Toc10644638"/>
      <w:bookmarkStart w:id="45" w:name="_Toc49761354"/>
      <w:bookmarkStart w:id="46" w:name="_Toc521537509"/>
      <w:bookmarkStart w:id="47" w:name="_Toc49952162"/>
      <w:bookmarkStart w:id="48" w:name="_Toc4662495"/>
      <w:bookmarkStart w:id="49" w:name="_Toc7173542"/>
      <w:bookmarkStart w:id="50" w:name="_Toc521071795"/>
      <w:bookmarkStart w:id="51" w:name="_Toc518915482"/>
      <w:bookmarkStart w:id="52" w:name="_Toc4689179"/>
    </w:p>
    <w:p>
      <w:pPr>
        <w:spacing w:line="360" w:lineRule="auto"/>
        <w:ind w:firstLine="119" w:firstLineChars="27"/>
        <w:jc w:val="center"/>
        <w:rPr>
          <w:b/>
          <w:sz w:val="72"/>
          <w:szCs w:val="84"/>
        </w:rPr>
      </w:pPr>
      <w:r>
        <w:rPr>
          <w:b/>
          <w:bCs/>
          <w:sz w:val="44"/>
          <w:szCs w:val="36"/>
        </w:rPr>
        <w:t>（</w:t>
      </w:r>
      <w:r>
        <w:rPr>
          <w:rFonts w:hint="eastAsia"/>
          <w:b/>
          <w:bCs/>
          <w:sz w:val="44"/>
          <w:szCs w:val="36"/>
        </w:rPr>
        <w:t>公示</w:t>
      </w:r>
      <w:r>
        <w:rPr>
          <w:b/>
          <w:bCs/>
          <w:sz w:val="44"/>
          <w:szCs w:val="36"/>
        </w:rPr>
        <w:t>版）</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ind w:firstLine="520"/>
        <w:jc w:val="both"/>
        <w:rPr>
          <w:szCs w:val="24"/>
        </w:rPr>
      </w:pPr>
    </w:p>
    <w:p>
      <w:pPr>
        <w:spacing w:line="600" w:lineRule="exact"/>
        <w:ind w:firstLine="0" w:firstLineChars="0"/>
        <w:jc w:val="center"/>
        <w:rPr>
          <w:b/>
          <w:bCs/>
          <w:sz w:val="36"/>
          <w:szCs w:val="36"/>
        </w:rPr>
      </w:pPr>
      <w:r>
        <w:rPr>
          <w:b/>
          <w:bCs/>
          <w:sz w:val="36"/>
          <w:szCs w:val="36"/>
        </w:rPr>
        <w:t>建设单位：重庆峰磊矿业有限公司</w:t>
      </w:r>
    </w:p>
    <w:p>
      <w:pPr>
        <w:spacing w:line="600" w:lineRule="exact"/>
        <w:ind w:firstLine="0" w:firstLineChars="0"/>
        <w:jc w:val="center"/>
        <w:rPr>
          <w:b/>
          <w:bCs/>
          <w:sz w:val="36"/>
          <w:szCs w:val="36"/>
        </w:rPr>
      </w:pPr>
      <w:r>
        <w:rPr>
          <w:b/>
          <w:bCs/>
          <w:sz w:val="36"/>
          <w:szCs w:val="36"/>
        </w:rPr>
        <w:t>编制单位：重庆浩力环境工程股份有限公司</w:t>
      </w:r>
    </w:p>
    <w:p>
      <w:pPr>
        <w:ind w:left="1420" w:hanging="1420" w:hangingChars="393"/>
        <w:jc w:val="center"/>
        <w:rPr>
          <w:b/>
          <w:sz w:val="36"/>
          <w:szCs w:val="36"/>
        </w:rPr>
      </w:pPr>
      <w:r>
        <w:rPr>
          <w:b/>
          <w:sz w:val="36"/>
          <w:szCs w:val="36"/>
        </w:rPr>
        <w:t>二〇二四年三月</w:t>
      </w:r>
    </w:p>
    <w:p>
      <w:pPr>
        <w:ind w:left="1420" w:hanging="1420" w:hangingChars="393"/>
        <w:jc w:val="center"/>
        <w:rPr>
          <w:b/>
          <w:sz w:val="36"/>
          <w:szCs w:val="36"/>
        </w:rPr>
      </w:pPr>
    </w:p>
    <w:p>
      <w:pPr>
        <w:ind w:left="1022" w:hanging="1021" w:hangingChars="393"/>
        <w:jc w:val="center"/>
        <w:rPr>
          <w:b/>
          <w:sz w:val="36"/>
          <w:szCs w:val="36"/>
        </w:rPr>
      </w:pPr>
      <w:r>
        <w:drawing>
          <wp:anchor distT="0" distB="0" distL="114300" distR="114300" simplePos="0" relativeHeight="251992064" behindDoc="0" locked="0" layoutInCell="1" allowOverlap="1">
            <wp:simplePos x="0" y="0"/>
            <wp:positionH relativeFrom="margin">
              <wp:posOffset>-239395</wp:posOffset>
            </wp:positionH>
            <wp:positionV relativeFrom="paragraph">
              <wp:posOffset>0</wp:posOffset>
            </wp:positionV>
            <wp:extent cx="6192520" cy="8761730"/>
            <wp:effectExtent l="0" t="0" r="0" b="1270"/>
            <wp:wrapTopAndBottom/>
            <wp:docPr id="1568888725" name="图片 1" descr="文本, 信件&#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68888725" name="图片 1" descr="文本, 信件&#10;&#10;描述已自动生成"/>
                    <pic:cNvPicPr>
                      <a:picLocks noChangeAspect="true"/>
                    </pic:cNvPicPr>
                  </pic:nvPicPr>
                  <pic:blipFill>
                    <a:blip r:embed="rId44">
                      <a:extLst>
                        <a:ext uri="{28A0092B-C50C-407E-A947-70E740481C1C}">
                          <a14:useLocalDpi xmlns:a14="http://schemas.microsoft.com/office/drawing/2010/main" val="false"/>
                        </a:ext>
                      </a:extLst>
                    </a:blip>
                    <a:stretch>
                      <a:fillRect/>
                    </a:stretch>
                  </pic:blipFill>
                  <pic:spPr>
                    <a:xfrm>
                      <a:off x="0" y="0"/>
                      <a:ext cx="6196652" cy="8768125"/>
                    </a:xfrm>
                    <a:prstGeom prst="rect">
                      <a:avLst/>
                    </a:prstGeom>
                  </pic:spPr>
                </pic:pic>
              </a:graphicData>
            </a:graphic>
          </wp:anchor>
        </w:drawing>
      </w:r>
    </w:p>
    <w:p>
      <w:pPr>
        <w:ind w:left="1420" w:hanging="1420" w:hangingChars="393"/>
        <w:jc w:val="center"/>
        <w:rPr>
          <w:b/>
          <w:sz w:val="36"/>
          <w:szCs w:val="36"/>
        </w:rPr>
      </w:pPr>
      <w:r>
        <w:rPr>
          <w:b/>
          <w:sz w:val="36"/>
          <w:szCs w:val="36"/>
        </w:rPr>
        <w:drawing>
          <wp:anchor distT="0" distB="0" distL="114300" distR="114300" simplePos="0" relativeHeight="251994112" behindDoc="0" locked="0" layoutInCell="1" allowOverlap="1">
            <wp:simplePos x="0" y="0"/>
            <wp:positionH relativeFrom="margin">
              <wp:posOffset>-163195</wp:posOffset>
            </wp:positionH>
            <wp:positionV relativeFrom="paragraph">
              <wp:posOffset>0</wp:posOffset>
            </wp:positionV>
            <wp:extent cx="6243320" cy="8796020"/>
            <wp:effectExtent l="0" t="0" r="5715" b="5080"/>
            <wp:wrapTopAndBottom/>
            <wp:docPr id="196450217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4502176" name="图片 1"/>
                    <pic:cNvPicPr>
                      <a:picLocks noChangeAspect="true" noChangeArrowheads="true"/>
                    </pic:cNvPicPr>
                  </pic:nvPicPr>
                  <pic:blipFill>
                    <a:blip r:embed="rId45">
                      <a:extLst>
                        <a:ext uri="{28A0092B-C50C-407E-A947-70E740481C1C}">
                          <a14:useLocalDpi xmlns:a14="http://schemas.microsoft.com/office/drawing/2010/main" val="false"/>
                        </a:ext>
                      </a:extLst>
                    </a:blip>
                    <a:srcRect/>
                    <a:stretch>
                      <a:fillRect/>
                    </a:stretch>
                  </pic:blipFill>
                  <pic:spPr>
                    <a:xfrm>
                      <a:off x="0" y="0"/>
                      <a:ext cx="6245298" cy="8798909"/>
                    </a:xfrm>
                    <a:prstGeom prst="rect">
                      <a:avLst/>
                    </a:prstGeom>
                    <a:noFill/>
                    <a:ln>
                      <a:noFill/>
                    </a:ln>
                  </pic:spPr>
                </pic:pic>
              </a:graphicData>
            </a:graphic>
          </wp:anchor>
        </w:drawing>
      </w: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ind w:left="1420" w:hanging="1420" w:hangingChars="393"/>
        <w:jc w:val="center"/>
        <w:rPr>
          <w:b/>
          <w:sz w:val="36"/>
          <w:szCs w:val="36"/>
        </w:rPr>
      </w:pPr>
    </w:p>
    <w:p>
      <w:pPr>
        <w:pStyle w:val="3"/>
        <w:numPr>
          <w:ilvl w:val="0"/>
          <w:numId w:val="0"/>
        </w:numPr>
        <w:spacing w:beforeLines="0" w:afterLines="0" w:line="360" w:lineRule="auto"/>
        <w:rPr>
          <w:sz w:val="24"/>
          <w:szCs w:val="24"/>
        </w:rPr>
      </w:pPr>
      <w:bookmarkStart w:id="53" w:name="_Toc159751045"/>
      <w:bookmarkStart w:id="54" w:name="_Toc159430178"/>
      <w:bookmarkStart w:id="55" w:name="_Toc7173545"/>
      <w:bookmarkStart w:id="56" w:name="_Toc49761355"/>
      <w:bookmarkStart w:id="57" w:name="_Toc87867467"/>
      <w:bookmarkStart w:id="58" w:name="_Toc161676075"/>
      <w:bookmarkStart w:id="59" w:name="_Toc87461627"/>
      <w:bookmarkStart w:id="60" w:name="_Toc160916682"/>
      <w:bookmarkStart w:id="61" w:name="_Toc4662307"/>
      <w:bookmarkStart w:id="62" w:name="_Toc4662496"/>
      <w:bookmarkStart w:id="63" w:name="_Toc4689180"/>
      <w:bookmarkStart w:id="64" w:name="_Toc49952163"/>
      <w:bookmarkStart w:id="65" w:name="_Toc75531473"/>
      <w:bookmarkStart w:id="66" w:name="_Toc10644641"/>
      <w:bookmarkStart w:id="67" w:name="_Toc159944100"/>
      <w:r>
        <w:t>目     录</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Pr>
          <w:sz w:val="24"/>
          <w:szCs w:val="24"/>
        </w:rPr>
        <w:fldChar w:fldCharType="begin"/>
      </w:r>
      <w:r>
        <w:rPr>
          <w:sz w:val="24"/>
          <w:szCs w:val="24"/>
        </w:rPr>
        <w:instrText xml:space="preserve"> TOC \o "1-2" \u </w:instrText>
      </w:r>
      <w:r>
        <w:rPr>
          <w:sz w:val="24"/>
          <w:szCs w:val="24"/>
        </w:rPr>
        <w:fldChar w:fldCharType="separate"/>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概  述</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_Toc161676076 \h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（一）建设项目特点</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_Toc161676077 \h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（二）环境影响评价工作过程</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_Toc161676078 \h </w:instrText>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（三）分析相关判定情况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_Toc161676079 \h </w:instrText>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（四）关注的主要环境问题及环境影响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_Toc161676080 \h </w:instrText>
      </w:r>
      <w:r>
        <w:rPr>
          <w:rFonts w:ascii="Times New Roman" w:hAnsi="Times New Roman" w:cs="Times New Roman"/>
          <w:sz w:val="24"/>
          <w:szCs w:val="24"/>
        </w:rPr>
        <w:fldChar w:fldCharType="separate"/>
      </w:r>
      <w:r>
        <w:rPr>
          <w:rFonts w:ascii="Times New Roman" w:hAnsi="Times New Roman" w:cs="Times New Roman"/>
          <w:sz w:val="24"/>
          <w:szCs w:val="24"/>
        </w:rPr>
        <w:t>3</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（五）环境影响评价的主要结论</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_Toc161676081 \h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1总则</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_Toc161676082 \h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1.1评价目的</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_Toc161676083 \h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1.2编制依据</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_Toc161676084 \h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1.3评价原则、总体构思</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_Toc161676085 \h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1.4评环境影响识别及评价因子筛选</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_Toc161676086 \h </w:instrText>
      </w:r>
      <w:r>
        <w:rPr>
          <w:rFonts w:ascii="Times New Roman" w:hAnsi="Times New Roman" w:cs="Times New Roman"/>
          <w:sz w:val="24"/>
          <w:szCs w:val="24"/>
        </w:rPr>
        <w:fldChar w:fldCharType="separate"/>
      </w:r>
      <w:r>
        <w:rPr>
          <w:rFonts w:ascii="Times New Roman" w:hAnsi="Times New Roman" w:cs="Times New Roman"/>
          <w:sz w:val="24"/>
          <w:szCs w:val="24"/>
        </w:rPr>
        <w:t>12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1.5环境功能区及评价标准</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_Toc161676087 \h </w:instrText>
      </w:r>
      <w:r>
        <w:rPr>
          <w:rFonts w:ascii="Times New Roman" w:hAnsi="Times New Roman" w:cs="Times New Roman"/>
          <w:sz w:val="24"/>
          <w:szCs w:val="24"/>
        </w:rPr>
        <w:fldChar w:fldCharType="separate"/>
      </w:r>
      <w:r>
        <w:rPr>
          <w:rFonts w:ascii="Times New Roman" w:hAnsi="Times New Roman" w:cs="Times New Roman"/>
          <w:sz w:val="24"/>
          <w:szCs w:val="24"/>
        </w:rPr>
        <w:t>14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1.6评价等级及评价范围</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_Toc161676088 \h </w:instrText>
      </w:r>
      <w:r>
        <w:rPr>
          <w:rFonts w:ascii="Times New Roman" w:hAnsi="Times New Roman" w:cs="Times New Roman"/>
          <w:sz w:val="24"/>
          <w:szCs w:val="24"/>
        </w:rPr>
        <w:fldChar w:fldCharType="separate"/>
      </w:r>
      <w:r>
        <w:rPr>
          <w:rFonts w:ascii="Times New Roman" w:hAnsi="Times New Roman" w:cs="Times New Roman"/>
          <w:sz w:val="24"/>
          <w:szCs w:val="24"/>
        </w:rPr>
        <w:t>17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1.7环境保护目标</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_Toc161676089 \h </w:instrText>
      </w:r>
      <w:r>
        <w:rPr>
          <w:rFonts w:ascii="Times New Roman" w:hAnsi="Times New Roman" w:cs="Times New Roman"/>
          <w:sz w:val="24"/>
          <w:szCs w:val="24"/>
        </w:rPr>
        <w:fldChar w:fldCharType="separate"/>
      </w:r>
      <w:r>
        <w:rPr>
          <w:rFonts w:ascii="Times New Roman" w:hAnsi="Times New Roman" w:cs="Times New Roman"/>
          <w:sz w:val="24"/>
          <w:szCs w:val="24"/>
        </w:rPr>
        <w:t>25</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1.8产业政策符合性分析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_Toc161676090 \h </w:instrText>
      </w:r>
      <w:r>
        <w:rPr>
          <w:rFonts w:ascii="Times New Roman" w:hAnsi="Times New Roman" w:cs="Times New Roman"/>
          <w:sz w:val="24"/>
          <w:szCs w:val="24"/>
        </w:rPr>
        <w:fldChar w:fldCharType="separate"/>
      </w:r>
      <w:r>
        <w:rPr>
          <w:rFonts w:ascii="Times New Roman" w:hAnsi="Times New Roman" w:cs="Times New Roman"/>
          <w:sz w:val="24"/>
          <w:szCs w:val="24"/>
        </w:rPr>
        <w:t>30</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1.9生态环境政策符合性分析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_Toc161676091 \h </w:instrText>
      </w:r>
      <w:r>
        <w:rPr>
          <w:rFonts w:ascii="Times New Roman" w:hAnsi="Times New Roman" w:cs="Times New Roman"/>
          <w:sz w:val="24"/>
          <w:szCs w:val="24"/>
        </w:rPr>
        <w:fldChar w:fldCharType="separate"/>
      </w:r>
      <w:r>
        <w:rPr>
          <w:rFonts w:ascii="Times New Roman" w:hAnsi="Times New Roman" w:cs="Times New Roman"/>
          <w:sz w:val="24"/>
          <w:szCs w:val="24"/>
        </w:rPr>
        <w:t>31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1.10规划符合性分析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_Toc161676092 \h </w:instrText>
      </w:r>
      <w:r>
        <w:rPr>
          <w:rFonts w:ascii="Times New Roman" w:hAnsi="Times New Roman" w:cs="Times New Roman"/>
          <w:sz w:val="24"/>
          <w:szCs w:val="24"/>
        </w:rPr>
        <w:fldChar w:fldCharType="separate"/>
      </w:r>
      <w:r>
        <w:rPr>
          <w:rFonts w:ascii="Times New Roman" w:hAnsi="Times New Roman" w:cs="Times New Roman"/>
          <w:sz w:val="24"/>
          <w:szCs w:val="24"/>
        </w:rPr>
        <w:t>41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1.11与“三线一单”符合性分析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_Toc161676093 \h </w:instrText>
      </w:r>
      <w:r>
        <w:rPr>
          <w:rFonts w:ascii="Times New Roman" w:hAnsi="Times New Roman" w:cs="Times New Roman"/>
          <w:sz w:val="24"/>
          <w:szCs w:val="24"/>
        </w:rPr>
        <w:fldChar w:fldCharType="separate"/>
      </w:r>
      <w:r>
        <w:rPr>
          <w:rFonts w:ascii="Times New Roman" w:hAnsi="Times New Roman" w:cs="Times New Roman"/>
          <w:sz w:val="24"/>
          <w:szCs w:val="24"/>
        </w:rPr>
        <w:t>53</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1.12选址合理性分析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_Toc161676094 \h </w:instrText>
      </w:r>
      <w:r>
        <w:rPr>
          <w:rFonts w:ascii="Times New Roman" w:hAnsi="Times New Roman" w:cs="Times New Roman"/>
          <w:sz w:val="24"/>
          <w:szCs w:val="24"/>
        </w:rPr>
        <w:fldChar w:fldCharType="separate"/>
      </w:r>
      <w:r>
        <w:rPr>
          <w:rFonts w:ascii="Times New Roman" w:hAnsi="Times New Roman" w:cs="Times New Roman"/>
          <w:sz w:val="24"/>
          <w:szCs w:val="24"/>
        </w:rPr>
        <w:t>58</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2现有工程概况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_Toc161676095 \h </w:instrText>
      </w:r>
      <w:r>
        <w:rPr>
          <w:rFonts w:ascii="Times New Roman" w:hAnsi="Times New Roman" w:cs="Times New Roman"/>
          <w:sz w:val="24"/>
          <w:szCs w:val="24"/>
        </w:rPr>
        <w:fldChar w:fldCharType="separate"/>
      </w:r>
      <w:r>
        <w:rPr>
          <w:rFonts w:ascii="Times New Roman" w:hAnsi="Times New Roman" w:cs="Times New Roman"/>
          <w:sz w:val="24"/>
          <w:szCs w:val="24"/>
        </w:rPr>
        <w:t>60</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2.1矿山开采回顾调查</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_Toc161676096 \h </w:instrText>
      </w:r>
      <w:r>
        <w:rPr>
          <w:rFonts w:ascii="Times New Roman" w:hAnsi="Times New Roman" w:cs="Times New Roman"/>
          <w:sz w:val="24"/>
          <w:szCs w:val="24"/>
        </w:rPr>
        <w:fldChar w:fldCharType="separate"/>
      </w:r>
      <w:r>
        <w:rPr>
          <w:rFonts w:ascii="Times New Roman" w:hAnsi="Times New Roman" w:cs="Times New Roman"/>
          <w:sz w:val="24"/>
          <w:szCs w:val="24"/>
        </w:rPr>
        <w:t>60</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2.2环保手续</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_Toc161676097 \h </w:instrText>
      </w:r>
      <w:r>
        <w:rPr>
          <w:rFonts w:ascii="Times New Roman" w:hAnsi="Times New Roman" w:cs="Times New Roman"/>
          <w:sz w:val="24"/>
          <w:szCs w:val="24"/>
        </w:rPr>
        <w:fldChar w:fldCharType="separate"/>
      </w:r>
      <w:r>
        <w:rPr>
          <w:rFonts w:ascii="Times New Roman" w:hAnsi="Times New Roman" w:cs="Times New Roman"/>
          <w:sz w:val="24"/>
          <w:szCs w:val="24"/>
        </w:rPr>
        <w:t>61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2.3现有项目概况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_Toc161676098 \h </w:instrText>
      </w:r>
      <w:r>
        <w:rPr>
          <w:rFonts w:ascii="Times New Roman" w:hAnsi="Times New Roman" w:cs="Times New Roman"/>
          <w:sz w:val="24"/>
          <w:szCs w:val="24"/>
        </w:rPr>
        <w:fldChar w:fldCharType="separate"/>
      </w:r>
      <w:r>
        <w:rPr>
          <w:rFonts w:ascii="Times New Roman" w:hAnsi="Times New Roman" w:cs="Times New Roman"/>
          <w:sz w:val="24"/>
          <w:szCs w:val="24"/>
        </w:rPr>
        <w:t>61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2.4存在的环境问题及“以新带老”措施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_Toc161676099 \h </w:instrText>
      </w:r>
      <w:r>
        <w:rPr>
          <w:rFonts w:ascii="Times New Roman" w:hAnsi="Times New Roman" w:cs="Times New Roman"/>
          <w:sz w:val="24"/>
          <w:szCs w:val="24"/>
        </w:rPr>
        <w:fldChar w:fldCharType="separate"/>
      </w:r>
      <w:r>
        <w:rPr>
          <w:rFonts w:ascii="Times New Roman" w:hAnsi="Times New Roman" w:cs="Times New Roman"/>
          <w:sz w:val="24"/>
          <w:szCs w:val="24"/>
        </w:rPr>
        <w:t>67</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3建设项目工程分析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_Toc161676100 \h </w:instrText>
      </w:r>
      <w:r>
        <w:rPr>
          <w:rFonts w:ascii="Times New Roman" w:hAnsi="Times New Roman" w:cs="Times New Roman"/>
          <w:sz w:val="24"/>
          <w:szCs w:val="24"/>
        </w:rPr>
        <w:fldChar w:fldCharType="separate"/>
      </w:r>
      <w:r>
        <w:rPr>
          <w:rFonts w:ascii="Times New Roman" w:hAnsi="Times New Roman" w:cs="Times New Roman"/>
          <w:sz w:val="24"/>
          <w:szCs w:val="24"/>
        </w:rPr>
        <w:t>69</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3.1建设项目概况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_Toc161676101 \h </w:instrText>
      </w:r>
      <w:r>
        <w:rPr>
          <w:rFonts w:ascii="Times New Roman" w:hAnsi="Times New Roman" w:cs="Times New Roman"/>
          <w:sz w:val="24"/>
          <w:szCs w:val="24"/>
        </w:rPr>
        <w:fldChar w:fldCharType="separate"/>
      </w:r>
      <w:r>
        <w:rPr>
          <w:rFonts w:ascii="Times New Roman" w:hAnsi="Times New Roman" w:cs="Times New Roman"/>
          <w:sz w:val="24"/>
          <w:szCs w:val="24"/>
        </w:rPr>
        <w:t>69</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3.2项目工艺流程分析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_Toc161676102 \h </w:instrText>
      </w:r>
      <w:r>
        <w:rPr>
          <w:rFonts w:ascii="Times New Roman" w:hAnsi="Times New Roman" w:cs="Times New Roman"/>
          <w:sz w:val="24"/>
          <w:szCs w:val="24"/>
        </w:rPr>
        <w:fldChar w:fldCharType="separate"/>
      </w:r>
      <w:r>
        <w:rPr>
          <w:rFonts w:ascii="Times New Roman" w:hAnsi="Times New Roman" w:cs="Times New Roman"/>
          <w:sz w:val="24"/>
          <w:szCs w:val="24"/>
        </w:rPr>
        <w:t>81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3.3污染源源强核算</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_Toc161676103 \h </w:instrText>
      </w:r>
      <w:r>
        <w:rPr>
          <w:rFonts w:ascii="Times New Roman" w:hAnsi="Times New Roman" w:cs="Times New Roman"/>
          <w:sz w:val="24"/>
          <w:szCs w:val="24"/>
        </w:rPr>
        <w:fldChar w:fldCharType="separate"/>
      </w:r>
      <w:r>
        <w:rPr>
          <w:rFonts w:ascii="Times New Roman" w:hAnsi="Times New Roman" w:cs="Times New Roman"/>
          <w:sz w:val="24"/>
          <w:szCs w:val="24"/>
        </w:rPr>
        <w:t>84</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4环境现状调查与评价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_Toc161676104 \h </w:instrText>
      </w:r>
      <w:r>
        <w:rPr>
          <w:rFonts w:ascii="Times New Roman" w:hAnsi="Times New Roman" w:cs="Times New Roman"/>
          <w:sz w:val="24"/>
          <w:szCs w:val="24"/>
        </w:rPr>
        <w:fldChar w:fldCharType="separate"/>
      </w:r>
      <w:r>
        <w:rPr>
          <w:rFonts w:ascii="Times New Roman" w:hAnsi="Times New Roman" w:cs="Times New Roman"/>
          <w:sz w:val="24"/>
          <w:szCs w:val="24"/>
        </w:rPr>
        <w:t>101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4.1自然环境概况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_Toc161676105 \h </w:instrText>
      </w:r>
      <w:r>
        <w:rPr>
          <w:rFonts w:ascii="Times New Roman" w:hAnsi="Times New Roman" w:cs="Times New Roman"/>
          <w:sz w:val="24"/>
          <w:szCs w:val="24"/>
        </w:rPr>
        <w:fldChar w:fldCharType="separate"/>
      </w:r>
      <w:r>
        <w:rPr>
          <w:rFonts w:ascii="Times New Roman" w:hAnsi="Times New Roman" w:cs="Times New Roman"/>
          <w:sz w:val="24"/>
          <w:szCs w:val="24"/>
        </w:rPr>
        <w:t>101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4.2生态环境现状调查与评价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_Toc161676106 \h </w:instrText>
      </w:r>
      <w:r>
        <w:rPr>
          <w:rFonts w:ascii="Times New Roman" w:hAnsi="Times New Roman" w:cs="Times New Roman"/>
          <w:sz w:val="24"/>
          <w:szCs w:val="24"/>
        </w:rPr>
        <w:fldChar w:fldCharType="separate"/>
      </w:r>
      <w:r>
        <w:rPr>
          <w:rFonts w:ascii="Times New Roman" w:hAnsi="Times New Roman" w:cs="Times New Roman"/>
          <w:sz w:val="24"/>
          <w:szCs w:val="24"/>
        </w:rPr>
        <w:t>107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4.3环境质量现状调查与评价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_Toc161676107 \h </w:instrText>
      </w:r>
      <w:r>
        <w:rPr>
          <w:rFonts w:ascii="Times New Roman" w:hAnsi="Times New Roman" w:cs="Times New Roman"/>
          <w:sz w:val="24"/>
          <w:szCs w:val="24"/>
        </w:rPr>
        <w:fldChar w:fldCharType="separate"/>
      </w:r>
      <w:r>
        <w:rPr>
          <w:rFonts w:ascii="Times New Roman" w:hAnsi="Times New Roman" w:cs="Times New Roman"/>
          <w:sz w:val="24"/>
          <w:szCs w:val="24"/>
        </w:rPr>
        <w:t>130</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5生态环境影响评价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_Toc161676108 \h </w:instrText>
      </w:r>
      <w:r>
        <w:rPr>
          <w:rFonts w:ascii="Times New Roman" w:hAnsi="Times New Roman" w:cs="Times New Roman"/>
          <w:sz w:val="24"/>
          <w:szCs w:val="24"/>
        </w:rPr>
        <w:fldChar w:fldCharType="separate"/>
      </w:r>
      <w:r>
        <w:rPr>
          <w:rFonts w:ascii="Times New Roman" w:hAnsi="Times New Roman" w:cs="Times New Roman"/>
          <w:sz w:val="24"/>
          <w:szCs w:val="24"/>
        </w:rPr>
        <w:t>134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5.1对土地利用的影响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_Toc161676109 \h </w:instrText>
      </w:r>
      <w:r>
        <w:rPr>
          <w:rFonts w:ascii="Times New Roman" w:hAnsi="Times New Roman" w:cs="Times New Roman"/>
          <w:sz w:val="24"/>
          <w:szCs w:val="24"/>
        </w:rPr>
        <w:fldChar w:fldCharType="separate"/>
      </w:r>
      <w:r>
        <w:rPr>
          <w:rFonts w:ascii="Times New Roman" w:hAnsi="Times New Roman" w:cs="Times New Roman"/>
          <w:sz w:val="24"/>
          <w:szCs w:val="24"/>
        </w:rPr>
        <w:t>134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5.2对动植物的影响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_Toc161676110 \h </w:instrText>
      </w:r>
      <w:r>
        <w:rPr>
          <w:rFonts w:ascii="Times New Roman" w:hAnsi="Times New Roman" w:cs="Times New Roman"/>
          <w:sz w:val="24"/>
          <w:szCs w:val="24"/>
        </w:rPr>
        <w:fldChar w:fldCharType="separate"/>
      </w:r>
      <w:r>
        <w:rPr>
          <w:rFonts w:ascii="Times New Roman" w:hAnsi="Times New Roman" w:cs="Times New Roman"/>
          <w:sz w:val="24"/>
          <w:szCs w:val="24"/>
        </w:rPr>
        <w:t>134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5.3视觉景观影响分析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_Toc161676111 \h </w:instrText>
      </w:r>
      <w:r>
        <w:rPr>
          <w:rFonts w:ascii="Times New Roman" w:hAnsi="Times New Roman" w:cs="Times New Roman"/>
          <w:sz w:val="24"/>
          <w:szCs w:val="24"/>
        </w:rPr>
        <w:fldChar w:fldCharType="separate"/>
      </w:r>
      <w:r>
        <w:rPr>
          <w:rFonts w:ascii="Times New Roman" w:hAnsi="Times New Roman" w:cs="Times New Roman"/>
          <w:sz w:val="24"/>
          <w:szCs w:val="24"/>
        </w:rPr>
        <w:t>137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5.4对生态环境保护目标影响分析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_Toc161676112 \h </w:instrText>
      </w:r>
      <w:r>
        <w:rPr>
          <w:rFonts w:ascii="Times New Roman" w:hAnsi="Times New Roman" w:cs="Times New Roman"/>
          <w:sz w:val="24"/>
          <w:szCs w:val="24"/>
        </w:rPr>
        <w:fldChar w:fldCharType="separate"/>
      </w:r>
      <w:r>
        <w:rPr>
          <w:rFonts w:ascii="Times New Roman" w:hAnsi="Times New Roman" w:cs="Times New Roman"/>
          <w:sz w:val="24"/>
          <w:szCs w:val="24"/>
        </w:rPr>
        <w:t>138</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5.5绿色矿山建设</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_Toc161676113 \h </w:instrText>
      </w:r>
      <w:r>
        <w:rPr>
          <w:rFonts w:ascii="Times New Roman" w:hAnsi="Times New Roman" w:cs="Times New Roman"/>
          <w:sz w:val="24"/>
          <w:szCs w:val="24"/>
        </w:rPr>
        <w:fldChar w:fldCharType="separate"/>
      </w:r>
      <w:r>
        <w:rPr>
          <w:rFonts w:ascii="Times New Roman" w:hAnsi="Times New Roman" w:cs="Times New Roman"/>
          <w:sz w:val="24"/>
          <w:szCs w:val="24"/>
        </w:rPr>
        <w:t>140</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5.6生态影响评价结论</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_Toc161676114 \h </w:instrText>
      </w:r>
      <w:r>
        <w:rPr>
          <w:rFonts w:ascii="Times New Roman" w:hAnsi="Times New Roman" w:cs="Times New Roman"/>
          <w:sz w:val="24"/>
          <w:szCs w:val="24"/>
        </w:rPr>
        <w:fldChar w:fldCharType="separate"/>
      </w:r>
      <w:r>
        <w:rPr>
          <w:rFonts w:ascii="Times New Roman" w:hAnsi="Times New Roman" w:cs="Times New Roman"/>
          <w:sz w:val="24"/>
          <w:szCs w:val="24"/>
        </w:rPr>
        <w:t>142</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6环境影响预测与评价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_Toc161676115 \h </w:instrText>
      </w:r>
      <w:r>
        <w:rPr>
          <w:rFonts w:ascii="Times New Roman" w:hAnsi="Times New Roman" w:cs="Times New Roman"/>
          <w:sz w:val="24"/>
          <w:szCs w:val="24"/>
        </w:rPr>
        <w:fldChar w:fldCharType="separate"/>
      </w:r>
      <w:r>
        <w:rPr>
          <w:rFonts w:ascii="Times New Roman" w:hAnsi="Times New Roman" w:cs="Times New Roman"/>
          <w:sz w:val="24"/>
          <w:szCs w:val="24"/>
        </w:rPr>
        <w:t>143</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6.1建设期环境影响分析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_Toc161676116 \h </w:instrText>
      </w:r>
      <w:r>
        <w:rPr>
          <w:rFonts w:ascii="Times New Roman" w:hAnsi="Times New Roman" w:cs="Times New Roman"/>
          <w:sz w:val="24"/>
          <w:szCs w:val="24"/>
        </w:rPr>
        <w:fldChar w:fldCharType="separate"/>
      </w:r>
      <w:r>
        <w:rPr>
          <w:rFonts w:ascii="Times New Roman" w:hAnsi="Times New Roman" w:cs="Times New Roman"/>
          <w:sz w:val="24"/>
          <w:szCs w:val="24"/>
        </w:rPr>
        <w:t>143</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6.2开采期环境影响预测与评价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_Toc161676117 \h </w:instrText>
      </w:r>
      <w:r>
        <w:rPr>
          <w:rFonts w:ascii="Times New Roman" w:hAnsi="Times New Roman" w:cs="Times New Roman"/>
          <w:sz w:val="24"/>
          <w:szCs w:val="24"/>
        </w:rPr>
        <w:fldChar w:fldCharType="separate"/>
      </w:r>
      <w:r>
        <w:rPr>
          <w:rFonts w:ascii="Times New Roman" w:hAnsi="Times New Roman" w:cs="Times New Roman"/>
          <w:sz w:val="24"/>
          <w:szCs w:val="24"/>
        </w:rPr>
        <w:t>144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6.3闭矿期环境影响分析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_Toc161676118 \h </w:instrText>
      </w:r>
      <w:r>
        <w:rPr>
          <w:rFonts w:ascii="Times New Roman" w:hAnsi="Times New Roman" w:cs="Times New Roman"/>
          <w:sz w:val="24"/>
          <w:szCs w:val="24"/>
        </w:rPr>
        <w:fldChar w:fldCharType="separate"/>
      </w:r>
      <w:r>
        <w:rPr>
          <w:rFonts w:ascii="Times New Roman" w:hAnsi="Times New Roman" w:cs="Times New Roman"/>
          <w:sz w:val="24"/>
          <w:szCs w:val="24"/>
        </w:rPr>
        <w:t>172</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7环境风险评价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_Toc161676119 \h </w:instrText>
      </w:r>
      <w:r>
        <w:rPr>
          <w:rFonts w:ascii="Times New Roman" w:hAnsi="Times New Roman" w:cs="Times New Roman"/>
          <w:sz w:val="24"/>
          <w:szCs w:val="24"/>
        </w:rPr>
        <w:fldChar w:fldCharType="separate"/>
      </w:r>
      <w:r>
        <w:rPr>
          <w:rFonts w:ascii="Times New Roman" w:hAnsi="Times New Roman" w:cs="Times New Roman"/>
          <w:sz w:val="24"/>
          <w:szCs w:val="24"/>
        </w:rPr>
        <w:t>174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7.1评价依据</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_Toc161676120 \h </w:instrText>
      </w:r>
      <w:r>
        <w:rPr>
          <w:rFonts w:ascii="Times New Roman" w:hAnsi="Times New Roman" w:cs="Times New Roman"/>
          <w:sz w:val="24"/>
          <w:szCs w:val="24"/>
        </w:rPr>
        <w:fldChar w:fldCharType="separate"/>
      </w:r>
      <w:r>
        <w:rPr>
          <w:rFonts w:ascii="Times New Roman" w:hAnsi="Times New Roman" w:cs="Times New Roman"/>
          <w:sz w:val="24"/>
          <w:szCs w:val="24"/>
        </w:rPr>
        <w:t>174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7.2环境敏感目标概况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_Toc161676121 \h </w:instrText>
      </w:r>
      <w:r>
        <w:rPr>
          <w:rFonts w:ascii="Times New Roman" w:hAnsi="Times New Roman" w:cs="Times New Roman"/>
          <w:sz w:val="24"/>
          <w:szCs w:val="24"/>
        </w:rPr>
        <w:fldChar w:fldCharType="separate"/>
      </w:r>
      <w:r>
        <w:rPr>
          <w:rFonts w:ascii="Times New Roman" w:hAnsi="Times New Roman" w:cs="Times New Roman"/>
          <w:sz w:val="24"/>
          <w:szCs w:val="24"/>
        </w:rPr>
        <w:t>176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7.3环境风险识别</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_Toc161676122 \h </w:instrText>
      </w:r>
      <w:r>
        <w:rPr>
          <w:rFonts w:ascii="Times New Roman" w:hAnsi="Times New Roman" w:cs="Times New Roman"/>
          <w:sz w:val="24"/>
          <w:szCs w:val="24"/>
        </w:rPr>
        <w:fldChar w:fldCharType="separate"/>
      </w:r>
      <w:r>
        <w:rPr>
          <w:rFonts w:ascii="Times New Roman" w:hAnsi="Times New Roman" w:cs="Times New Roman"/>
          <w:sz w:val="24"/>
          <w:szCs w:val="24"/>
        </w:rPr>
        <w:t>176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7.4环境风险分析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_Toc161676123 \h </w:instrText>
      </w:r>
      <w:r>
        <w:rPr>
          <w:rFonts w:ascii="Times New Roman" w:hAnsi="Times New Roman" w:cs="Times New Roman"/>
          <w:sz w:val="24"/>
          <w:szCs w:val="24"/>
        </w:rPr>
        <w:fldChar w:fldCharType="separate"/>
      </w:r>
      <w:r>
        <w:rPr>
          <w:rFonts w:ascii="Times New Roman" w:hAnsi="Times New Roman" w:cs="Times New Roman"/>
          <w:sz w:val="24"/>
          <w:szCs w:val="24"/>
        </w:rPr>
        <w:t>177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7.5环境风险防范措施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_Toc161676124 \h </w:instrText>
      </w:r>
      <w:r>
        <w:rPr>
          <w:rFonts w:ascii="Times New Roman" w:hAnsi="Times New Roman" w:cs="Times New Roman"/>
          <w:sz w:val="24"/>
          <w:szCs w:val="24"/>
        </w:rPr>
        <w:fldChar w:fldCharType="separate"/>
      </w:r>
      <w:r>
        <w:rPr>
          <w:rFonts w:ascii="Times New Roman" w:hAnsi="Times New Roman" w:cs="Times New Roman"/>
          <w:sz w:val="24"/>
          <w:szCs w:val="24"/>
        </w:rPr>
        <w:t>178</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7.6分析结论</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_Toc161676125 \h </w:instrText>
      </w:r>
      <w:r>
        <w:rPr>
          <w:rFonts w:ascii="Times New Roman" w:hAnsi="Times New Roman" w:cs="Times New Roman"/>
          <w:sz w:val="24"/>
          <w:szCs w:val="24"/>
        </w:rPr>
        <w:fldChar w:fldCharType="separate"/>
      </w:r>
      <w:r>
        <w:rPr>
          <w:rFonts w:ascii="Times New Roman" w:hAnsi="Times New Roman" w:cs="Times New Roman"/>
          <w:sz w:val="24"/>
          <w:szCs w:val="24"/>
        </w:rPr>
        <w:t>178</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8环境保护措施及其可行性论证</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_Toc161676126 \h </w:instrText>
      </w:r>
      <w:r>
        <w:rPr>
          <w:rFonts w:ascii="Times New Roman" w:hAnsi="Times New Roman" w:cs="Times New Roman"/>
          <w:sz w:val="24"/>
          <w:szCs w:val="24"/>
        </w:rPr>
        <w:fldChar w:fldCharType="separate"/>
      </w:r>
      <w:r>
        <w:rPr>
          <w:rFonts w:ascii="Times New Roman" w:hAnsi="Times New Roman" w:cs="Times New Roman"/>
          <w:sz w:val="24"/>
          <w:szCs w:val="24"/>
        </w:rPr>
        <w:t>180</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8.1生态环境保护及恢复措施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_Toc161676127 \h </w:instrText>
      </w:r>
      <w:r>
        <w:rPr>
          <w:rFonts w:ascii="Times New Roman" w:hAnsi="Times New Roman" w:cs="Times New Roman"/>
          <w:sz w:val="24"/>
          <w:szCs w:val="24"/>
        </w:rPr>
        <w:fldChar w:fldCharType="separate"/>
      </w:r>
      <w:r>
        <w:rPr>
          <w:rFonts w:ascii="Times New Roman" w:hAnsi="Times New Roman" w:cs="Times New Roman"/>
          <w:sz w:val="24"/>
          <w:szCs w:val="24"/>
        </w:rPr>
        <w:t>180</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8.2建设期环境保护措施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_Toc161676128 \h </w:instrText>
      </w:r>
      <w:r>
        <w:rPr>
          <w:rFonts w:ascii="Times New Roman" w:hAnsi="Times New Roman" w:cs="Times New Roman"/>
          <w:sz w:val="24"/>
          <w:szCs w:val="24"/>
        </w:rPr>
        <w:fldChar w:fldCharType="separate"/>
      </w:r>
      <w:r>
        <w:rPr>
          <w:rFonts w:ascii="Times New Roman" w:hAnsi="Times New Roman" w:cs="Times New Roman"/>
          <w:sz w:val="24"/>
          <w:szCs w:val="24"/>
        </w:rPr>
        <w:t>181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8.3开采期环境保护措施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_Toc161676129 \h </w:instrText>
      </w:r>
      <w:r>
        <w:rPr>
          <w:rFonts w:ascii="Times New Roman" w:hAnsi="Times New Roman" w:cs="Times New Roman"/>
          <w:sz w:val="24"/>
          <w:szCs w:val="24"/>
        </w:rPr>
        <w:fldChar w:fldCharType="separate"/>
      </w:r>
      <w:r>
        <w:rPr>
          <w:rFonts w:ascii="Times New Roman" w:hAnsi="Times New Roman" w:cs="Times New Roman"/>
          <w:sz w:val="24"/>
          <w:szCs w:val="24"/>
        </w:rPr>
        <w:t>182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8.4闭矿期环境污染防治措施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_Toc161676130 \h </w:instrText>
      </w:r>
      <w:r>
        <w:rPr>
          <w:rFonts w:ascii="Times New Roman" w:hAnsi="Times New Roman" w:cs="Times New Roman"/>
          <w:sz w:val="24"/>
          <w:szCs w:val="24"/>
        </w:rPr>
        <w:fldChar w:fldCharType="separate"/>
      </w:r>
      <w:r>
        <w:rPr>
          <w:rFonts w:ascii="Times New Roman" w:hAnsi="Times New Roman" w:cs="Times New Roman"/>
          <w:sz w:val="24"/>
          <w:szCs w:val="24"/>
        </w:rPr>
        <w:t>188</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8.5环保投资估算</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_Toc161676131 \h </w:instrText>
      </w:r>
      <w:r>
        <w:rPr>
          <w:rFonts w:ascii="Times New Roman" w:hAnsi="Times New Roman" w:cs="Times New Roman"/>
          <w:sz w:val="24"/>
          <w:szCs w:val="24"/>
        </w:rPr>
        <w:fldChar w:fldCharType="separate"/>
      </w:r>
      <w:r>
        <w:rPr>
          <w:rFonts w:ascii="Times New Roman" w:hAnsi="Times New Roman" w:cs="Times New Roman"/>
          <w:sz w:val="24"/>
          <w:szCs w:val="24"/>
        </w:rPr>
        <w:t>189</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9环境影响经济损益分析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_Toc161676132 \h </w:instrText>
      </w:r>
      <w:r>
        <w:rPr>
          <w:rFonts w:ascii="Times New Roman" w:hAnsi="Times New Roman" w:cs="Times New Roman"/>
          <w:sz w:val="24"/>
          <w:szCs w:val="24"/>
        </w:rPr>
        <w:fldChar w:fldCharType="separate"/>
      </w:r>
      <w:r>
        <w:rPr>
          <w:rFonts w:ascii="Times New Roman" w:hAnsi="Times New Roman" w:cs="Times New Roman"/>
          <w:sz w:val="24"/>
          <w:szCs w:val="24"/>
        </w:rPr>
        <w:t>192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9.1环境保护投资估算</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_Toc161676133 \h </w:instrText>
      </w:r>
      <w:r>
        <w:rPr>
          <w:rFonts w:ascii="Times New Roman" w:hAnsi="Times New Roman" w:cs="Times New Roman"/>
          <w:sz w:val="24"/>
          <w:szCs w:val="24"/>
        </w:rPr>
        <w:fldChar w:fldCharType="separate"/>
      </w:r>
      <w:r>
        <w:rPr>
          <w:rFonts w:ascii="Times New Roman" w:hAnsi="Times New Roman" w:cs="Times New Roman"/>
          <w:sz w:val="24"/>
          <w:szCs w:val="24"/>
        </w:rPr>
        <w:t>192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9.2环境效益分析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_Toc161676134 \h </w:instrText>
      </w:r>
      <w:r>
        <w:rPr>
          <w:rFonts w:ascii="Times New Roman" w:hAnsi="Times New Roman" w:cs="Times New Roman"/>
          <w:sz w:val="24"/>
          <w:szCs w:val="24"/>
        </w:rPr>
        <w:fldChar w:fldCharType="separate"/>
      </w:r>
      <w:r>
        <w:rPr>
          <w:rFonts w:ascii="Times New Roman" w:hAnsi="Times New Roman" w:cs="Times New Roman"/>
          <w:sz w:val="24"/>
          <w:szCs w:val="24"/>
        </w:rPr>
        <w:t>192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9.3经济效益分析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_Toc161676135 \h </w:instrText>
      </w:r>
      <w:r>
        <w:rPr>
          <w:rFonts w:ascii="Times New Roman" w:hAnsi="Times New Roman" w:cs="Times New Roman"/>
          <w:sz w:val="24"/>
          <w:szCs w:val="24"/>
        </w:rPr>
        <w:fldChar w:fldCharType="separate"/>
      </w:r>
      <w:r>
        <w:rPr>
          <w:rFonts w:ascii="Times New Roman" w:hAnsi="Times New Roman" w:cs="Times New Roman"/>
          <w:sz w:val="24"/>
          <w:szCs w:val="24"/>
        </w:rPr>
        <w:t>193</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10环境管理与监测计划</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_Toc161676136 \h </w:instrText>
      </w:r>
      <w:r>
        <w:rPr>
          <w:rFonts w:ascii="Times New Roman" w:hAnsi="Times New Roman" w:cs="Times New Roman"/>
          <w:sz w:val="24"/>
          <w:szCs w:val="24"/>
        </w:rPr>
        <w:fldChar w:fldCharType="separate"/>
      </w:r>
      <w:r>
        <w:rPr>
          <w:rFonts w:ascii="Times New Roman" w:hAnsi="Times New Roman" w:cs="Times New Roman"/>
          <w:sz w:val="24"/>
          <w:szCs w:val="24"/>
        </w:rPr>
        <w:t>194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10.1环境管理</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_Toc161676137 \h </w:instrText>
      </w:r>
      <w:r>
        <w:rPr>
          <w:rFonts w:ascii="Times New Roman" w:hAnsi="Times New Roman" w:cs="Times New Roman"/>
          <w:sz w:val="24"/>
          <w:szCs w:val="24"/>
        </w:rPr>
        <w:fldChar w:fldCharType="separate"/>
      </w:r>
      <w:r>
        <w:rPr>
          <w:rFonts w:ascii="Times New Roman" w:hAnsi="Times New Roman" w:cs="Times New Roman"/>
          <w:sz w:val="24"/>
          <w:szCs w:val="24"/>
        </w:rPr>
        <w:t>194</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10.2排污口规范化管理</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_Toc161676138 \h </w:instrText>
      </w:r>
      <w:r>
        <w:rPr>
          <w:rFonts w:ascii="Times New Roman" w:hAnsi="Times New Roman" w:cs="Times New Roman"/>
          <w:sz w:val="24"/>
          <w:szCs w:val="24"/>
        </w:rPr>
        <w:fldChar w:fldCharType="separate"/>
      </w:r>
      <w:r>
        <w:rPr>
          <w:rFonts w:ascii="Times New Roman" w:hAnsi="Times New Roman" w:cs="Times New Roman"/>
          <w:sz w:val="24"/>
          <w:szCs w:val="24"/>
        </w:rPr>
        <w:t>195</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10.3环境信息公开</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_Toc161676139 \h </w:instrText>
      </w:r>
      <w:r>
        <w:rPr>
          <w:rFonts w:ascii="Times New Roman" w:hAnsi="Times New Roman" w:cs="Times New Roman"/>
          <w:sz w:val="24"/>
          <w:szCs w:val="24"/>
        </w:rPr>
        <w:fldChar w:fldCharType="separate"/>
      </w:r>
      <w:r>
        <w:rPr>
          <w:rFonts w:ascii="Times New Roman" w:hAnsi="Times New Roman" w:cs="Times New Roman"/>
          <w:sz w:val="24"/>
          <w:szCs w:val="24"/>
        </w:rPr>
        <w:t>195</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10.4环境监测计划</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_Toc161676140 \h </w:instrText>
      </w:r>
      <w:r>
        <w:rPr>
          <w:rFonts w:ascii="Times New Roman" w:hAnsi="Times New Roman" w:cs="Times New Roman"/>
          <w:sz w:val="24"/>
          <w:szCs w:val="24"/>
        </w:rPr>
        <w:fldChar w:fldCharType="separate"/>
      </w:r>
      <w:r>
        <w:rPr>
          <w:rFonts w:ascii="Times New Roman" w:hAnsi="Times New Roman" w:cs="Times New Roman"/>
          <w:sz w:val="24"/>
          <w:szCs w:val="24"/>
        </w:rPr>
        <w:t>196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10.5竣工环境保护验收调查内容</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_Toc161676141 \h </w:instrText>
      </w:r>
      <w:r>
        <w:rPr>
          <w:rFonts w:ascii="Times New Roman" w:hAnsi="Times New Roman" w:cs="Times New Roman"/>
          <w:sz w:val="24"/>
          <w:szCs w:val="24"/>
        </w:rPr>
        <w:fldChar w:fldCharType="separate"/>
      </w:r>
      <w:r>
        <w:rPr>
          <w:rFonts w:ascii="Times New Roman" w:hAnsi="Times New Roman" w:cs="Times New Roman"/>
          <w:sz w:val="24"/>
          <w:szCs w:val="24"/>
        </w:rPr>
        <w:t>196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10.6污染源排放清单</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_Toc161676142 \h </w:instrText>
      </w:r>
      <w:r>
        <w:rPr>
          <w:rFonts w:ascii="Times New Roman" w:hAnsi="Times New Roman" w:cs="Times New Roman"/>
          <w:sz w:val="24"/>
          <w:szCs w:val="24"/>
        </w:rPr>
        <w:fldChar w:fldCharType="separate"/>
      </w:r>
      <w:r>
        <w:rPr>
          <w:rFonts w:ascii="Times New Roman" w:hAnsi="Times New Roman" w:cs="Times New Roman"/>
          <w:sz w:val="24"/>
          <w:szCs w:val="24"/>
        </w:rPr>
        <w:t>201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10.7总量控制</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_Toc161676143 \h </w:instrText>
      </w:r>
      <w:r>
        <w:rPr>
          <w:rFonts w:ascii="Times New Roman" w:hAnsi="Times New Roman" w:cs="Times New Roman"/>
          <w:sz w:val="24"/>
          <w:szCs w:val="24"/>
        </w:rPr>
        <w:fldChar w:fldCharType="separate"/>
      </w:r>
      <w:r>
        <w:rPr>
          <w:rFonts w:ascii="Times New Roman" w:hAnsi="Times New Roman" w:cs="Times New Roman"/>
          <w:sz w:val="24"/>
          <w:szCs w:val="24"/>
        </w:rPr>
        <w:t>205</w:t>
      </w:r>
      <w:r>
        <w:rPr>
          <w:rFonts w:ascii="Times New Roman" w:hAnsi="Times New Roman" w:cs="Times New Roman"/>
          <w:sz w:val="24"/>
          <w:szCs w:val="24"/>
        </w:rPr>
        <w:fldChar w:fldCharType="end"/>
      </w:r>
    </w:p>
    <w:p>
      <w:pPr>
        <w:pStyle w:val="59"/>
        <w:tabs>
          <w:tab w:val="right" w:leader="dot" w:pos="9061"/>
        </w:tabs>
        <w:spacing w:before="0" w:after="0" w:line="360" w:lineRule="auto"/>
        <w:ind w:firstLine="482"/>
        <w:rPr>
          <w:rFonts w:ascii="Times New Roman" w:hAnsi="Times New Roman" w:cs="Times New Roman"/>
          <w:b w:val="0"/>
          <w:bCs w:val="0"/>
          <w:caps w:val="0"/>
          <w:sz w:val="24"/>
          <w:szCs w:val="24"/>
        </w:rPr>
      </w:pPr>
      <w:r>
        <w:rPr>
          <w:rFonts w:ascii="Times New Roman" w:hAnsi="Times New Roman" w:cs="Times New Roman"/>
          <w:sz w:val="24"/>
          <w:szCs w:val="24"/>
        </w:rPr>
        <w:t>11环境影响评价结论</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_Toc161676144 \h </w:instrText>
      </w:r>
      <w:r>
        <w:rPr>
          <w:rFonts w:ascii="Times New Roman" w:hAnsi="Times New Roman" w:cs="Times New Roman"/>
          <w:sz w:val="24"/>
          <w:szCs w:val="24"/>
        </w:rPr>
        <w:fldChar w:fldCharType="separate"/>
      </w:r>
      <w:r>
        <w:rPr>
          <w:rFonts w:ascii="Times New Roman" w:hAnsi="Times New Roman" w:cs="Times New Roman"/>
          <w:sz w:val="24"/>
          <w:szCs w:val="24"/>
        </w:rPr>
        <w:t>206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11.1项目概况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_Toc161676145 \h </w:instrText>
      </w:r>
      <w:r>
        <w:rPr>
          <w:rFonts w:ascii="Times New Roman" w:hAnsi="Times New Roman" w:cs="Times New Roman"/>
          <w:sz w:val="24"/>
          <w:szCs w:val="24"/>
        </w:rPr>
        <w:fldChar w:fldCharType="separate"/>
      </w:r>
      <w:r>
        <w:rPr>
          <w:rFonts w:ascii="Times New Roman" w:hAnsi="Times New Roman" w:cs="Times New Roman"/>
          <w:sz w:val="24"/>
          <w:szCs w:val="24"/>
        </w:rPr>
        <w:t>206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11.2项目区域环境概况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_Toc161676146 \h </w:instrText>
      </w:r>
      <w:r>
        <w:rPr>
          <w:rFonts w:ascii="Times New Roman" w:hAnsi="Times New Roman" w:cs="Times New Roman"/>
          <w:sz w:val="24"/>
          <w:szCs w:val="24"/>
        </w:rPr>
        <w:fldChar w:fldCharType="separate"/>
      </w:r>
      <w:r>
        <w:rPr>
          <w:rFonts w:ascii="Times New Roman" w:hAnsi="Times New Roman" w:cs="Times New Roman"/>
          <w:sz w:val="24"/>
          <w:szCs w:val="24"/>
        </w:rPr>
        <w:t>206</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11.3项目相关政策、规划符合性</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_Toc161676147 \h </w:instrText>
      </w:r>
      <w:r>
        <w:rPr>
          <w:rFonts w:ascii="Times New Roman" w:hAnsi="Times New Roman" w:cs="Times New Roman"/>
          <w:sz w:val="24"/>
          <w:szCs w:val="24"/>
        </w:rPr>
        <w:fldChar w:fldCharType="separate"/>
      </w:r>
      <w:r>
        <w:rPr>
          <w:rFonts w:ascii="Times New Roman" w:hAnsi="Times New Roman" w:cs="Times New Roman"/>
          <w:sz w:val="24"/>
          <w:szCs w:val="24"/>
        </w:rPr>
        <w:t>207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11.4项目选址合理性</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_Toc161676148 \h </w:instrText>
      </w:r>
      <w:r>
        <w:rPr>
          <w:rFonts w:ascii="Times New Roman" w:hAnsi="Times New Roman" w:cs="Times New Roman"/>
          <w:sz w:val="24"/>
          <w:szCs w:val="24"/>
        </w:rPr>
        <w:fldChar w:fldCharType="separate"/>
      </w:r>
      <w:r>
        <w:rPr>
          <w:rFonts w:ascii="Times New Roman" w:hAnsi="Times New Roman" w:cs="Times New Roman"/>
          <w:sz w:val="24"/>
          <w:szCs w:val="24"/>
        </w:rPr>
        <w:t>207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11.5环境影响及环境保护措施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_Toc161676149 \h </w:instrText>
      </w:r>
      <w:r>
        <w:rPr>
          <w:rFonts w:ascii="Times New Roman" w:hAnsi="Times New Roman" w:cs="Times New Roman"/>
          <w:sz w:val="24"/>
          <w:szCs w:val="24"/>
        </w:rPr>
        <w:fldChar w:fldCharType="separate"/>
      </w:r>
      <w:r>
        <w:rPr>
          <w:rFonts w:ascii="Times New Roman" w:hAnsi="Times New Roman" w:cs="Times New Roman"/>
          <w:sz w:val="24"/>
          <w:szCs w:val="24"/>
        </w:rPr>
        <w:t>207</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11.6总量控制</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_Toc161676150 \h </w:instrText>
      </w:r>
      <w:r>
        <w:rPr>
          <w:rFonts w:ascii="Times New Roman" w:hAnsi="Times New Roman" w:cs="Times New Roman"/>
          <w:sz w:val="24"/>
          <w:szCs w:val="24"/>
        </w:rPr>
        <w:fldChar w:fldCharType="separate"/>
      </w:r>
      <w:r>
        <w:rPr>
          <w:rFonts w:ascii="Times New Roman" w:hAnsi="Times New Roman" w:cs="Times New Roman"/>
          <w:sz w:val="24"/>
          <w:szCs w:val="24"/>
        </w:rPr>
        <w:t>211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11.7环境影响经济损益分析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_Toc161676151 \h </w:instrText>
      </w:r>
      <w:r>
        <w:rPr>
          <w:rFonts w:ascii="Times New Roman" w:hAnsi="Times New Roman" w:cs="Times New Roman"/>
          <w:sz w:val="24"/>
          <w:szCs w:val="24"/>
        </w:rPr>
        <w:fldChar w:fldCharType="separate"/>
      </w:r>
      <w:r>
        <w:rPr>
          <w:rFonts w:ascii="Times New Roman" w:hAnsi="Times New Roman" w:cs="Times New Roman"/>
          <w:sz w:val="24"/>
          <w:szCs w:val="24"/>
        </w:rPr>
        <w:t>211</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11.8环境管理与监测计划</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_Toc161676152 \h </w:instrText>
      </w:r>
      <w:r>
        <w:rPr>
          <w:rFonts w:ascii="Times New Roman" w:hAnsi="Times New Roman" w:cs="Times New Roman"/>
          <w:sz w:val="24"/>
          <w:szCs w:val="24"/>
        </w:rPr>
        <w:fldChar w:fldCharType="separate"/>
      </w:r>
      <w:r>
        <w:rPr>
          <w:rFonts w:ascii="Times New Roman" w:hAnsi="Times New Roman" w:cs="Times New Roman"/>
          <w:sz w:val="24"/>
          <w:szCs w:val="24"/>
        </w:rPr>
        <w:t>212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11.9公众意见采纳情况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_Toc161676153 \h </w:instrText>
      </w:r>
      <w:r>
        <w:rPr>
          <w:rFonts w:ascii="Times New Roman" w:hAnsi="Times New Roman" w:cs="Times New Roman"/>
          <w:sz w:val="24"/>
          <w:szCs w:val="24"/>
        </w:rPr>
        <w:fldChar w:fldCharType="separate"/>
      </w:r>
      <w:r>
        <w:rPr>
          <w:rFonts w:ascii="Times New Roman" w:hAnsi="Times New Roman" w:cs="Times New Roman"/>
          <w:sz w:val="24"/>
          <w:szCs w:val="24"/>
        </w:rPr>
        <w:t>212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11.10综合结论</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_Toc161676154 \h </w:instrText>
      </w:r>
      <w:r>
        <w:rPr>
          <w:rFonts w:ascii="Times New Roman" w:hAnsi="Times New Roman" w:cs="Times New Roman"/>
          <w:sz w:val="24"/>
          <w:szCs w:val="24"/>
        </w:rPr>
        <w:fldChar w:fldCharType="separate"/>
      </w:r>
      <w:r>
        <w:rPr>
          <w:rFonts w:ascii="Times New Roman" w:hAnsi="Times New Roman" w:cs="Times New Roman"/>
          <w:sz w:val="24"/>
          <w:szCs w:val="24"/>
        </w:rPr>
        <w:t>212</w:t>
      </w:r>
      <w:r>
        <w:rPr>
          <w:rFonts w:ascii="Times New Roman" w:hAnsi="Times New Roman" w:cs="Times New Roman"/>
          <w:sz w:val="24"/>
          <w:szCs w:val="24"/>
        </w:rPr>
        <w:fldChar w:fldCharType="end"/>
      </w:r>
    </w:p>
    <w:p>
      <w:pPr>
        <w:pStyle w:val="74"/>
        <w:tabs>
          <w:tab w:val="right" w:leader="dot" w:pos="9061"/>
        </w:tabs>
        <w:spacing w:line="360" w:lineRule="auto"/>
        <w:ind w:firstLine="480"/>
        <w:rPr>
          <w:rFonts w:ascii="Times New Roman" w:hAnsi="Times New Roman" w:cs="Times New Roman"/>
          <w:smallCaps w:val="0"/>
          <w:sz w:val="24"/>
          <w:szCs w:val="24"/>
        </w:rPr>
      </w:pPr>
      <w:r>
        <w:rPr>
          <w:rFonts w:ascii="Times New Roman" w:hAnsi="Times New Roman" w:cs="Times New Roman"/>
          <w:sz w:val="24"/>
          <w:szCs w:val="24"/>
        </w:rPr>
        <w:t>11.11建议</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_Toc161676155 \h </w:instrText>
      </w:r>
      <w:r>
        <w:rPr>
          <w:rFonts w:ascii="Times New Roman" w:hAnsi="Times New Roman" w:cs="Times New Roman"/>
          <w:sz w:val="24"/>
          <w:szCs w:val="24"/>
        </w:rPr>
        <w:fldChar w:fldCharType="separate"/>
      </w:r>
      <w:r>
        <w:rPr>
          <w:rFonts w:ascii="Times New Roman" w:hAnsi="Times New Roman" w:cs="Times New Roman"/>
          <w:sz w:val="24"/>
          <w:szCs w:val="24"/>
        </w:rPr>
        <w:t>212</w:t>
      </w:r>
      <w:r>
        <w:rPr>
          <w:rFonts w:ascii="Times New Roman" w:hAnsi="Times New Roman" w:cs="Times New Roman"/>
          <w:sz w:val="24"/>
          <w:szCs w:val="24"/>
        </w:rPr>
        <w:fldChar w:fldCharType="end"/>
      </w:r>
    </w:p>
    <w:p>
      <w:pPr>
        <w:ind w:left="520" w:firstLine="0" w:firstLineChars="0"/>
        <w:sectPr>
          <w:headerReference r:id="rId7" w:type="first"/>
          <w:footerReference r:id="rId10" w:type="first"/>
          <w:headerReference r:id="rId5" w:type="default"/>
          <w:footerReference r:id="rId8" w:type="default"/>
          <w:headerReference r:id="rId6" w:type="even"/>
          <w:footerReference r:id="rId9" w:type="even"/>
          <w:pgSz w:w="11907" w:h="16840"/>
          <w:pgMar w:top="1588" w:right="1418" w:bottom="1366" w:left="1418" w:header="851" w:footer="992" w:gutter="0"/>
          <w:pgNumType w:fmt="upperRoman" w:start="1"/>
          <w:cols w:space="425" w:num="1"/>
          <w:docGrid w:linePitch="354" w:charSpace="0"/>
        </w:sectPr>
      </w:pPr>
      <w:r>
        <w:fldChar w:fldCharType="end"/>
      </w:r>
    </w:p>
    <w:p>
      <w:pPr>
        <w:ind w:firstLine="482"/>
        <w:rPr>
          <w:b/>
          <w:sz w:val="24"/>
          <w:szCs w:val="24"/>
        </w:rPr>
      </w:pPr>
      <w:bookmarkStart w:id="68" w:name="_Toc159751126"/>
      <w:bookmarkStart w:id="69" w:name="_Toc500407878"/>
      <w:bookmarkStart w:id="70" w:name="_Toc514741898"/>
      <w:r>
        <w:rPr>
          <w:b/>
          <w:sz w:val="24"/>
          <w:szCs w:val="24"/>
        </w:rPr>
        <w:t>附图</w:t>
      </w:r>
      <w:bookmarkEnd w:id="68"/>
      <w:bookmarkEnd w:id="69"/>
    </w:p>
    <w:p>
      <w:pPr>
        <w:ind w:left="520" w:firstLine="0" w:firstLineChars="0"/>
        <w:rPr>
          <w:sz w:val="24"/>
          <w:szCs w:val="24"/>
        </w:rPr>
      </w:pPr>
      <w:bookmarkStart w:id="71" w:name="_Toc500407880"/>
      <w:r>
        <w:rPr>
          <w:sz w:val="24"/>
          <w:szCs w:val="24"/>
        </w:rPr>
        <w:t>附图1 项目地理位置图</w:t>
      </w:r>
    </w:p>
    <w:p>
      <w:pPr>
        <w:ind w:left="520" w:firstLine="0" w:firstLineChars="0"/>
        <w:rPr>
          <w:sz w:val="24"/>
          <w:szCs w:val="24"/>
        </w:rPr>
      </w:pPr>
      <w:r>
        <w:rPr>
          <w:sz w:val="24"/>
          <w:szCs w:val="24"/>
        </w:rPr>
        <w:t>附图2采矿区、工业场地平面布置及环保设施分布图</w:t>
      </w:r>
    </w:p>
    <w:p>
      <w:pPr>
        <w:ind w:left="520" w:firstLine="0" w:firstLineChars="0"/>
        <w:rPr>
          <w:sz w:val="24"/>
          <w:szCs w:val="24"/>
        </w:rPr>
      </w:pPr>
      <w:r>
        <w:rPr>
          <w:sz w:val="24"/>
          <w:szCs w:val="24"/>
        </w:rPr>
        <w:t>附图3外环境关系及监测布点图、大气评价范围及主要环境空气保护目标图</w:t>
      </w:r>
    </w:p>
    <w:p>
      <w:pPr>
        <w:ind w:left="520" w:firstLine="0" w:firstLineChars="0"/>
        <w:rPr>
          <w:sz w:val="24"/>
          <w:szCs w:val="24"/>
        </w:rPr>
      </w:pPr>
      <w:r>
        <w:rPr>
          <w:sz w:val="24"/>
          <w:szCs w:val="24"/>
        </w:rPr>
        <w:t>附图4  矿山终了平面图、剖面图、开拓系统示意图、采矿方法示意图、矿山地质环境保护欲土地复垦方案工程部署图</w:t>
      </w:r>
    </w:p>
    <w:p>
      <w:pPr>
        <w:ind w:left="520" w:firstLine="0" w:firstLineChars="0"/>
        <w:rPr>
          <w:sz w:val="24"/>
          <w:szCs w:val="24"/>
        </w:rPr>
      </w:pPr>
      <w:r>
        <w:rPr>
          <w:sz w:val="24"/>
          <w:szCs w:val="24"/>
        </w:rPr>
        <w:t>附图5  地形地质与矿区范围及开采范围及开采现状图、合川区矿产资源开采规划图</w:t>
      </w:r>
    </w:p>
    <w:p>
      <w:pPr>
        <w:ind w:left="520" w:firstLine="0" w:firstLineChars="0"/>
        <w:rPr>
          <w:sz w:val="24"/>
          <w:szCs w:val="24"/>
        </w:rPr>
      </w:pPr>
      <w:r>
        <w:rPr>
          <w:sz w:val="24"/>
          <w:szCs w:val="24"/>
        </w:rPr>
        <w:t>附图6合川区矿产资源开发利用现状与重要环境敏感区关系图、与生态保护红线关系图</w:t>
      </w:r>
    </w:p>
    <w:p>
      <w:pPr>
        <w:ind w:left="520" w:firstLine="0" w:firstLineChars="0"/>
        <w:rPr>
          <w:sz w:val="24"/>
          <w:szCs w:val="24"/>
        </w:rPr>
      </w:pPr>
      <w:r>
        <w:rPr>
          <w:sz w:val="24"/>
          <w:szCs w:val="24"/>
        </w:rPr>
        <w:t>附图7项目与九峰山森林公园位置关系图</w:t>
      </w:r>
    </w:p>
    <w:p>
      <w:pPr>
        <w:ind w:left="520" w:firstLine="0" w:firstLineChars="0"/>
        <w:rPr>
          <w:sz w:val="24"/>
          <w:szCs w:val="24"/>
        </w:rPr>
      </w:pPr>
      <w:r>
        <w:rPr>
          <w:sz w:val="24"/>
          <w:szCs w:val="24"/>
        </w:rPr>
        <w:t>附图8项目与缙云山风景名胜区关系图</w:t>
      </w:r>
    </w:p>
    <w:p>
      <w:pPr>
        <w:ind w:left="520" w:firstLine="0" w:firstLineChars="0"/>
        <w:rPr>
          <w:sz w:val="24"/>
          <w:szCs w:val="24"/>
        </w:rPr>
      </w:pPr>
      <w:r>
        <w:rPr>
          <w:sz w:val="24"/>
          <w:szCs w:val="24"/>
        </w:rPr>
        <w:t>附图9合川区环境空气功能区划示意图</w:t>
      </w:r>
    </w:p>
    <w:p>
      <w:pPr>
        <w:ind w:left="520" w:firstLine="0" w:firstLineChars="0"/>
        <w:rPr>
          <w:sz w:val="24"/>
          <w:szCs w:val="24"/>
        </w:rPr>
      </w:pPr>
      <w:r>
        <w:rPr>
          <w:sz w:val="24"/>
          <w:szCs w:val="24"/>
        </w:rPr>
        <w:t>附图10合川区土地利用现状图</w:t>
      </w:r>
    </w:p>
    <w:p>
      <w:pPr>
        <w:ind w:left="520" w:firstLine="0" w:firstLineChars="0"/>
        <w:rPr>
          <w:sz w:val="24"/>
          <w:szCs w:val="24"/>
        </w:rPr>
      </w:pPr>
      <w:r>
        <w:rPr>
          <w:sz w:val="24"/>
          <w:szCs w:val="24"/>
        </w:rPr>
        <w:t>附图11合川区永久基本农田分布图</w:t>
      </w:r>
    </w:p>
    <w:p>
      <w:pPr>
        <w:ind w:left="520" w:firstLine="0" w:firstLineChars="0"/>
        <w:rPr>
          <w:sz w:val="24"/>
          <w:szCs w:val="24"/>
        </w:rPr>
      </w:pPr>
      <w:r>
        <w:rPr>
          <w:sz w:val="24"/>
          <w:szCs w:val="24"/>
        </w:rPr>
        <w:t>附图12土地利用现状图</w:t>
      </w:r>
    </w:p>
    <w:p>
      <w:pPr>
        <w:ind w:left="520" w:firstLine="0" w:firstLineChars="0"/>
        <w:rPr>
          <w:sz w:val="24"/>
          <w:szCs w:val="24"/>
        </w:rPr>
      </w:pPr>
      <w:r>
        <w:rPr>
          <w:sz w:val="24"/>
          <w:szCs w:val="24"/>
        </w:rPr>
        <w:t>附图13植被类型图</w:t>
      </w:r>
    </w:p>
    <w:p>
      <w:pPr>
        <w:ind w:left="520" w:firstLine="0" w:firstLineChars="0"/>
        <w:rPr>
          <w:sz w:val="24"/>
          <w:szCs w:val="24"/>
        </w:rPr>
      </w:pPr>
      <w:r>
        <w:rPr>
          <w:sz w:val="24"/>
          <w:szCs w:val="24"/>
        </w:rPr>
        <w:t>附图14植被覆盖空间分布图</w:t>
      </w:r>
    </w:p>
    <w:p>
      <w:pPr>
        <w:ind w:left="520" w:firstLine="0" w:firstLineChars="0"/>
        <w:rPr>
          <w:sz w:val="24"/>
          <w:szCs w:val="24"/>
        </w:rPr>
      </w:pPr>
      <w:r>
        <w:rPr>
          <w:sz w:val="24"/>
          <w:szCs w:val="24"/>
        </w:rPr>
        <w:t>附图15生态系统类型图</w:t>
      </w:r>
    </w:p>
    <w:p>
      <w:pPr>
        <w:ind w:left="520" w:firstLine="0" w:firstLineChars="0"/>
        <w:rPr>
          <w:sz w:val="24"/>
          <w:szCs w:val="24"/>
        </w:rPr>
      </w:pPr>
      <w:r>
        <w:rPr>
          <w:sz w:val="24"/>
          <w:szCs w:val="24"/>
        </w:rPr>
        <w:t>附图16现场照片</w:t>
      </w:r>
    </w:p>
    <w:p>
      <w:pPr>
        <w:ind w:left="520" w:firstLine="0" w:firstLineChars="0"/>
        <w:rPr>
          <w:b/>
          <w:sz w:val="24"/>
          <w:szCs w:val="24"/>
        </w:rPr>
      </w:pPr>
      <w:bookmarkStart w:id="72" w:name="_Toc159751128"/>
      <w:r>
        <w:rPr>
          <w:b/>
          <w:sz w:val="24"/>
          <w:szCs w:val="24"/>
        </w:rPr>
        <w:t>附件</w:t>
      </w:r>
      <w:bookmarkEnd w:id="71"/>
      <w:bookmarkEnd w:id="72"/>
    </w:p>
    <w:p>
      <w:pPr>
        <w:ind w:left="520" w:firstLine="0" w:firstLineChars="0"/>
        <w:rPr>
          <w:sz w:val="24"/>
          <w:szCs w:val="24"/>
        </w:rPr>
      </w:pPr>
      <w:r>
        <w:rPr>
          <w:sz w:val="24"/>
          <w:szCs w:val="24"/>
        </w:rPr>
        <w:t>附件1 备案证</w:t>
      </w:r>
    </w:p>
    <w:p>
      <w:pPr>
        <w:ind w:left="520" w:firstLine="0" w:firstLineChars="0"/>
        <w:rPr>
          <w:sz w:val="24"/>
          <w:szCs w:val="24"/>
        </w:rPr>
      </w:pPr>
      <w:r>
        <w:rPr>
          <w:sz w:val="24"/>
          <w:szCs w:val="24"/>
        </w:rPr>
        <w:t>附件2 采矿许可证</w:t>
      </w:r>
    </w:p>
    <w:p>
      <w:pPr>
        <w:ind w:left="520" w:firstLine="0" w:firstLineChars="0"/>
        <w:rPr>
          <w:sz w:val="24"/>
          <w:szCs w:val="24"/>
        </w:rPr>
      </w:pPr>
      <w:r>
        <w:rPr>
          <w:sz w:val="24"/>
          <w:szCs w:val="24"/>
        </w:rPr>
        <w:t>附件3 采矿权出让中标确认书、采矿权出让合同</w:t>
      </w:r>
    </w:p>
    <w:p>
      <w:pPr>
        <w:ind w:left="520" w:firstLine="0" w:firstLineChars="0"/>
        <w:rPr>
          <w:sz w:val="24"/>
          <w:szCs w:val="24"/>
        </w:rPr>
      </w:pPr>
      <w:r>
        <w:rPr>
          <w:sz w:val="24"/>
          <w:szCs w:val="24"/>
        </w:rPr>
        <w:t>附件4 三线一单检测分析报告</w:t>
      </w:r>
    </w:p>
    <w:p>
      <w:pPr>
        <w:ind w:left="520" w:firstLine="0" w:firstLineChars="0"/>
        <w:rPr>
          <w:sz w:val="24"/>
          <w:szCs w:val="24"/>
        </w:rPr>
      </w:pPr>
      <w:r>
        <w:rPr>
          <w:sz w:val="24"/>
          <w:szCs w:val="24"/>
        </w:rPr>
        <w:t>附件5 检测报告</w:t>
      </w:r>
    </w:p>
    <w:p>
      <w:pPr>
        <w:ind w:left="520" w:firstLine="0" w:firstLineChars="0"/>
        <w:rPr>
          <w:sz w:val="24"/>
          <w:szCs w:val="24"/>
        </w:rPr>
      </w:pPr>
      <w:r>
        <w:rPr>
          <w:sz w:val="24"/>
          <w:szCs w:val="24"/>
        </w:rPr>
        <w:t>附件6 原有项目环评批复及排污许可证</w:t>
      </w:r>
    </w:p>
    <w:p>
      <w:pPr>
        <w:ind w:left="520" w:firstLine="0" w:firstLineChars="0"/>
        <w:rPr>
          <w:sz w:val="24"/>
          <w:szCs w:val="24"/>
        </w:rPr>
      </w:pPr>
      <w:r>
        <w:rPr>
          <w:sz w:val="24"/>
          <w:szCs w:val="24"/>
        </w:rPr>
        <w:t>附件7 合川区矿产资源总体规划（2021-2025年）环境影响报告书审查意见的函</w:t>
      </w:r>
    </w:p>
    <w:p>
      <w:pPr>
        <w:ind w:left="520" w:firstLine="0" w:firstLineChars="0"/>
        <w:rPr>
          <w:sz w:val="24"/>
          <w:szCs w:val="24"/>
        </w:rPr>
      </w:pPr>
      <w:r>
        <w:rPr>
          <w:sz w:val="24"/>
          <w:szCs w:val="24"/>
        </w:rPr>
        <w:t>附件8 营业执照及法人身份证</w:t>
      </w:r>
    </w:p>
    <w:p>
      <w:pPr>
        <w:ind w:left="520" w:firstLine="0" w:firstLineChars="0"/>
        <w:rPr>
          <w:b/>
          <w:sz w:val="24"/>
          <w:szCs w:val="24"/>
        </w:rPr>
      </w:pPr>
      <w:r>
        <w:rPr>
          <w:b/>
          <w:sz w:val="24"/>
          <w:szCs w:val="24"/>
        </w:rPr>
        <w:t>附表</w:t>
      </w:r>
    </w:p>
    <w:p>
      <w:pPr>
        <w:ind w:left="520" w:firstLine="0" w:firstLineChars="0"/>
        <w:rPr>
          <w:sz w:val="24"/>
          <w:szCs w:val="24"/>
        </w:rPr>
      </w:pPr>
      <w:r>
        <w:rPr>
          <w:sz w:val="24"/>
          <w:szCs w:val="24"/>
        </w:rPr>
        <w:t>附表1 建设项目大气环境影响评价自查表</w:t>
      </w:r>
    </w:p>
    <w:p>
      <w:pPr>
        <w:ind w:left="520" w:firstLine="0" w:firstLineChars="0"/>
        <w:rPr>
          <w:sz w:val="24"/>
          <w:szCs w:val="24"/>
        </w:rPr>
      </w:pPr>
      <w:r>
        <w:rPr>
          <w:sz w:val="24"/>
          <w:szCs w:val="24"/>
        </w:rPr>
        <w:t>附表2 建设项目地表水环境影响评价自查表</w:t>
      </w:r>
    </w:p>
    <w:p>
      <w:pPr>
        <w:ind w:left="520" w:firstLine="0" w:firstLineChars="0"/>
        <w:rPr>
          <w:sz w:val="24"/>
          <w:szCs w:val="24"/>
        </w:rPr>
      </w:pPr>
      <w:r>
        <w:rPr>
          <w:sz w:val="24"/>
          <w:szCs w:val="24"/>
        </w:rPr>
        <w:t>附表3 建设项目环境风险自查表</w:t>
      </w:r>
    </w:p>
    <w:p>
      <w:pPr>
        <w:ind w:left="520" w:firstLine="0" w:firstLineChars="0"/>
        <w:rPr>
          <w:sz w:val="24"/>
          <w:szCs w:val="24"/>
        </w:rPr>
      </w:pPr>
      <w:r>
        <w:rPr>
          <w:sz w:val="24"/>
          <w:szCs w:val="24"/>
        </w:rPr>
        <w:t>附表4 土壤环境影响评价自查表</w:t>
      </w:r>
    </w:p>
    <w:p>
      <w:pPr>
        <w:ind w:left="520" w:firstLine="0" w:firstLineChars="0"/>
        <w:rPr>
          <w:sz w:val="24"/>
          <w:szCs w:val="24"/>
        </w:rPr>
      </w:pPr>
      <w:r>
        <w:rPr>
          <w:sz w:val="24"/>
          <w:szCs w:val="24"/>
        </w:rPr>
        <w:t>附表5 生态影响评价自查表</w:t>
      </w:r>
    </w:p>
    <w:p>
      <w:pPr>
        <w:ind w:left="520" w:firstLine="0" w:firstLineChars="0"/>
        <w:rPr>
          <w:sz w:val="24"/>
          <w:szCs w:val="24"/>
        </w:rPr>
      </w:pPr>
      <w:r>
        <w:rPr>
          <w:sz w:val="24"/>
          <w:szCs w:val="24"/>
        </w:rPr>
        <w:t>附表6 声环境影响自查表</w:t>
      </w:r>
    </w:p>
    <w:p>
      <w:pPr>
        <w:ind w:left="520" w:firstLine="0" w:firstLineChars="0"/>
        <w:rPr>
          <w:sz w:val="24"/>
          <w:szCs w:val="24"/>
        </w:rPr>
      </w:pPr>
      <w:r>
        <w:rPr>
          <w:sz w:val="24"/>
          <w:szCs w:val="24"/>
        </w:rPr>
        <w:t>附表7 建设项目环境影响报告书审批基础信息表</w:t>
      </w: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pPr>
    </w:p>
    <w:p>
      <w:pPr>
        <w:pStyle w:val="86"/>
        <w:ind w:firstLine="240"/>
        <w:rPr>
          <w:color w:val="auto"/>
        </w:rPr>
        <w:sectPr>
          <w:pgSz w:w="11907" w:h="16840"/>
          <w:pgMar w:top="1588" w:right="1418" w:bottom="1366" w:left="1418" w:header="1191" w:footer="1134" w:gutter="0"/>
          <w:pgNumType w:fmt="upperRoman"/>
          <w:cols w:space="425" w:num="1"/>
          <w:docGrid w:linePitch="354" w:charSpace="0"/>
        </w:sectPr>
      </w:pPr>
    </w:p>
    <w:p>
      <w:pPr>
        <w:pStyle w:val="3"/>
        <w:numPr>
          <w:ilvl w:val="0"/>
          <w:numId w:val="0"/>
        </w:numPr>
        <w:spacing w:before="240" w:after="240"/>
      </w:pPr>
      <w:bookmarkStart w:id="73" w:name="_Toc161676076"/>
      <w:r>
        <w:t>概  述</w:t>
      </w:r>
      <w:bookmarkEnd w:id="70"/>
      <w:bookmarkEnd w:id="73"/>
    </w:p>
    <w:p>
      <w:pPr>
        <w:pStyle w:val="4"/>
      </w:pPr>
      <w:bookmarkStart w:id="74" w:name="_Toc161676077"/>
      <w:r>
        <w:t>（一）建设项目特点</w:t>
      </w:r>
      <w:bookmarkEnd w:id="74"/>
    </w:p>
    <w:p>
      <w:pPr>
        <w:spacing w:line="360" w:lineRule="auto"/>
        <w:ind w:firstLine="480"/>
        <w:jc w:val="both"/>
        <w:rPr>
          <w:sz w:val="24"/>
          <w:szCs w:val="24"/>
        </w:rPr>
      </w:pPr>
      <w:bookmarkStart w:id="75" w:name="_Hlk511138882"/>
      <w:bookmarkStart w:id="76" w:name="_Hlk510975893"/>
      <w:r>
        <w:rPr>
          <w:sz w:val="24"/>
          <w:szCs w:val="24"/>
        </w:rPr>
        <w:t>1、建设单位基本情况</w:t>
      </w:r>
    </w:p>
    <w:p>
      <w:pPr>
        <w:spacing w:line="360" w:lineRule="auto"/>
        <w:ind w:firstLine="480"/>
        <w:jc w:val="both"/>
        <w:rPr>
          <w:sz w:val="24"/>
          <w:szCs w:val="24"/>
        </w:rPr>
      </w:pPr>
      <w:r>
        <w:rPr>
          <w:sz w:val="24"/>
        </w:rPr>
        <w:t>重庆峰磊矿业有限公司</w:t>
      </w:r>
      <w:r>
        <w:rPr>
          <w:sz w:val="24"/>
          <w:szCs w:val="24"/>
        </w:rPr>
        <w:t>成立于2022年6月17日，为</w:t>
      </w:r>
      <w:r>
        <w:rPr>
          <w:sz w:val="24"/>
        </w:rPr>
        <w:t>本次整合矿山之一的重庆市盐井三峡矿业有限公司法人新成立公司，</w:t>
      </w:r>
      <w:r>
        <w:rPr>
          <w:sz w:val="24"/>
          <w:szCs w:val="24"/>
        </w:rPr>
        <w:t>经营范围：矿产资源（非煤矿山）开采，建筑材料销售，非金属矿及制品销售，建筑装饰材料销售、金属材料销售，选矿，矿物洗选加工等。</w:t>
      </w:r>
    </w:p>
    <w:p>
      <w:pPr>
        <w:spacing w:line="360" w:lineRule="auto"/>
        <w:ind w:firstLine="480"/>
        <w:jc w:val="both"/>
        <w:rPr>
          <w:sz w:val="24"/>
          <w:szCs w:val="24"/>
        </w:rPr>
      </w:pPr>
      <w:r>
        <w:rPr>
          <w:sz w:val="24"/>
          <w:szCs w:val="24"/>
        </w:rPr>
        <w:t>2、整合矿区基本情况</w:t>
      </w:r>
    </w:p>
    <w:p>
      <w:pPr>
        <w:spacing w:line="360" w:lineRule="auto"/>
        <w:ind w:firstLine="480"/>
        <w:jc w:val="both"/>
        <w:rPr>
          <w:sz w:val="24"/>
          <w:szCs w:val="24"/>
        </w:rPr>
      </w:pPr>
      <w:r>
        <w:rPr>
          <w:sz w:val="24"/>
          <w:szCs w:val="24"/>
        </w:rPr>
        <w:t>为优化矿产资源开发利用布局，促进当地经济和社会发展，2018年重庆市合川区规划和自然资源局根据相关文件要求，对原重庆市合川区盐井三峡矿石有限责任公司（后更名为</w:t>
      </w:r>
      <w:r>
        <w:rPr>
          <w:sz w:val="24"/>
        </w:rPr>
        <w:t>重庆市盐井三峡矿业有限公司</w:t>
      </w:r>
      <w:r>
        <w:rPr>
          <w:sz w:val="24"/>
          <w:szCs w:val="24"/>
        </w:rPr>
        <w:t>）茶园村采石场与原重庆六顺矿业有限公司茶园村采石场</w:t>
      </w:r>
      <w:r>
        <w:rPr>
          <w:b/>
          <w:sz w:val="24"/>
          <w:szCs w:val="24"/>
        </w:rPr>
        <w:t>（该公司未采矿，已注销）</w:t>
      </w:r>
      <w:r>
        <w:rPr>
          <w:sz w:val="24"/>
          <w:szCs w:val="24"/>
        </w:rPr>
        <w:t>两矿山进行整合，整合后矿区总面积为0.0676km</w:t>
      </w:r>
      <w:r>
        <w:rPr>
          <w:sz w:val="24"/>
          <w:szCs w:val="24"/>
          <w:vertAlign w:val="superscript"/>
        </w:rPr>
        <w:t>2</w:t>
      </w:r>
      <w:r>
        <w:rPr>
          <w:sz w:val="24"/>
          <w:szCs w:val="24"/>
        </w:rPr>
        <w:t>。</w:t>
      </w:r>
    </w:p>
    <w:p>
      <w:pPr>
        <w:spacing w:line="360" w:lineRule="auto"/>
        <w:ind w:firstLine="480"/>
        <w:jc w:val="both"/>
        <w:rPr>
          <w:sz w:val="24"/>
          <w:szCs w:val="24"/>
        </w:rPr>
      </w:pPr>
      <w:r>
        <w:rPr>
          <w:sz w:val="24"/>
          <w:szCs w:val="24"/>
        </w:rPr>
        <w:t>2023年7月，</w:t>
      </w:r>
      <w:r>
        <w:rPr>
          <w:sz w:val="24"/>
        </w:rPr>
        <w:t>重庆市盐井三峡矿业有限公司法人新成立公司（重庆峰磊矿业有限公司）获得</w:t>
      </w:r>
      <w:r>
        <w:rPr>
          <w:sz w:val="24"/>
          <w:szCs w:val="24"/>
        </w:rPr>
        <w:t>重庆市合川区公共资源交易中心挂牌出让的合川区盐井街道观音村五社建筑用灰岩矿段采矿权，矿区面积0.0466km</w:t>
      </w:r>
      <w:r>
        <w:rPr>
          <w:sz w:val="24"/>
          <w:szCs w:val="24"/>
          <w:vertAlign w:val="superscript"/>
        </w:rPr>
        <w:t>2</w:t>
      </w:r>
      <w:r>
        <w:rPr>
          <w:sz w:val="24"/>
          <w:szCs w:val="24"/>
        </w:rPr>
        <w:t>，该矿区范围与以上整合后的矿区有重合部分，根据建设单位提供的图纸，占以上整合矿区面积的28.7%。该矿权于前期已完成采矿权出让技术报告、矿产资源储量核实报告、矿产资源开发利用方案、地址环境保护欲土地复垦方案、初步设计等报告编制。建设单位于2023年10月20日，取得重庆市合川区规划和自然资源局下发的采矿许可证（证号：C5001172023107150155782），有效期限：2023年8月22日至2026年9月22日。</w:t>
      </w:r>
    </w:p>
    <w:p>
      <w:pPr>
        <w:spacing w:line="360" w:lineRule="auto"/>
        <w:ind w:firstLine="480"/>
        <w:jc w:val="both"/>
        <w:rPr>
          <w:sz w:val="24"/>
          <w:szCs w:val="24"/>
        </w:rPr>
      </w:pPr>
      <w:r>
        <w:rPr>
          <w:sz w:val="24"/>
          <w:szCs w:val="24"/>
        </w:rPr>
        <w:t>3、本项目建设情况</w:t>
      </w:r>
    </w:p>
    <w:p>
      <w:pPr>
        <w:spacing w:line="360" w:lineRule="auto"/>
        <w:ind w:firstLine="480"/>
        <w:jc w:val="both"/>
        <w:rPr>
          <w:sz w:val="24"/>
          <w:szCs w:val="24"/>
        </w:rPr>
      </w:pPr>
      <w:r>
        <w:rPr>
          <w:sz w:val="24"/>
          <w:szCs w:val="24"/>
        </w:rPr>
        <w:t>根据采矿许可证，矿区范围由4个拐点闭合圈定，矿区面积为0.0466km</w:t>
      </w:r>
      <w:r>
        <w:rPr>
          <w:sz w:val="24"/>
          <w:szCs w:val="24"/>
          <w:vertAlign w:val="superscript"/>
        </w:rPr>
        <w:t>2</w:t>
      </w:r>
      <w:r>
        <w:rPr>
          <w:sz w:val="24"/>
          <w:szCs w:val="24"/>
        </w:rPr>
        <w:t>，开采标高+380m~+251m，开采规模100t/a。开采方式为露天开采，开采矿种为建筑石料用灰岩。</w:t>
      </w:r>
    </w:p>
    <w:p>
      <w:pPr>
        <w:spacing w:line="360" w:lineRule="auto"/>
        <w:ind w:firstLine="480"/>
        <w:jc w:val="both"/>
        <w:rPr>
          <w:sz w:val="24"/>
          <w:szCs w:val="24"/>
        </w:rPr>
      </w:pPr>
      <w:r>
        <w:rPr>
          <w:sz w:val="24"/>
          <w:szCs w:val="24"/>
        </w:rPr>
        <w:t>开采的矿石其中70万t/a经车辆运输至矿区东北侧1km处的工业场地进行碎石加工，剩余原矿30万t/a进行外售处理（已签订外售协议）；工业场地面积约0.018km</w:t>
      </w:r>
      <w:r>
        <w:rPr>
          <w:sz w:val="24"/>
          <w:szCs w:val="24"/>
          <w:vertAlign w:val="superscript"/>
        </w:rPr>
        <w:t>2</w:t>
      </w:r>
      <w:r>
        <w:rPr>
          <w:sz w:val="24"/>
          <w:szCs w:val="24"/>
        </w:rPr>
        <w:t>，碎石加工规模为70万t/a。</w:t>
      </w:r>
    </w:p>
    <w:bookmarkEnd w:id="75"/>
    <w:bookmarkEnd w:id="76"/>
    <w:p>
      <w:pPr>
        <w:pStyle w:val="4"/>
      </w:pPr>
      <w:bookmarkStart w:id="77" w:name="_Toc161676078"/>
      <w:r>
        <w:t>（二）环境影响评价工作过程</w:t>
      </w:r>
      <w:bookmarkEnd w:id="77"/>
    </w:p>
    <w:p>
      <w:pPr>
        <w:pStyle w:val="222"/>
        <w:rPr>
          <w:bCs/>
        </w:rPr>
      </w:pPr>
      <w:r>
        <w:t>根据《中华人民共和国环境保护法》《中华人民共和国环境影响评价法》《建设项目环境保护管理条例》《建设项目环境影响评价分类管理名录》（2021版）有关环保法律法规，</w:t>
      </w:r>
      <w:bookmarkStart w:id="78" w:name="_Hlk46840921"/>
      <w:r>
        <w:t xml:space="preserve"> </w:t>
      </w:r>
      <w:bookmarkEnd w:id="78"/>
      <w:r>
        <w:t>本项目应开展环境影响评价。本项目矿区环境影响涉及《建设项目环境影响评价分类管理名录》（2021年版）环境敏感区中第三条（二）款中的除（一）外的生态保护红线管控范围（即矿区北侧59m为九峰山森林公园，北侧58m为合川区生态保护红线）</w:t>
      </w:r>
      <w:r>
        <w:rPr>
          <w:bCs/>
        </w:rPr>
        <w:t>，</w:t>
      </w:r>
      <w:r>
        <w:t>属于《建设项目环境影响评价分类管理名录》（2021年版）“第八、非金属矿采选业中的第11条-</w:t>
      </w:r>
      <w:r>
        <w:rPr>
          <w:bCs/>
        </w:rPr>
        <w:t>土砂石开采涉及环境敏感区”，故本项目应编制环境影响报告书。</w:t>
      </w:r>
    </w:p>
    <w:p>
      <w:pPr>
        <w:pStyle w:val="222"/>
        <w:rPr>
          <w:bCs/>
        </w:rPr>
      </w:pPr>
      <w:r>
        <w:rPr>
          <w:bCs/>
        </w:rPr>
        <w:t>受重庆峰磊矿业有限公司委托，</w:t>
      </w:r>
      <w:r>
        <w:t>重庆浩力环境工程股份有限公司承担该项目的环评工作。接受委托后，我公司立即组织了评价人员，对该项目建设区域及周边环境状况进行了实地调查，按照相关法律法规及评价技术导则，对本项目建设可能造成的环境影响进行了分析、预测和评价，在此基础上编制完成了</w:t>
      </w:r>
      <w:r>
        <w:rPr>
          <w:bCs/>
        </w:rPr>
        <w:t>《重庆峰磊矿业有限公司</w:t>
      </w:r>
      <w:r>
        <w:t>建筑石料用灰岩矿扩建工程</w:t>
      </w:r>
      <w:r>
        <w:rPr>
          <w:bCs/>
        </w:rPr>
        <w:t>环境影响报告书》。</w:t>
      </w:r>
    </w:p>
    <w:p>
      <w:pPr>
        <w:pStyle w:val="4"/>
      </w:pPr>
      <w:bookmarkStart w:id="79" w:name="_Toc161676079"/>
      <w:r>
        <w:t>（三）分析相关判定情况</w:t>
      </w:r>
      <w:bookmarkEnd w:id="79"/>
    </w:p>
    <w:p>
      <w:pPr>
        <w:widowControl/>
        <w:spacing w:line="360" w:lineRule="auto"/>
        <w:ind w:firstLine="480"/>
        <w:jc w:val="both"/>
        <w:rPr>
          <w:sz w:val="24"/>
          <w:szCs w:val="24"/>
        </w:rPr>
      </w:pPr>
      <w:r>
        <w:rPr>
          <w:sz w:val="24"/>
          <w:szCs w:val="24"/>
        </w:rPr>
        <w:t>1、产业政策及规划符合性判定</w:t>
      </w:r>
    </w:p>
    <w:p>
      <w:pPr>
        <w:widowControl/>
        <w:spacing w:line="360" w:lineRule="auto"/>
        <w:ind w:firstLine="480"/>
        <w:jc w:val="both"/>
        <w:rPr>
          <w:sz w:val="24"/>
          <w:szCs w:val="24"/>
        </w:rPr>
      </w:pPr>
      <w:r>
        <w:rPr>
          <w:sz w:val="24"/>
          <w:szCs w:val="24"/>
        </w:rPr>
        <w:t>本项目不属于《产业结构调整指导目录（2024年本）》中的限制类、淘汰类项目，也不属于《关于印发重庆市产业投资准入工作手册的通知》（渝发改投资〔2022〕1436号）不予准入、限制准入类产业，符合国家及重庆市产业政策。矿山属于合川区矿产资源规划中已设采矿权保留矿山（编号为CQ012），占地范围不涉及自然保护区、风景名胜区、生态保护红线等环境敏感区，符合《重庆市矿产资源总体规划（2021-2025）》及其规划环评、《重庆市合川区矿产资源总体规划（2021-2025）》及其规划环评的相关要求，满足重庆市及合川区“三线一单”生态环境管控要求；符合《重庆市森林公园管理办法》《重庆市九峰山森林公园控制性详细规划》相关环境保护要求。同时也满足《矿山生态环境保护与污染防治技术政策》（环发〔2005〕109号）、《矿山生态环境保护与恢复治理技术规范（试行）》（HJ651-2013）等矿山环保政策的相关要求。</w:t>
      </w:r>
    </w:p>
    <w:p>
      <w:pPr>
        <w:widowControl/>
        <w:spacing w:line="360" w:lineRule="auto"/>
        <w:ind w:firstLine="480"/>
        <w:jc w:val="both"/>
        <w:rPr>
          <w:sz w:val="24"/>
          <w:szCs w:val="24"/>
        </w:rPr>
      </w:pPr>
      <w:r>
        <w:rPr>
          <w:sz w:val="24"/>
          <w:szCs w:val="24"/>
        </w:rPr>
        <w:t>2、评价等级的判定</w:t>
      </w:r>
    </w:p>
    <w:p>
      <w:pPr>
        <w:widowControl/>
        <w:spacing w:line="360" w:lineRule="auto"/>
        <w:ind w:firstLine="480"/>
        <w:jc w:val="both"/>
        <w:rPr>
          <w:kern w:val="0"/>
          <w:sz w:val="24"/>
          <w:lang w:bidi="ar"/>
        </w:rPr>
      </w:pPr>
      <w:r>
        <w:rPr>
          <w:sz w:val="24"/>
        </w:rPr>
        <w:t>根据各要素环境影响评价技术导则的具体要求，并结合本报告工程分析成果，判定拟建项目大气环境评价工作等级为一级、地表水评价工作等级为三级B、地下水不开展环境影响评价、声环境评价工作等级为二级、土壤环境评价为不开展、</w:t>
      </w:r>
      <w:r>
        <w:rPr>
          <w:kern w:val="0"/>
          <w:sz w:val="24"/>
          <w:lang w:bidi="ar"/>
        </w:rPr>
        <w:t>环境风险评价为简单分析。</w:t>
      </w:r>
    </w:p>
    <w:p>
      <w:pPr>
        <w:widowControl/>
        <w:spacing w:line="360" w:lineRule="auto"/>
        <w:ind w:firstLine="480"/>
        <w:jc w:val="both"/>
        <w:rPr>
          <w:sz w:val="24"/>
          <w:szCs w:val="24"/>
        </w:rPr>
      </w:pPr>
      <w:r>
        <w:rPr>
          <w:sz w:val="24"/>
          <w:szCs w:val="24"/>
        </w:rPr>
        <w:t>3、建设性质判定</w:t>
      </w:r>
    </w:p>
    <w:p>
      <w:pPr>
        <w:spacing w:line="360" w:lineRule="auto"/>
        <w:ind w:firstLine="480"/>
        <w:jc w:val="both"/>
        <w:rPr>
          <w:sz w:val="24"/>
          <w:szCs w:val="24"/>
        </w:rPr>
      </w:pPr>
      <w:r>
        <w:rPr>
          <w:sz w:val="24"/>
          <w:szCs w:val="24"/>
        </w:rPr>
        <w:t>参照《建设项目安全设施“三同时”监督管理办法》（国家安全监管总局令〔2015〕第77号修正）、《重庆市安全生产监督管理局关于进一步规范全市非煤矿山安全生产行政许可工作的通知》等有关规定，本矿山应按照扩建性质履行建设项目安全设施“三同时”程序，同时考虑到本项目采矿权范围包含了一小部分整合的矿权范围，因此，本项目建设性质为“扩建”。</w:t>
      </w:r>
    </w:p>
    <w:p>
      <w:pPr>
        <w:pStyle w:val="4"/>
      </w:pPr>
      <w:bookmarkStart w:id="80" w:name="_Toc161676080"/>
      <w:r>
        <w:t>（四）关注的主要环境问题及环境影响</w:t>
      </w:r>
      <w:bookmarkEnd w:id="80"/>
    </w:p>
    <w:p>
      <w:pPr>
        <w:spacing w:line="360" w:lineRule="auto"/>
        <w:ind w:firstLine="480"/>
        <w:jc w:val="both"/>
        <w:rPr>
          <w:sz w:val="24"/>
          <w:szCs w:val="28"/>
        </w:rPr>
      </w:pPr>
      <w:r>
        <w:rPr>
          <w:sz w:val="24"/>
          <w:szCs w:val="28"/>
        </w:rPr>
        <w:t>1、项目关注的主要环境问题</w:t>
      </w:r>
    </w:p>
    <w:p>
      <w:pPr>
        <w:spacing w:line="360" w:lineRule="auto"/>
        <w:ind w:firstLine="480"/>
        <w:jc w:val="both"/>
        <w:rPr>
          <w:sz w:val="24"/>
          <w:szCs w:val="28"/>
        </w:rPr>
      </w:pPr>
      <w:r>
        <w:rPr>
          <w:sz w:val="24"/>
          <w:szCs w:val="28"/>
        </w:rPr>
        <w:t>根据建设项目工程分析，识别出生态、废气、废水、噪声和固体废物等可能造成的环境污染及环境风险，项目主要以生态、大气、地表水、固废、噪声、环境风险影响为主；因此，拟建项目建设关注的主要环境问题为生态影响、废气污染物排放对区域环境空气质量及周边环境敏感目标的影响，固废是否妥善处置，噪声对周边敏感点的影响，以及环境风险事故对区域环境的影响是否可控。</w:t>
      </w:r>
    </w:p>
    <w:p>
      <w:pPr>
        <w:widowControl/>
        <w:spacing w:line="360" w:lineRule="auto"/>
        <w:ind w:firstLine="480"/>
        <w:jc w:val="both"/>
        <w:rPr>
          <w:sz w:val="24"/>
          <w:szCs w:val="24"/>
        </w:rPr>
      </w:pPr>
      <w:r>
        <w:rPr>
          <w:sz w:val="24"/>
          <w:szCs w:val="24"/>
        </w:rPr>
        <w:t>根据《重庆市人民政府关于印发重庆市环境空气质量功能区划分规定的通知》（渝府发〔2016〕19号）和《重庆市环境保护局关于环境空气质量功能区划分问题的批复》（渝府发〔2016〕386号）：九峰山市级森林公园属于环境空气质量一类功能区，九峰山市级森林公园以外所设300米宽的缓冲带，原则上按一类功能区对应的相关标准执行。故本项目需实施严格的大气污染防治措施，做到“增产不增污”，确保满足环境空气一类功能区不改变。</w:t>
      </w:r>
    </w:p>
    <w:p>
      <w:pPr>
        <w:spacing w:line="360" w:lineRule="auto"/>
        <w:ind w:firstLine="480"/>
        <w:jc w:val="both"/>
        <w:rPr>
          <w:sz w:val="24"/>
          <w:szCs w:val="24"/>
        </w:rPr>
      </w:pPr>
      <w:r>
        <w:rPr>
          <w:sz w:val="24"/>
          <w:szCs w:val="24"/>
        </w:rPr>
        <w:t>关注整合矿权范围的矿区和工业广场的生态建设和恢复，由于重庆市盐井三峡矿业有限公司工业场地已转让给重庆峰磊矿业有限公司，经协商，本次矿区范围和工业场地生态恢复均由重庆峰磊矿业有限公司负责实施。</w:t>
      </w:r>
    </w:p>
    <w:p>
      <w:pPr>
        <w:spacing w:line="360" w:lineRule="auto"/>
        <w:ind w:firstLine="480"/>
        <w:jc w:val="both"/>
        <w:rPr>
          <w:sz w:val="24"/>
          <w:szCs w:val="24"/>
        </w:rPr>
      </w:pPr>
      <w:r>
        <w:rPr>
          <w:sz w:val="24"/>
          <w:szCs w:val="24"/>
        </w:rPr>
        <w:t>关注工业场地现有环保措施优化，奠定“增产不增污”的基础。</w:t>
      </w:r>
    </w:p>
    <w:p>
      <w:pPr>
        <w:spacing w:line="360" w:lineRule="auto"/>
        <w:ind w:firstLine="480"/>
        <w:rPr>
          <w:sz w:val="24"/>
        </w:rPr>
      </w:pPr>
      <w:r>
        <w:rPr>
          <w:sz w:val="24"/>
          <w:szCs w:val="28"/>
        </w:rPr>
        <w:t>2、项目的主</w:t>
      </w:r>
      <w:r>
        <w:rPr>
          <w:sz w:val="24"/>
        </w:rPr>
        <w:t>要环境影响</w:t>
      </w:r>
    </w:p>
    <w:p>
      <w:pPr>
        <w:spacing w:line="360" w:lineRule="auto"/>
        <w:ind w:firstLine="480"/>
        <w:rPr>
          <w:sz w:val="24"/>
        </w:rPr>
      </w:pPr>
      <w:r>
        <w:rPr>
          <w:sz w:val="24"/>
        </w:rPr>
        <w:t>环境空气：开采区剥离粉尘、钻孔扬尘、破碎粉尘、装料粉尘、风力起尘、运输扬尘等，工业场地破碎粉尘、筛分粉尘、装卸粉尘、堆场扬尘、转运粉尘、车辆燃料废气等；</w:t>
      </w:r>
    </w:p>
    <w:p>
      <w:pPr>
        <w:spacing w:line="360" w:lineRule="auto"/>
        <w:ind w:firstLine="480"/>
        <w:rPr>
          <w:sz w:val="24"/>
        </w:rPr>
      </w:pPr>
      <w:r>
        <w:rPr>
          <w:sz w:val="24"/>
        </w:rPr>
        <w:t>地表水环境：生产废水、员工生活污水；</w:t>
      </w:r>
    </w:p>
    <w:p>
      <w:pPr>
        <w:spacing w:line="360" w:lineRule="auto"/>
        <w:ind w:firstLine="480"/>
        <w:rPr>
          <w:sz w:val="24"/>
        </w:rPr>
      </w:pPr>
      <w:r>
        <w:rPr>
          <w:sz w:val="24"/>
        </w:rPr>
        <w:t>声环境：开采区、工业场地机械设备运行噪声；</w:t>
      </w:r>
    </w:p>
    <w:p>
      <w:pPr>
        <w:spacing w:line="360" w:lineRule="auto"/>
        <w:ind w:firstLine="480"/>
        <w:rPr>
          <w:sz w:val="24"/>
        </w:rPr>
      </w:pPr>
      <w:r>
        <w:rPr>
          <w:sz w:val="24"/>
        </w:rPr>
        <w:t>固废处置：沉淀池污泥、布袋除尘器收集粉尘、生活垃圾、废润滑油、含油棉纱手套等；</w:t>
      </w:r>
    </w:p>
    <w:p>
      <w:pPr>
        <w:spacing w:line="360" w:lineRule="auto"/>
        <w:ind w:firstLine="480"/>
        <w:rPr>
          <w:sz w:val="24"/>
        </w:rPr>
      </w:pPr>
      <w:r>
        <w:rPr>
          <w:sz w:val="24"/>
        </w:rPr>
        <w:t>环境风险：柴油罐可能发生火灾或爆炸造成伴生/次生污染物的排放。</w:t>
      </w:r>
    </w:p>
    <w:p>
      <w:pPr>
        <w:pStyle w:val="4"/>
      </w:pPr>
      <w:bookmarkStart w:id="81" w:name="_Toc161676081"/>
      <w:r>
        <w:t>（五）环境影响评价的主要结论</w:t>
      </w:r>
      <w:bookmarkEnd w:id="81"/>
    </w:p>
    <w:p>
      <w:pPr>
        <w:pStyle w:val="222"/>
      </w:pPr>
      <w:r>
        <w:t>本项目依法取得了采矿权，本项目建设符合相关产业政策、环境保护政策，符合重庆市及合川区矿产资源总体规划</w:t>
      </w:r>
      <w:r>
        <w:rPr>
          <w:bCs/>
        </w:rPr>
        <w:t>及其规划环评要求</w:t>
      </w:r>
      <w:r>
        <w:t>。通过落实评价提出的污染防治措施和生态保护、恢复治理措施后，污染物可以实现达标排放，不改变区域的环境功能，对生态环境影响较小。因此，从环境保护的角度分析，本项目建设可行。</w:t>
      </w:r>
    </w:p>
    <w:p>
      <w:pPr>
        <w:pStyle w:val="222"/>
      </w:pPr>
      <w:r>
        <w:t>本报告书编制过程得到了合川区生态环境局、合川区规划和自然资源局、合川区林业局、重庆市生态环境工程评估中心等单位的大力支持和帮助，在此一并致以诚挚的谢意！</w:t>
      </w:r>
    </w:p>
    <w:p>
      <w:pPr>
        <w:pStyle w:val="222"/>
      </w:pPr>
    </w:p>
    <w:p>
      <w:pPr>
        <w:pStyle w:val="222"/>
        <w:sectPr>
          <w:headerReference r:id="rId11" w:type="default"/>
          <w:footerReference r:id="rId12" w:type="default"/>
          <w:pgSz w:w="11907" w:h="16840"/>
          <w:pgMar w:top="1588" w:right="1418" w:bottom="1366" w:left="1418" w:header="1191" w:footer="850" w:gutter="0"/>
          <w:pgNumType w:start="1"/>
          <w:cols w:space="425" w:num="1"/>
          <w:docGrid w:linePitch="354" w:charSpace="0"/>
        </w:sectPr>
      </w:pPr>
    </w:p>
    <w:p>
      <w:pPr>
        <w:pStyle w:val="3"/>
        <w:numPr>
          <w:ilvl w:val="0"/>
          <w:numId w:val="0"/>
        </w:numPr>
        <w:spacing w:before="240" w:after="240"/>
      </w:pPr>
      <w:bookmarkStart w:id="82" w:name="_Toc161676082"/>
      <w:r>
        <w:t>1总则</w:t>
      </w:r>
      <w:bookmarkEnd w:id="82"/>
    </w:p>
    <w:p>
      <w:pPr>
        <w:pStyle w:val="4"/>
      </w:pPr>
      <w:bookmarkStart w:id="83" w:name="_Toc51838105"/>
      <w:bookmarkStart w:id="84" w:name="_Toc161676083"/>
      <w:bookmarkStart w:id="85" w:name="_Toc48658294"/>
      <w:bookmarkStart w:id="86" w:name="_Toc46929831"/>
      <w:r>
        <w:t>1.1评价目的</w:t>
      </w:r>
      <w:bookmarkEnd w:id="83"/>
      <w:bookmarkEnd w:id="84"/>
    </w:p>
    <w:p>
      <w:pPr>
        <w:pStyle w:val="222"/>
      </w:pPr>
      <w:r>
        <w:t>（1）根据国家相关产业政策、环境政策及规划要求，结合环保措施及影响分析，分析论述项目扩建的环境可行性，为项目的环境保护行政管理部门提供决策依据。</w:t>
      </w:r>
    </w:p>
    <w:p>
      <w:pPr>
        <w:pStyle w:val="222"/>
      </w:pPr>
      <w:r>
        <w:t>（2）预测、分析及评估项目扩建后对生态环境、景观、地表水、大气环境、声环境质量影响程度和范围，提出技术经济可行的污染防治措施和生态保护与恢复措施，使工程建设的不利影响减至最低程度。</w:t>
      </w:r>
    </w:p>
    <w:p>
      <w:pPr>
        <w:pStyle w:val="222"/>
      </w:pPr>
      <w:r>
        <w:t>（3）将环境污染防治对策和生态保护与恢复措施及时反馈到矿山开采和环境管理中，确保污染物达标排放，矿山生态系统良性循环，将不利影响降至最低程度，为扩建项目的稳定生产和环境管理提供科学依据，实现项目与区域经济、社会和环境的协调发展。</w:t>
      </w:r>
    </w:p>
    <w:bookmarkEnd w:id="85"/>
    <w:bookmarkEnd w:id="86"/>
    <w:p>
      <w:pPr>
        <w:pStyle w:val="4"/>
      </w:pPr>
      <w:bookmarkStart w:id="87" w:name="_Toc161676084"/>
      <w:r>
        <w:t>1.2编制依据</w:t>
      </w:r>
      <w:bookmarkEnd w:id="87"/>
    </w:p>
    <w:p>
      <w:pPr>
        <w:pStyle w:val="5"/>
        <w:rPr>
          <w:color w:val="auto"/>
        </w:rPr>
      </w:pPr>
      <w:r>
        <w:rPr>
          <w:color w:val="auto"/>
        </w:rPr>
        <w:t>1.2.1法律</w:t>
      </w:r>
    </w:p>
    <w:p>
      <w:pPr>
        <w:pStyle w:val="3184"/>
        <w:ind w:left="0"/>
        <w:rPr>
          <w:sz w:val="24"/>
        </w:rPr>
      </w:pPr>
      <w:r>
        <w:rPr>
          <w:sz w:val="24"/>
        </w:rPr>
        <w:t>《中华人民共和国环境保护法》（2014年4月24日修订，2015年1月1日起施行）；</w:t>
      </w:r>
    </w:p>
    <w:p>
      <w:pPr>
        <w:pStyle w:val="3184"/>
        <w:ind w:left="0"/>
        <w:rPr>
          <w:sz w:val="24"/>
        </w:rPr>
      </w:pPr>
      <w:r>
        <w:rPr>
          <w:sz w:val="24"/>
        </w:rPr>
        <w:t>《中华人民共和国环境影响评价法》（2018年12月29日修订并施行）；</w:t>
      </w:r>
    </w:p>
    <w:p>
      <w:pPr>
        <w:pStyle w:val="3184"/>
        <w:ind w:left="0"/>
        <w:rPr>
          <w:sz w:val="24"/>
        </w:rPr>
      </w:pPr>
      <w:r>
        <w:rPr>
          <w:sz w:val="24"/>
        </w:rPr>
        <w:t>《中华人民共和国大气污染防治法》（2018年10月26日修订并施行）；</w:t>
      </w:r>
    </w:p>
    <w:p>
      <w:pPr>
        <w:pStyle w:val="3184"/>
        <w:ind w:left="0"/>
        <w:rPr>
          <w:sz w:val="24"/>
        </w:rPr>
      </w:pPr>
      <w:r>
        <w:rPr>
          <w:sz w:val="24"/>
        </w:rPr>
        <w:t>《中华人民共和国水污染防治法》（根据2017年6月27日第二次修正，2018年1月1日起施行）；</w:t>
      </w:r>
    </w:p>
    <w:p>
      <w:pPr>
        <w:pStyle w:val="3184"/>
        <w:ind w:left="0"/>
        <w:rPr>
          <w:sz w:val="24"/>
        </w:rPr>
      </w:pPr>
      <w:bookmarkStart w:id="88" w:name="_Hlk44490000"/>
      <w:r>
        <w:rPr>
          <w:sz w:val="24"/>
        </w:rPr>
        <w:t>《中华人民共和国固体废物污染环境防治法》（</w:t>
      </w:r>
      <w:bookmarkStart w:id="89" w:name="_Hlk46841862"/>
      <w:r>
        <w:rPr>
          <w:sz w:val="24"/>
        </w:rPr>
        <w:t>2020年4月29日修订，2020年9月1日起施行</w:t>
      </w:r>
      <w:bookmarkEnd w:id="89"/>
      <w:r>
        <w:rPr>
          <w:sz w:val="24"/>
        </w:rPr>
        <w:t>）</w:t>
      </w:r>
      <w:bookmarkEnd w:id="88"/>
      <w:r>
        <w:rPr>
          <w:sz w:val="24"/>
        </w:rPr>
        <w:t>；</w:t>
      </w:r>
    </w:p>
    <w:p>
      <w:pPr>
        <w:pStyle w:val="3184"/>
        <w:ind w:left="0"/>
        <w:rPr>
          <w:sz w:val="24"/>
        </w:rPr>
      </w:pPr>
      <w:r>
        <w:rPr>
          <w:sz w:val="24"/>
        </w:rPr>
        <w:t>《中华人民共和国环境噪声污染防治法》（2021年12月24日修订，2022年6月5日起施行）；</w:t>
      </w:r>
    </w:p>
    <w:p>
      <w:pPr>
        <w:pStyle w:val="3184"/>
        <w:ind w:left="0"/>
        <w:rPr>
          <w:sz w:val="24"/>
        </w:rPr>
      </w:pPr>
      <w:r>
        <w:rPr>
          <w:sz w:val="24"/>
        </w:rPr>
        <w:t>《中华人民共和国土壤污染防治法》（2019年1月1日起施行）；</w:t>
      </w:r>
    </w:p>
    <w:p>
      <w:pPr>
        <w:pStyle w:val="3184"/>
        <w:ind w:left="0"/>
        <w:rPr>
          <w:sz w:val="24"/>
        </w:rPr>
      </w:pPr>
      <w:r>
        <w:rPr>
          <w:sz w:val="24"/>
        </w:rPr>
        <w:t>《中华人民共和国水土保持法》（2011年3月1日修订并施行）；</w:t>
      </w:r>
    </w:p>
    <w:p>
      <w:pPr>
        <w:pStyle w:val="3184"/>
        <w:ind w:left="0"/>
        <w:rPr>
          <w:sz w:val="24"/>
        </w:rPr>
      </w:pPr>
      <w:r>
        <w:rPr>
          <w:sz w:val="24"/>
        </w:rPr>
        <w:t>《中华人民共和国清洁生产促进法》（2016年5月16日修订，2016年7月1日起施行）；</w:t>
      </w:r>
    </w:p>
    <w:p>
      <w:pPr>
        <w:pStyle w:val="3184"/>
        <w:ind w:left="0"/>
        <w:rPr>
          <w:sz w:val="24"/>
        </w:rPr>
      </w:pPr>
      <w:r>
        <w:rPr>
          <w:sz w:val="24"/>
        </w:rPr>
        <w:t>《中华人民共和国循环经济促进法》（2018年10月26日修订并施行）；</w:t>
      </w:r>
    </w:p>
    <w:p>
      <w:pPr>
        <w:pStyle w:val="3184"/>
        <w:ind w:left="0"/>
        <w:rPr>
          <w:sz w:val="24"/>
        </w:rPr>
      </w:pPr>
      <w:r>
        <w:rPr>
          <w:sz w:val="24"/>
        </w:rPr>
        <w:t>《中华人民共和国森林法》（2019年4月28日修订并施行）；</w:t>
      </w:r>
    </w:p>
    <w:p>
      <w:pPr>
        <w:pStyle w:val="3184"/>
        <w:ind w:left="0"/>
        <w:rPr>
          <w:sz w:val="24"/>
        </w:rPr>
      </w:pPr>
      <w:r>
        <w:rPr>
          <w:sz w:val="24"/>
        </w:rPr>
        <w:t>《中华人民共和国野生动物保护法》（2016年7月2日修订，2017年7月1日施行）；</w:t>
      </w:r>
    </w:p>
    <w:p>
      <w:pPr>
        <w:pStyle w:val="3184"/>
        <w:ind w:left="0"/>
        <w:rPr>
          <w:sz w:val="24"/>
        </w:rPr>
      </w:pPr>
      <w:r>
        <w:rPr>
          <w:sz w:val="24"/>
        </w:rPr>
        <w:t>《中华人民共和国矿产资源法》（2009年8月27日修订）</w:t>
      </w:r>
    </w:p>
    <w:p>
      <w:pPr>
        <w:pStyle w:val="3184"/>
        <w:ind w:left="0"/>
        <w:rPr>
          <w:sz w:val="24"/>
        </w:rPr>
      </w:pPr>
      <w:r>
        <w:rPr>
          <w:sz w:val="24"/>
        </w:rPr>
        <w:t>《中华人民共和国长江保护法》（2021年3月1日起施行）。</w:t>
      </w:r>
    </w:p>
    <w:p>
      <w:pPr>
        <w:pStyle w:val="5"/>
        <w:rPr>
          <w:color w:val="auto"/>
        </w:rPr>
      </w:pPr>
      <w:r>
        <w:rPr>
          <w:color w:val="auto"/>
        </w:rPr>
        <w:t>1.2.2国家行政法规及部门规章</w:t>
      </w:r>
    </w:p>
    <w:p>
      <w:pPr>
        <w:pStyle w:val="3184"/>
        <w:numPr>
          <w:ilvl w:val="0"/>
          <w:numId w:val="17"/>
        </w:numPr>
        <w:ind w:left="0" w:firstLine="0"/>
        <w:rPr>
          <w:sz w:val="24"/>
        </w:rPr>
      </w:pPr>
      <w:r>
        <w:rPr>
          <w:sz w:val="24"/>
        </w:rPr>
        <w:t>《建设项目环境保护管理条例》（2017年6月21日国务院第177次常务会议通过，2017年10月1日起施行）；</w:t>
      </w:r>
    </w:p>
    <w:p>
      <w:pPr>
        <w:pStyle w:val="3184"/>
        <w:numPr>
          <w:ilvl w:val="0"/>
          <w:numId w:val="17"/>
        </w:numPr>
        <w:ind w:left="0" w:firstLine="0"/>
        <w:rPr>
          <w:sz w:val="24"/>
        </w:rPr>
      </w:pPr>
      <w:r>
        <w:rPr>
          <w:sz w:val="24"/>
        </w:rPr>
        <w:t>《建设项目环境影响评价分类管理名录》（2021年版）；</w:t>
      </w:r>
    </w:p>
    <w:p>
      <w:pPr>
        <w:pStyle w:val="3184"/>
        <w:numPr>
          <w:ilvl w:val="0"/>
          <w:numId w:val="17"/>
        </w:numPr>
        <w:ind w:left="0" w:firstLine="0"/>
        <w:rPr>
          <w:sz w:val="24"/>
        </w:rPr>
      </w:pPr>
      <w:r>
        <w:rPr>
          <w:sz w:val="24"/>
        </w:rPr>
        <w:t>《产业结构调整指导目录（2024年本）》；</w:t>
      </w:r>
    </w:p>
    <w:p>
      <w:pPr>
        <w:pStyle w:val="3184"/>
        <w:numPr>
          <w:ilvl w:val="0"/>
          <w:numId w:val="17"/>
        </w:numPr>
        <w:ind w:left="0" w:firstLine="0"/>
        <w:rPr>
          <w:sz w:val="24"/>
        </w:rPr>
      </w:pPr>
      <w:r>
        <w:rPr>
          <w:sz w:val="24"/>
        </w:rPr>
        <w:t>《环境影响评价公众参与办法》（生态环境部令第4号，2019年1月1日起施行）；</w:t>
      </w:r>
    </w:p>
    <w:p>
      <w:pPr>
        <w:pStyle w:val="3184"/>
        <w:numPr>
          <w:ilvl w:val="0"/>
          <w:numId w:val="17"/>
        </w:numPr>
        <w:ind w:left="0" w:firstLine="0"/>
        <w:rPr>
          <w:sz w:val="24"/>
        </w:rPr>
      </w:pPr>
      <w:r>
        <w:rPr>
          <w:sz w:val="24"/>
        </w:rPr>
        <w:t>《关于发布〈环境影响评价公众参与办法〉配套文件的公告》（公告2018年第48号）；</w:t>
      </w:r>
    </w:p>
    <w:p>
      <w:pPr>
        <w:pStyle w:val="3184"/>
        <w:numPr>
          <w:ilvl w:val="0"/>
          <w:numId w:val="17"/>
        </w:numPr>
        <w:ind w:left="0" w:firstLine="0"/>
        <w:rPr>
          <w:sz w:val="24"/>
        </w:rPr>
      </w:pPr>
      <w:r>
        <w:rPr>
          <w:sz w:val="24"/>
        </w:rPr>
        <w:t>《矿山生态环境保护与污染防治技术政策》（环发〔2005〕109号）；</w:t>
      </w:r>
    </w:p>
    <w:p>
      <w:pPr>
        <w:pStyle w:val="3184"/>
        <w:numPr>
          <w:ilvl w:val="0"/>
          <w:numId w:val="17"/>
        </w:numPr>
        <w:ind w:left="0" w:firstLine="0"/>
        <w:rPr>
          <w:sz w:val="24"/>
        </w:rPr>
      </w:pPr>
      <w:r>
        <w:rPr>
          <w:sz w:val="24"/>
        </w:rPr>
        <w:t>《矿山地质环境保护规定》（国土资源部令第44号）；</w:t>
      </w:r>
    </w:p>
    <w:p>
      <w:pPr>
        <w:pStyle w:val="3184"/>
        <w:numPr>
          <w:ilvl w:val="0"/>
          <w:numId w:val="17"/>
        </w:numPr>
        <w:ind w:left="0" w:firstLine="0"/>
        <w:rPr>
          <w:sz w:val="24"/>
        </w:rPr>
      </w:pPr>
      <w:r>
        <w:rPr>
          <w:sz w:val="24"/>
        </w:rPr>
        <w:t>《矿山生态环境保护与恢复治理技术规范（试行）》（HJ651-2013）；</w:t>
      </w:r>
    </w:p>
    <w:p>
      <w:pPr>
        <w:pStyle w:val="3184"/>
        <w:numPr>
          <w:ilvl w:val="0"/>
          <w:numId w:val="17"/>
        </w:numPr>
        <w:ind w:left="0" w:firstLine="0"/>
        <w:rPr>
          <w:sz w:val="24"/>
        </w:rPr>
      </w:pPr>
      <w:r>
        <w:rPr>
          <w:sz w:val="24"/>
        </w:rPr>
        <w:t>《矿山环境监察指南（试行）》（环办〔2013〕14号）；</w:t>
      </w:r>
    </w:p>
    <w:p>
      <w:pPr>
        <w:pStyle w:val="3184"/>
        <w:numPr>
          <w:ilvl w:val="0"/>
          <w:numId w:val="17"/>
        </w:numPr>
        <w:ind w:left="0" w:firstLine="0"/>
        <w:rPr>
          <w:sz w:val="24"/>
        </w:rPr>
      </w:pPr>
      <w:r>
        <w:rPr>
          <w:sz w:val="24"/>
        </w:rPr>
        <w:t>《关于加强生态保护监管工作的意见》（环生态〔2020〕73号，2020.12.24）；</w:t>
      </w:r>
    </w:p>
    <w:p>
      <w:pPr>
        <w:pStyle w:val="3184"/>
        <w:numPr>
          <w:ilvl w:val="0"/>
          <w:numId w:val="17"/>
        </w:numPr>
        <w:ind w:left="0" w:firstLine="0"/>
        <w:rPr>
          <w:sz w:val="24"/>
        </w:rPr>
      </w:pPr>
      <w:r>
        <w:rPr>
          <w:sz w:val="24"/>
        </w:rPr>
        <w:t>《国土资源部财政部环境保护部国家质量监督检验检疫总局中国银行业监督管理委员会中国证劵监督管理委员会关于加快建设绿色矿山的实施意见》（国土资规〔2017〕4号，2017年5月10日）；</w:t>
      </w:r>
    </w:p>
    <w:p>
      <w:pPr>
        <w:pStyle w:val="3184"/>
        <w:numPr>
          <w:ilvl w:val="0"/>
          <w:numId w:val="17"/>
        </w:numPr>
        <w:ind w:left="0" w:firstLine="0"/>
        <w:rPr>
          <w:sz w:val="24"/>
        </w:rPr>
      </w:pPr>
      <w:r>
        <w:rPr>
          <w:sz w:val="24"/>
        </w:rPr>
        <w:t>《国家危险废物名录》（2021年版）；</w:t>
      </w:r>
    </w:p>
    <w:p>
      <w:pPr>
        <w:pStyle w:val="3184"/>
        <w:numPr>
          <w:ilvl w:val="0"/>
          <w:numId w:val="17"/>
        </w:numPr>
        <w:ind w:left="0" w:firstLine="0"/>
        <w:rPr>
          <w:sz w:val="24"/>
        </w:rPr>
      </w:pPr>
      <w:r>
        <w:rPr>
          <w:sz w:val="24"/>
        </w:rPr>
        <w:t>《国务院关于印发〈大气污染防治行动计划〉的通知》（国发〔2013〕37号）（2013年6月14日）；</w:t>
      </w:r>
    </w:p>
    <w:p>
      <w:pPr>
        <w:pStyle w:val="3184"/>
        <w:numPr>
          <w:ilvl w:val="0"/>
          <w:numId w:val="17"/>
        </w:numPr>
        <w:ind w:left="0" w:firstLine="0"/>
        <w:rPr>
          <w:sz w:val="24"/>
        </w:rPr>
      </w:pPr>
      <w:r>
        <w:rPr>
          <w:sz w:val="24"/>
        </w:rPr>
        <w:t>《国务院关于印发&lt;水污染防治行动计划&gt;的通知》（国发〔2015〕17号）（2015年4月16日）；</w:t>
      </w:r>
    </w:p>
    <w:p>
      <w:pPr>
        <w:pStyle w:val="3184"/>
        <w:numPr>
          <w:ilvl w:val="0"/>
          <w:numId w:val="17"/>
        </w:numPr>
        <w:ind w:left="0" w:firstLine="0"/>
        <w:rPr>
          <w:sz w:val="24"/>
        </w:rPr>
      </w:pPr>
      <w:r>
        <w:rPr>
          <w:sz w:val="24"/>
        </w:rPr>
        <w:t>《国务院关于印发&lt;土壤污染防治行动计划&gt;的通知》（国发〔2016〕31号）（2016年5月28日）；</w:t>
      </w:r>
    </w:p>
    <w:p>
      <w:pPr>
        <w:pStyle w:val="3184"/>
        <w:numPr>
          <w:ilvl w:val="0"/>
          <w:numId w:val="17"/>
        </w:numPr>
        <w:ind w:left="0" w:firstLine="0"/>
        <w:rPr>
          <w:sz w:val="24"/>
        </w:rPr>
      </w:pPr>
      <w:r>
        <w:rPr>
          <w:sz w:val="24"/>
        </w:rPr>
        <w:t>《中华人民共和国水污染防治法实施细则》（中华人民共和国国务院令第284号）；</w:t>
      </w:r>
    </w:p>
    <w:p>
      <w:pPr>
        <w:pStyle w:val="3184"/>
        <w:numPr>
          <w:ilvl w:val="0"/>
          <w:numId w:val="17"/>
        </w:numPr>
        <w:ind w:left="0" w:firstLine="0"/>
        <w:rPr>
          <w:sz w:val="24"/>
        </w:rPr>
      </w:pPr>
      <w:r>
        <w:rPr>
          <w:sz w:val="24"/>
        </w:rPr>
        <w:t>《关于加强资源环境生态红线管控的指导意见的通知》（发改环资〔2016〕1162号）；</w:t>
      </w:r>
    </w:p>
    <w:p>
      <w:pPr>
        <w:pStyle w:val="3184"/>
        <w:numPr>
          <w:ilvl w:val="0"/>
          <w:numId w:val="17"/>
        </w:numPr>
        <w:ind w:left="0" w:firstLine="0"/>
        <w:rPr>
          <w:sz w:val="24"/>
        </w:rPr>
      </w:pPr>
      <w:r>
        <w:rPr>
          <w:sz w:val="24"/>
        </w:rPr>
        <w:t>《关于印发企事业单位突发环境事件应急预案备案管理办法（试行）》（环发〔2015〕4号）；</w:t>
      </w:r>
    </w:p>
    <w:p>
      <w:pPr>
        <w:pStyle w:val="3184"/>
        <w:numPr>
          <w:ilvl w:val="0"/>
          <w:numId w:val="17"/>
        </w:numPr>
        <w:ind w:left="0" w:firstLine="0"/>
        <w:rPr>
          <w:sz w:val="24"/>
        </w:rPr>
      </w:pPr>
      <w:r>
        <w:rPr>
          <w:sz w:val="24"/>
        </w:rPr>
        <w:t>《突发环境事件应急管理办法》（环境保护部令2015年第34号）；</w:t>
      </w:r>
    </w:p>
    <w:p>
      <w:pPr>
        <w:pStyle w:val="3184"/>
        <w:numPr>
          <w:ilvl w:val="0"/>
          <w:numId w:val="17"/>
        </w:numPr>
        <w:ind w:left="0" w:firstLine="0"/>
        <w:rPr>
          <w:sz w:val="24"/>
        </w:rPr>
      </w:pPr>
      <w:r>
        <w:rPr>
          <w:sz w:val="24"/>
        </w:rPr>
        <w:t>《中共中央国务院关于全面加强生态环境保护坚决打好污染防治攻坚战的意见》（中发〔2018〕17号）；</w:t>
      </w:r>
    </w:p>
    <w:p>
      <w:pPr>
        <w:pStyle w:val="3184"/>
        <w:numPr>
          <w:ilvl w:val="0"/>
          <w:numId w:val="17"/>
        </w:numPr>
        <w:ind w:left="0" w:firstLine="0"/>
        <w:rPr>
          <w:sz w:val="24"/>
        </w:rPr>
      </w:pPr>
      <w:r>
        <w:rPr>
          <w:sz w:val="24"/>
        </w:rPr>
        <w:t>《中共中央国务院关于深入打好污染防治攻坚战的意见》（2021.11.2）</w:t>
      </w:r>
    </w:p>
    <w:p>
      <w:pPr>
        <w:pStyle w:val="3184"/>
        <w:numPr>
          <w:ilvl w:val="0"/>
          <w:numId w:val="17"/>
        </w:numPr>
        <w:ind w:left="0" w:firstLine="0"/>
        <w:rPr>
          <w:sz w:val="24"/>
        </w:rPr>
      </w:pPr>
      <w:r>
        <w:rPr>
          <w:sz w:val="24"/>
        </w:rPr>
        <w:t>《国土资源部、工业和信息化部、财政部、环境保护部、国家能源局关于加强矿山地质环境恢复和综合治理的指导意见》（国土资发〔2016〕63号）；</w:t>
      </w:r>
    </w:p>
    <w:p>
      <w:pPr>
        <w:pStyle w:val="3184"/>
        <w:numPr>
          <w:ilvl w:val="0"/>
          <w:numId w:val="17"/>
        </w:numPr>
        <w:ind w:left="0" w:firstLine="0"/>
        <w:rPr>
          <w:sz w:val="24"/>
        </w:rPr>
      </w:pPr>
      <w:r>
        <w:rPr>
          <w:sz w:val="24"/>
        </w:rPr>
        <w:t>《国务院办公厅关于印发控制污染物排放许可制实施方案的通知》（国办发〔2016〕81号）；</w:t>
      </w:r>
    </w:p>
    <w:p>
      <w:pPr>
        <w:pStyle w:val="3184"/>
        <w:numPr>
          <w:ilvl w:val="0"/>
          <w:numId w:val="17"/>
        </w:numPr>
        <w:ind w:left="0" w:firstLine="0"/>
        <w:rPr>
          <w:sz w:val="24"/>
        </w:rPr>
      </w:pPr>
      <w:r>
        <w:rPr>
          <w:sz w:val="24"/>
        </w:rPr>
        <w:t>《排污许可管理办法（试行）》（部令第48号）；</w:t>
      </w:r>
    </w:p>
    <w:p>
      <w:pPr>
        <w:pStyle w:val="3184"/>
        <w:numPr>
          <w:ilvl w:val="0"/>
          <w:numId w:val="17"/>
        </w:numPr>
        <w:ind w:left="0" w:firstLine="0"/>
        <w:rPr>
          <w:sz w:val="24"/>
        </w:rPr>
      </w:pPr>
      <w:bookmarkStart w:id="90" w:name="_Hlk44490095"/>
      <w:r>
        <w:rPr>
          <w:sz w:val="24"/>
        </w:rPr>
        <w:t>《固定污染源排污许可分类管理名录》（2019年版）；</w:t>
      </w:r>
    </w:p>
    <w:bookmarkEnd w:id="90"/>
    <w:p>
      <w:pPr>
        <w:pStyle w:val="3184"/>
        <w:numPr>
          <w:ilvl w:val="0"/>
          <w:numId w:val="17"/>
        </w:numPr>
        <w:ind w:left="0" w:firstLine="0"/>
        <w:rPr>
          <w:sz w:val="24"/>
        </w:rPr>
      </w:pPr>
      <w:bookmarkStart w:id="91" w:name="_Hlk44490101"/>
      <w:r>
        <w:rPr>
          <w:sz w:val="24"/>
        </w:rPr>
        <w:t>《建设项目竣工环境保护验收暂行办法》（国环规环评〔2017〕4号）</w:t>
      </w:r>
      <w:bookmarkEnd w:id="91"/>
      <w:r>
        <w:rPr>
          <w:sz w:val="24"/>
        </w:rPr>
        <w:t>；</w:t>
      </w:r>
    </w:p>
    <w:p>
      <w:pPr>
        <w:pStyle w:val="3184"/>
        <w:numPr>
          <w:ilvl w:val="0"/>
          <w:numId w:val="17"/>
        </w:numPr>
        <w:ind w:left="0" w:firstLine="0"/>
        <w:rPr>
          <w:sz w:val="24"/>
        </w:rPr>
      </w:pPr>
      <w:r>
        <w:rPr>
          <w:sz w:val="24"/>
        </w:rPr>
        <w:t>《国家重点保护野生动物名录》（国家林业和草原局 农业农村部公告（2021年第3号）；</w:t>
      </w:r>
    </w:p>
    <w:p>
      <w:pPr>
        <w:pStyle w:val="3184"/>
        <w:numPr>
          <w:ilvl w:val="0"/>
          <w:numId w:val="17"/>
        </w:numPr>
        <w:ind w:left="0" w:firstLine="0"/>
        <w:rPr>
          <w:sz w:val="24"/>
        </w:rPr>
      </w:pPr>
      <w:r>
        <w:rPr>
          <w:sz w:val="24"/>
        </w:rPr>
        <w:t>《国家重点保护野生植物名录》（国家林业和草原局 农业农村部公告（2021年第15号）。</w:t>
      </w:r>
    </w:p>
    <w:p>
      <w:pPr>
        <w:pStyle w:val="5"/>
        <w:rPr>
          <w:color w:val="auto"/>
        </w:rPr>
      </w:pPr>
      <w:r>
        <w:rPr>
          <w:color w:val="auto"/>
        </w:rPr>
        <w:t>1.2.3重庆市行政法规及政策文件</w:t>
      </w:r>
    </w:p>
    <w:p>
      <w:pPr>
        <w:pStyle w:val="3184"/>
        <w:numPr>
          <w:ilvl w:val="0"/>
          <w:numId w:val="18"/>
        </w:numPr>
        <w:ind w:left="0" w:firstLine="0"/>
        <w:rPr>
          <w:sz w:val="24"/>
        </w:rPr>
      </w:pPr>
      <w:r>
        <w:rPr>
          <w:sz w:val="24"/>
        </w:rPr>
        <w:t>《重庆市环境保护条例》（</w:t>
      </w:r>
      <w:bookmarkStart w:id="92" w:name="_Hlk44490120"/>
      <w:r>
        <w:rPr>
          <w:sz w:val="24"/>
        </w:rPr>
        <w:t>2018年7月26日重庆市第五届人民代表大会常务委员会第四次会议第二次修正</w:t>
      </w:r>
      <w:bookmarkEnd w:id="92"/>
      <w:r>
        <w:rPr>
          <w:sz w:val="24"/>
        </w:rPr>
        <w:t>）；</w:t>
      </w:r>
    </w:p>
    <w:p>
      <w:pPr>
        <w:pStyle w:val="3184"/>
        <w:numPr>
          <w:ilvl w:val="0"/>
          <w:numId w:val="18"/>
        </w:numPr>
        <w:ind w:left="0" w:firstLine="0"/>
        <w:rPr>
          <w:sz w:val="24"/>
        </w:rPr>
      </w:pPr>
      <w:r>
        <w:rPr>
          <w:sz w:val="24"/>
        </w:rPr>
        <w:t>《重庆市大气污染防治条例》（</w:t>
      </w:r>
      <w:bookmarkStart w:id="93" w:name="_Hlk44490141"/>
      <w:r>
        <w:rPr>
          <w:sz w:val="24"/>
        </w:rPr>
        <w:t>2018年7月26日重庆市第五届人民代表大会常务委员会第四次会议修正</w:t>
      </w:r>
      <w:bookmarkEnd w:id="93"/>
      <w:r>
        <w:rPr>
          <w:sz w:val="24"/>
        </w:rPr>
        <w:t>）；</w:t>
      </w:r>
    </w:p>
    <w:p>
      <w:pPr>
        <w:pStyle w:val="3184"/>
        <w:numPr>
          <w:ilvl w:val="0"/>
          <w:numId w:val="18"/>
        </w:numPr>
        <w:ind w:left="0" w:firstLine="0"/>
        <w:rPr>
          <w:sz w:val="24"/>
        </w:rPr>
      </w:pPr>
      <w:r>
        <w:rPr>
          <w:sz w:val="24"/>
        </w:rPr>
        <w:t>《关于贯彻落实大气污染防治行动计划的实施意见》（渝府发〔2013〕86号）；</w:t>
      </w:r>
    </w:p>
    <w:p>
      <w:pPr>
        <w:pStyle w:val="3184"/>
        <w:numPr>
          <w:ilvl w:val="0"/>
          <w:numId w:val="18"/>
        </w:numPr>
        <w:ind w:left="0" w:firstLine="0"/>
        <w:rPr>
          <w:sz w:val="24"/>
        </w:rPr>
      </w:pPr>
      <w:r>
        <w:rPr>
          <w:sz w:val="24"/>
        </w:rPr>
        <w:t>《关于印发在江津合川璧山铜梁等区执行国家大气污染物特别排放限值工作方案的函》（渝环函〔2018〕490号）</w:t>
      </w:r>
    </w:p>
    <w:p>
      <w:pPr>
        <w:pStyle w:val="3184"/>
        <w:numPr>
          <w:ilvl w:val="0"/>
          <w:numId w:val="18"/>
        </w:numPr>
        <w:ind w:left="0" w:firstLine="0"/>
        <w:rPr>
          <w:sz w:val="24"/>
        </w:rPr>
      </w:pPr>
      <w:r>
        <w:rPr>
          <w:sz w:val="24"/>
        </w:rPr>
        <w:t>《重庆市生态环境局关于深化工业大气污染防治打赢蓝天保卫战的通知》（渝环〔2019〕176号）</w:t>
      </w:r>
    </w:p>
    <w:p>
      <w:pPr>
        <w:pStyle w:val="3184"/>
        <w:numPr>
          <w:ilvl w:val="0"/>
          <w:numId w:val="18"/>
        </w:numPr>
        <w:ind w:left="0" w:firstLine="0"/>
        <w:rPr>
          <w:sz w:val="24"/>
        </w:rPr>
      </w:pPr>
      <w:r>
        <w:rPr>
          <w:sz w:val="24"/>
        </w:rPr>
        <w:t>）《关于印发贯彻落实国务院水污染防治行动计划实施方案的通知》（渝府发〔2015〕69号）；</w:t>
      </w:r>
    </w:p>
    <w:p>
      <w:pPr>
        <w:pStyle w:val="3184"/>
        <w:numPr>
          <w:ilvl w:val="0"/>
          <w:numId w:val="18"/>
        </w:numPr>
        <w:ind w:left="0" w:firstLine="0"/>
        <w:rPr>
          <w:sz w:val="24"/>
        </w:rPr>
      </w:pPr>
      <w:r>
        <w:rPr>
          <w:sz w:val="24"/>
        </w:rPr>
        <w:t>《重庆市噪声污染防治办法》（重庆市人民政府令第363号，2023年12月5日）</w:t>
      </w:r>
    </w:p>
    <w:p>
      <w:pPr>
        <w:pStyle w:val="3184"/>
        <w:numPr>
          <w:ilvl w:val="0"/>
          <w:numId w:val="18"/>
        </w:numPr>
        <w:ind w:left="0" w:firstLine="0"/>
        <w:rPr>
          <w:sz w:val="24"/>
        </w:rPr>
      </w:pPr>
      <w:r>
        <w:rPr>
          <w:sz w:val="24"/>
        </w:rPr>
        <w:t>《重庆市环境空气质量功能区划分规定》（渝府发〔2016〕19号，2016年5月24日）；</w:t>
      </w:r>
    </w:p>
    <w:p>
      <w:pPr>
        <w:pStyle w:val="3184"/>
        <w:numPr>
          <w:ilvl w:val="0"/>
          <w:numId w:val="18"/>
        </w:numPr>
        <w:ind w:left="0" w:firstLine="0"/>
        <w:rPr>
          <w:sz w:val="24"/>
        </w:rPr>
      </w:pPr>
      <w:r>
        <w:rPr>
          <w:sz w:val="24"/>
        </w:rPr>
        <w:t>《重庆市人民政府批转重庆市地表水环境功能类别调整方案的通知》（渝府发〔2012〕4号）</w:t>
      </w:r>
    </w:p>
    <w:p>
      <w:pPr>
        <w:pStyle w:val="3184"/>
        <w:numPr>
          <w:ilvl w:val="0"/>
          <w:numId w:val="18"/>
        </w:numPr>
        <w:ind w:left="0" w:firstLine="0"/>
        <w:rPr>
          <w:sz w:val="24"/>
        </w:rPr>
      </w:pPr>
      <w:r>
        <w:rPr>
          <w:sz w:val="24"/>
        </w:rPr>
        <w:t>《重庆市人民政府关于批转重庆市地表水环境功能类别局部调整方案的通知》（渝府〔2016〕43号）；</w:t>
      </w:r>
    </w:p>
    <w:p>
      <w:pPr>
        <w:pStyle w:val="3184"/>
        <w:numPr>
          <w:ilvl w:val="0"/>
          <w:numId w:val="18"/>
        </w:numPr>
        <w:ind w:left="0" w:firstLine="0"/>
        <w:rPr>
          <w:sz w:val="24"/>
        </w:rPr>
      </w:pPr>
      <w:r>
        <w:rPr>
          <w:sz w:val="24"/>
        </w:rPr>
        <w:t>《重庆市声环境功能区划分技术规范实施细则（试行）》（渝环〔2015〕429号）；</w:t>
      </w:r>
    </w:p>
    <w:p>
      <w:pPr>
        <w:pStyle w:val="3184"/>
        <w:numPr>
          <w:ilvl w:val="0"/>
          <w:numId w:val="18"/>
        </w:numPr>
        <w:ind w:left="0" w:firstLine="0"/>
        <w:rPr>
          <w:sz w:val="24"/>
        </w:rPr>
      </w:pPr>
      <w:r>
        <w:rPr>
          <w:sz w:val="24"/>
        </w:rPr>
        <w:t>《重庆市生态功能区划（修编）》（渝府发〔2008〕133号）；</w:t>
      </w:r>
    </w:p>
    <w:p>
      <w:pPr>
        <w:pStyle w:val="3184"/>
        <w:numPr>
          <w:ilvl w:val="0"/>
          <w:numId w:val="18"/>
        </w:numPr>
        <w:ind w:left="0" w:firstLine="0"/>
        <w:rPr>
          <w:sz w:val="24"/>
        </w:rPr>
      </w:pPr>
      <w:r>
        <w:rPr>
          <w:sz w:val="24"/>
        </w:rPr>
        <w:t>《重庆市重点生态功能区划和建设规划（2011-2030年）》；</w:t>
      </w:r>
    </w:p>
    <w:p>
      <w:pPr>
        <w:pStyle w:val="3184"/>
        <w:numPr>
          <w:ilvl w:val="0"/>
          <w:numId w:val="18"/>
        </w:numPr>
        <w:ind w:left="0" w:firstLine="0"/>
        <w:rPr>
          <w:sz w:val="24"/>
        </w:rPr>
      </w:pPr>
      <w:r>
        <w:rPr>
          <w:sz w:val="24"/>
        </w:rPr>
        <w:t>《重庆市人民政府办公厅关于印发重庆市进一步推进排污权（污水、废气、垃圾）有偿使用和交易工作实施方案的通知》（渝府办发〔2014〕178号）；</w:t>
      </w:r>
    </w:p>
    <w:p>
      <w:pPr>
        <w:pStyle w:val="3184"/>
        <w:numPr>
          <w:ilvl w:val="0"/>
          <w:numId w:val="18"/>
        </w:numPr>
        <w:ind w:left="0" w:firstLine="0"/>
        <w:rPr>
          <w:sz w:val="24"/>
        </w:rPr>
      </w:pPr>
      <w:r>
        <w:rPr>
          <w:sz w:val="24"/>
        </w:rPr>
        <w:t>《重庆市环境保护局关于印发重庆市工业企业排污权有偿使用和交易工作实施细则的通知》（渝环发〔2017〕249号）；</w:t>
      </w:r>
    </w:p>
    <w:p>
      <w:pPr>
        <w:pStyle w:val="3184"/>
        <w:numPr>
          <w:ilvl w:val="0"/>
          <w:numId w:val="18"/>
        </w:numPr>
        <w:ind w:left="0" w:firstLine="0"/>
        <w:rPr>
          <w:sz w:val="24"/>
        </w:rPr>
      </w:pPr>
      <w:r>
        <w:rPr>
          <w:sz w:val="24"/>
        </w:rPr>
        <w:t>《重庆市发展和改革委员会关于印发重庆市产业投资准入工作手册的通知》（渝发改投资〔2022〕1436号）；</w:t>
      </w:r>
    </w:p>
    <w:p>
      <w:pPr>
        <w:pStyle w:val="3184"/>
        <w:numPr>
          <w:ilvl w:val="0"/>
          <w:numId w:val="18"/>
        </w:numPr>
        <w:ind w:left="0" w:firstLine="0"/>
        <w:rPr>
          <w:sz w:val="24"/>
        </w:rPr>
      </w:pPr>
      <w:r>
        <w:rPr>
          <w:sz w:val="24"/>
        </w:rPr>
        <w:t>《关于严格工业布局和准入的通知》（渝发改工〔2018〕781号）；</w:t>
      </w:r>
    </w:p>
    <w:p>
      <w:pPr>
        <w:pStyle w:val="3184"/>
        <w:numPr>
          <w:ilvl w:val="0"/>
          <w:numId w:val="18"/>
        </w:numPr>
        <w:ind w:left="0" w:firstLine="0"/>
        <w:rPr>
          <w:sz w:val="24"/>
        </w:rPr>
      </w:pPr>
      <w:r>
        <w:rPr>
          <w:sz w:val="24"/>
        </w:rPr>
        <w:t>《重庆市环境保护局关于强化措施深入贯彻环境影响评价改革工作的通知》（渝环〔2017〕208号）；</w:t>
      </w:r>
    </w:p>
    <w:p>
      <w:pPr>
        <w:pStyle w:val="3184"/>
        <w:numPr>
          <w:ilvl w:val="0"/>
          <w:numId w:val="18"/>
        </w:numPr>
        <w:ind w:left="0" w:firstLine="0"/>
        <w:rPr>
          <w:sz w:val="24"/>
        </w:rPr>
      </w:pPr>
      <w:r>
        <w:rPr>
          <w:sz w:val="24"/>
        </w:rPr>
        <w:t>《重庆市环境保护局关于印发重庆市排污口规范化清理整治实施方案的通知》（渝环发〔2012〕26号）；</w:t>
      </w:r>
    </w:p>
    <w:p>
      <w:pPr>
        <w:pStyle w:val="3184"/>
        <w:numPr>
          <w:ilvl w:val="0"/>
          <w:numId w:val="18"/>
        </w:numPr>
        <w:ind w:left="0" w:firstLine="0"/>
        <w:rPr>
          <w:sz w:val="24"/>
        </w:rPr>
      </w:pPr>
      <w:bookmarkStart w:id="94" w:name="_Hlk44490210"/>
      <w:r>
        <w:rPr>
          <w:sz w:val="24"/>
        </w:rPr>
        <w:t>《重庆市污染防治攻坚战实施方案（2018-2020年）》的通知（渝委发〔2018〕28号）；</w:t>
      </w:r>
    </w:p>
    <w:bookmarkEnd w:id="94"/>
    <w:p>
      <w:pPr>
        <w:pStyle w:val="3184"/>
        <w:ind w:left="0"/>
        <w:rPr>
          <w:sz w:val="24"/>
        </w:rPr>
      </w:pPr>
      <w:r>
        <w:rPr>
          <w:sz w:val="24"/>
        </w:rPr>
        <w:t>《重庆市人民政府办公厅关于印发重庆市控制污染物排放许可制实施计划的通知》（渝府办发〔2017〕167号）；</w:t>
      </w:r>
    </w:p>
    <w:p>
      <w:pPr>
        <w:pStyle w:val="3184"/>
        <w:numPr>
          <w:ilvl w:val="0"/>
          <w:numId w:val="18"/>
        </w:numPr>
        <w:ind w:left="0" w:firstLine="0"/>
        <w:rPr>
          <w:sz w:val="24"/>
        </w:rPr>
      </w:pPr>
      <w:bookmarkStart w:id="95" w:name="_Hlk44490223"/>
      <w:r>
        <w:rPr>
          <w:sz w:val="24"/>
        </w:rPr>
        <w:t>《重庆市人民政府关于落实生态保护红线、环境质量底线、资源利用上线制定生态环境准入清单实施生态环境分区管控的实施意见》（渝府发〔2020〕11号）；</w:t>
      </w:r>
    </w:p>
    <w:p>
      <w:pPr>
        <w:pStyle w:val="3184"/>
        <w:numPr>
          <w:ilvl w:val="0"/>
          <w:numId w:val="18"/>
        </w:numPr>
        <w:ind w:left="0" w:firstLine="0"/>
        <w:rPr>
          <w:sz w:val="24"/>
        </w:rPr>
      </w:pPr>
      <w:r>
        <w:rPr>
          <w:sz w:val="24"/>
        </w:rPr>
        <w:t>《重庆市矿山环境治理和生态恢复保证金管理暂行办法》（2007.10.1）；</w:t>
      </w:r>
    </w:p>
    <w:p>
      <w:pPr>
        <w:pStyle w:val="3184"/>
        <w:numPr>
          <w:ilvl w:val="0"/>
          <w:numId w:val="18"/>
        </w:numPr>
        <w:ind w:left="0" w:firstLine="0"/>
        <w:rPr>
          <w:sz w:val="24"/>
        </w:rPr>
      </w:pPr>
      <w:r>
        <w:rPr>
          <w:sz w:val="24"/>
        </w:rPr>
        <w:t>《重庆市矿产资源管理条例》（2020年8月1日）；</w:t>
      </w:r>
    </w:p>
    <w:p>
      <w:pPr>
        <w:pStyle w:val="3184"/>
        <w:numPr>
          <w:ilvl w:val="0"/>
          <w:numId w:val="18"/>
        </w:numPr>
        <w:ind w:left="0" w:firstLine="0"/>
        <w:rPr>
          <w:sz w:val="24"/>
        </w:rPr>
      </w:pPr>
      <w:r>
        <w:rPr>
          <w:sz w:val="24"/>
        </w:rPr>
        <w:t>《重庆市水土保持规划（2016-2030年）》（重庆市水利局，2017年5月）；</w:t>
      </w:r>
    </w:p>
    <w:p>
      <w:pPr>
        <w:pStyle w:val="3184"/>
        <w:numPr>
          <w:ilvl w:val="0"/>
          <w:numId w:val="18"/>
        </w:numPr>
        <w:ind w:left="0" w:firstLine="0"/>
        <w:rPr>
          <w:sz w:val="24"/>
        </w:rPr>
      </w:pPr>
      <w:r>
        <w:rPr>
          <w:sz w:val="24"/>
        </w:rPr>
        <w:t>《重庆市加快推进绿色矿山建设工作方案》（渝国土房管规发〔2017〕13号，2017年6月19日）；</w:t>
      </w:r>
    </w:p>
    <w:p>
      <w:pPr>
        <w:pStyle w:val="3184"/>
        <w:numPr>
          <w:ilvl w:val="0"/>
          <w:numId w:val="18"/>
        </w:numPr>
        <w:ind w:left="0" w:firstLine="0"/>
        <w:rPr>
          <w:sz w:val="24"/>
        </w:rPr>
      </w:pPr>
      <w:r>
        <w:rPr>
          <w:sz w:val="24"/>
        </w:rPr>
        <w:t>《加快推进绿色矿山建设有关事宜的通知》（渝国土房管办〔2017〕138号）；</w:t>
      </w:r>
    </w:p>
    <w:p>
      <w:pPr>
        <w:pStyle w:val="3184"/>
        <w:numPr>
          <w:ilvl w:val="0"/>
          <w:numId w:val="18"/>
        </w:numPr>
        <w:ind w:left="0" w:firstLine="0"/>
        <w:rPr>
          <w:sz w:val="24"/>
        </w:rPr>
      </w:pPr>
      <w:r>
        <w:rPr>
          <w:sz w:val="24"/>
        </w:rPr>
        <w:t>《关于印发重庆市绿色矿山建设标准的通知》（渝国土房管规发〔2018〕2号），（重庆市国土房管局办公室，2018年2月6日印发）；</w:t>
      </w:r>
    </w:p>
    <w:p>
      <w:pPr>
        <w:pStyle w:val="3184"/>
        <w:numPr>
          <w:ilvl w:val="0"/>
          <w:numId w:val="18"/>
        </w:numPr>
        <w:ind w:left="0" w:firstLine="0"/>
        <w:rPr>
          <w:sz w:val="24"/>
        </w:rPr>
      </w:pPr>
      <w:r>
        <w:rPr>
          <w:sz w:val="24"/>
        </w:rPr>
        <w:t>《重庆市合川区水土保持规划（2018-2030年）》；</w:t>
      </w:r>
    </w:p>
    <w:bookmarkEnd w:id="95"/>
    <w:p>
      <w:pPr>
        <w:pStyle w:val="3184"/>
        <w:numPr>
          <w:ilvl w:val="0"/>
          <w:numId w:val="18"/>
        </w:numPr>
        <w:ind w:left="0" w:firstLine="0"/>
        <w:rPr>
          <w:sz w:val="24"/>
        </w:rPr>
      </w:pPr>
      <w:r>
        <w:rPr>
          <w:sz w:val="24"/>
        </w:rPr>
        <w:t>《重庆市生态环境局关于依法申领排污许可证和排污登记的公告》（市生态环境局便函〔2020〕304）；</w:t>
      </w:r>
    </w:p>
    <w:p>
      <w:pPr>
        <w:pStyle w:val="3184"/>
        <w:numPr>
          <w:ilvl w:val="0"/>
          <w:numId w:val="18"/>
        </w:numPr>
        <w:ind w:left="0" w:firstLine="0"/>
        <w:rPr>
          <w:sz w:val="24"/>
        </w:rPr>
      </w:pPr>
      <w:r>
        <w:rPr>
          <w:sz w:val="24"/>
        </w:rPr>
        <w:t>《重庆市固定污染源排污许可清理整顿和发证登记工作实施方案》（渝环办〔2020〕38号）；</w:t>
      </w:r>
    </w:p>
    <w:p>
      <w:pPr>
        <w:pStyle w:val="3184"/>
        <w:numPr>
          <w:ilvl w:val="0"/>
          <w:numId w:val="18"/>
        </w:numPr>
        <w:ind w:left="0" w:firstLine="0"/>
        <w:rPr>
          <w:sz w:val="24"/>
        </w:rPr>
      </w:pPr>
      <w:r>
        <w:rPr>
          <w:sz w:val="24"/>
        </w:rPr>
        <w:t>《重庆市人民政府关于印发重庆市环境空气质量功能区划分规定的通知》（渝府发〔2016〕19 号）；</w:t>
      </w:r>
    </w:p>
    <w:p>
      <w:pPr>
        <w:pStyle w:val="3184"/>
        <w:numPr>
          <w:ilvl w:val="0"/>
          <w:numId w:val="18"/>
        </w:numPr>
        <w:ind w:left="0" w:firstLine="0"/>
        <w:rPr>
          <w:sz w:val="24"/>
        </w:rPr>
      </w:pPr>
      <w:r>
        <w:rPr>
          <w:sz w:val="24"/>
        </w:rPr>
        <w:t>《关于印发&lt;重庆市长江经济带发展负面清单实施细则（试行）&gt;的通知》（渝推长办发〔2019〕40号）。</w:t>
      </w:r>
    </w:p>
    <w:p>
      <w:pPr>
        <w:pStyle w:val="3184"/>
        <w:numPr>
          <w:ilvl w:val="0"/>
          <w:numId w:val="18"/>
        </w:numPr>
        <w:ind w:left="0" w:firstLine="0"/>
        <w:rPr>
          <w:sz w:val="24"/>
        </w:rPr>
      </w:pPr>
      <w:r>
        <w:rPr>
          <w:sz w:val="24"/>
        </w:rPr>
        <w:t>《重庆市环境保护局关于环境空气质量功能区划分问题的批复》（渝府发〔2016〕386 号）；</w:t>
      </w:r>
    </w:p>
    <w:p>
      <w:pPr>
        <w:pStyle w:val="3184"/>
        <w:numPr>
          <w:ilvl w:val="0"/>
          <w:numId w:val="18"/>
        </w:numPr>
        <w:ind w:left="0" w:firstLine="0"/>
        <w:rPr>
          <w:sz w:val="24"/>
        </w:rPr>
      </w:pPr>
      <w:r>
        <w:rPr>
          <w:sz w:val="24"/>
        </w:rPr>
        <w:t>《重庆市绿色矿山管理办法》（渝规资规范〔2020〕13号）；</w:t>
      </w:r>
    </w:p>
    <w:p>
      <w:pPr>
        <w:pStyle w:val="3184"/>
        <w:numPr>
          <w:ilvl w:val="0"/>
          <w:numId w:val="18"/>
        </w:numPr>
        <w:ind w:left="0" w:firstLine="0"/>
        <w:rPr>
          <w:sz w:val="24"/>
        </w:rPr>
      </w:pPr>
      <w:r>
        <w:rPr>
          <w:sz w:val="24"/>
        </w:rPr>
        <w:t>《重庆市合川区人民政府关于落实生态保护红线、环境质量底线、资源利用上线制定生态环境准入清单实施生态环境分区管控的实施意见》（合川府发〔2020〕16号）；</w:t>
      </w:r>
    </w:p>
    <w:p>
      <w:pPr>
        <w:pStyle w:val="3184"/>
        <w:numPr>
          <w:ilvl w:val="0"/>
          <w:numId w:val="18"/>
        </w:numPr>
        <w:ind w:left="0" w:firstLine="0"/>
        <w:rPr>
          <w:sz w:val="24"/>
        </w:rPr>
      </w:pPr>
      <w:r>
        <w:rPr>
          <w:sz w:val="24"/>
        </w:rPr>
        <w:t>《</w:t>
      </w:r>
      <w:r>
        <w:fldChar w:fldCharType="begin"/>
      </w:r>
      <w:r>
        <w:instrText xml:space="preserve"> HYPERLINK "http://www.cq.gov.cn/zwgk/zfxxgkml/wlzcxx/hmlm/whszfbm/202110/P020211008723438257777.docx" </w:instrText>
      </w:r>
      <w:r>
        <w:fldChar w:fldCharType="separate"/>
      </w:r>
      <w:r>
        <w:rPr>
          <w:sz w:val="24"/>
        </w:rPr>
        <w:t>重庆市规划和自然资源局关于印发重庆市历史遗留和关闭矿山地质环境治理恢复与土地复垦管理办法的通知</w:t>
      </w:r>
      <w:r>
        <w:rPr>
          <w:sz w:val="24"/>
        </w:rPr>
        <w:fldChar w:fldCharType="end"/>
      </w:r>
      <w:r>
        <w:rPr>
          <w:sz w:val="24"/>
        </w:rPr>
        <w:t>》（渝规资规范〔2021〕6号）；</w:t>
      </w:r>
    </w:p>
    <w:p>
      <w:pPr>
        <w:pStyle w:val="3184"/>
        <w:numPr>
          <w:ilvl w:val="0"/>
          <w:numId w:val="18"/>
        </w:numPr>
        <w:ind w:left="0" w:firstLine="0"/>
        <w:rPr>
          <w:sz w:val="24"/>
        </w:rPr>
      </w:pPr>
      <w:r>
        <w:rPr>
          <w:sz w:val="24"/>
        </w:rPr>
        <w:t>《重庆市生态环境保护“十四五”规划（2021-2025年）》（渝府发〔2022〕11号）；</w:t>
      </w:r>
    </w:p>
    <w:p>
      <w:pPr>
        <w:pStyle w:val="3184"/>
        <w:numPr>
          <w:ilvl w:val="0"/>
          <w:numId w:val="18"/>
        </w:numPr>
        <w:ind w:left="0" w:firstLine="0"/>
        <w:rPr>
          <w:sz w:val="24"/>
        </w:rPr>
      </w:pPr>
      <w:r>
        <w:rPr>
          <w:sz w:val="24"/>
        </w:rPr>
        <w:t>《合川区生态环境保护“十四五”规划》（合川府发〔2022〕3号）；</w:t>
      </w:r>
    </w:p>
    <w:p>
      <w:pPr>
        <w:pStyle w:val="3184"/>
        <w:numPr>
          <w:ilvl w:val="0"/>
          <w:numId w:val="18"/>
        </w:numPr>
        <w:ind w:left="0" w:firstLine="0"/>
        <w:rPr>
          <w:sz w:val="24"/>
        </w:rPr>
      </w:pPr>
      <w:r>
        <w:rPr>
          <w:sz w:val="24"/>
        </w:rPr>
        <w:t>《重庆市矿产资源总体规划（2021-2025年）》；</w:t>
      </w:r>
    </w:p>
    <w:p>
      <w:pPr>
        <w:pStyle w:val="3184"/>
        <w:numPr>
          <w:ilvl w:val="0"/>
          <w:numId w:val="18"/>
        </w:numPr>
        <w:ind w:left="0" w:firstLine="0"/>
        <w:rPr>
          <w:sz w:val="24"/>
        </w:rPr>
      </w:pPr>
      <w:r>
        <w:rPr>
          <w:sz w:val="24"/>
        </w:rPr>
        <w:t>《重庆市矿产资源总体规划（2021-2025年）环境影响报告书》及审查意见函（环审〔2022〕64号）；</w:t>
      </w:r>
    </w:p>
    <w:p>
      <w:pPr>
        <w:pStyle w:val="3184"/>
        <w:numPr>
          <w:ilvl w:val="0"/>
          <w:numId w:val="18"/>
        </w:numPr>
        <w:ind w:left="0" w:firstLine="0"/>
        <w:rPr>
          <w:sz w:val="24"/>
        </w:rPr>
      </w:pPr>
      <w:r>
        <w:rPr>
          <w:sz w:val="24"/>
        </w:rPr>
        <w:t>《重庆市合川区矿产资源总体规划（2021-2025）》；</w:t>
      </w:r>
    </w:p>
    <w:p>
      <w:pPr>
        <w:pStyle w:val="3184"/>
        <w:numPr>
          <w:ilvl w:val="0"/>
          <w:numId w:val="18"/>
        </w:numPr>
        <w:ind w:left="0" w:firstLine="0"/>
        <w:rPr>
          <w:sz w:val="24"/>
        </w:rPr>
      </w:pPr>
      <w:r>
        <w:rPr>
          <w:sz w:val="24"/>
        </w:rPr>
        <w:t>《重庆市合川区矿产资源总体规划（2021-2025年）环境影响报告书》及审查意见（渝环函〔2022〕621号）；</w:t>
      </w:r>
    </w:p>
    <w:p>
      <w:pPr>
        <w:pStyle w:val="3184"/>
        <w:numPr>
          <w:ilvl w:val="0"/>
          <w:numId w:val="18"/>
        </w:numPr>
        <w:ind w:left="0" w:firstLine="0"/>
        <w:rPr>
          <w:sz w:val="24"/>
        </w:rPr>
      </w:pPr>
      <w:r>
        <w:rPr>
          <w:sz w:val="24"/>
        </w:rPr>
        <w:t>《重庆市九峰山森林公园控制性详细规划》。</w:t>
      </w:r>
    </w:p>
    <w:p>
      <w:pPr>
        <w:pStyle w:val="5"/>
        <w:rPr>
          <w:color w:val="auto"/>
        </w:rPr>
      </w:pPr>
      <w:r>
        <w:rPr>
          <w:color w:val="auto"/>
        </w:rPr>
        <w:t>1.2.4技术规范</w:t>
      </w:r>
    </w:p>
    <w:p>
      <w:pPr>
        <w:pStyle w:val="3184"/>
        <w:numPr>
          <w:ilvl w:val="0"/>
          <w:numId w:val="19"/>
        </w:numPr>
        <w:ind w:left="0" w:firstLine="0"/>
        <w:rPr>
          <w:sz w:val="24"/>
        </w:rPr>
      </w:pPr>
      <w:r>
        <w:rPr>
          <w:sz w:val="24"/>
        </w:rPr>
        <w:t>《建设项目环境影响评价导则  总纲》（HJ 2.1-2016）；</w:t>
      </w:r>
    </w:p>
    <w:p>
      <w:pPr>
        <w:pStyle w:val="3184"/>
        <w:numPr>
          <w:ilvl w:val="0"/>
          <w:numId w:val="19"/>
        </w:numPr>
        <w:ind w:left="0" w:firstLine="0"/>
        <w:rPr>
          <w:sz w:val="24"/>
        </w:rPr>
      </w:pPr>
      <w:r>
        <w:rPr>
          <w:sz w:val="24"/>
        </w:rPr>
        <w:t>《环境影响评价技术导则  大气环境》（HJ 2.2-2018）；</w:t>
      </w:r>
    </w:p>
    <w:p>
      <w:pPr>
        <w:pStyle w:val="3184"/>
        <w:numPr>
          <w:ilvl w:val="0"/>
          <w:numId w:val="19"/>
        </w:numPr>
        <w:ind w:left="0" w:firstLine="0"/>
        <w:rPr>
          <w:sz w:val="24"/>
        </w:rPr>
      </w:pPr>
      <w:r>
        <w:rPr>
          <w:sz w:val="24"/>
        </w:rPr>
        <w:t>《环境影响评价技术导则  地表水环境》（HJ 2.3-2018）；</w:t>
      </w:r>
    </w:p>
    <w:p>
      <w:pPr>
        <w:pStyle w:val="3184"/>
        <w:numPr>
          <w:ilvl w:val="0"/>
          <w:numId w:val="19"/>
        </w:numPr>
        <w:ind w:left="0" w:firstLine="0"/>
        <w:rPr>
          <w:sz w:val="24"/>
        </w:rPr>
      </w:pPr>
      <w:r>
        <w:rPr>
          <w:sz w:val="24"/>
        </w:rPr>
        <w:t>《环境影响评价技术导则  声环境》（HJ2.4-2021）；</w:t>
      </w:r>
    </w:p>
    <w:p>
      <w:pPr>
        <w:pStyle w:val="3184"/>
        <w:numPr>
          <w:ilvl w:val="0"/>
          <w:numId w:val="19"/>
        </w:numPr>
        <w:ind w:left="0" w:firstLine="0"/>
        <w:rPr>
          <w:sz w:val="24"/>
        </w:rPr>
      </w:pPr>
      <w:r>
        <w:rPr>
          <w:sz w:val="24"/>
        </w:rPr>
        <w:t>《环境影响评价技术导则  地下水环境》（HJ 610-2016）；</w:t>
      </w:r>
    </w:p>
    <w:p>
      <w:pPr>
        <w:pStyle w:val="3184"/>
        <w:numPr>
          <w:ilvl w:val="0"/>
          <w:numId w:val="19"/>
        </w:numPr>
        <w:ind w:left="0" w:firstLine="0"/>
        <w:rPr>
          <w:sz w:val="24"/>
        </w:rPr>
      </w:pPr>
      <w:r>
        <w:rPr>
          <w:sz w:val="24"/>
        </w:rPr>
        <w:t>《环境影响评价技术导则  生态影响》（HJ19-2022）；</w:t>
      </w:r>
    </w:p>
    <w:p>
      <w:pPr>
        <w:pStyle w:val="3184"/>
        <w:numPr>
          <w:ilvl w:val="0"/>
          <w:numId w:val="19"/>
        </w:numPr>
        <w:ind w:left="0" w:firstLine="0"/>
        <w:rPr>
          <w:sz w:val="24"/>
        </w:rPr>
      </w:pPr>
      <w:r>
        <w:rPr>
          <w:sz w:val="24"/>
        </w:rPr>
        <w:t>《建设项目环境风险评价技术导则》（HJ 169-2018）；</w:t>
      </w:r>
    </w:p>
    <w:p>
      <w:pPr>
        <w:pStyle w:val="3184"/>
        <w:numPr>
          <w:ilvl w:val="0"/>
          <w:numId w:val="19"/>
        </w:numPr>
        <w:ind w:left="0" w:firstLine="0"/>
        <w:rPr>
          <w:sz w:val="24"/>
        </w:rPr>
      </w:pPr>
      <w:r>
        <w:rPr>
          <w:sz w:val="24"/>
        </w:rPr>
        <w:t>《环境影响评价技术导则  土壤环境（试行）》（HJ 964-2018）；</w:t>
      </w:r>
    </w:p>
    <w:p>
      <w:pPr>
        <w:pStyle w:val="3184"/>
        <w:numPr>
          <w:ilvl w:val="0"/>
          <w:numId w:val="19"/>
        </w:numPr>
        <w:ind w:left="0" w:firstLine="0"/>
        <w:rPr>
          <w:sz w:val="24"/>
        </w:rPr>
      </w:pPr>
      <w:r>
        <w:rPr>
          <w:sz w:val="24"/>
        </w:rPr>
        <w:t>《声环境功能区划分技术规范》（GB/T 15190-2014）；</w:t>
      </w:r>
    </w:p>
    <w:p>
      <w:pPr>
        <w:pStyle w:val="3184"/>
        <w:numPr>
          <w:ilvl w:val="0"/>
          <w:numId w:val="19"/>
        </w:numPr>
        <w:ind w:left="0" w:firstLine="0"/>
        <w:rPr>
          <w:sz w:val="24"/>
        </w:rPr>
      </w:pPr>
      <w:r>
        <w:rPr>
          <w:sz w:val="24"/>
        </w:rPr>
        <w:t>《排污单位自行监测技术指南》（HJ 819-2017）；</w:t>
      </w:r>
    </w:p>
    <w:p>
      <w:pPr>
        <w:pStyle w:val="3184"/>
        <w:numPr>
          <w:ilvl w:val="0"/>
          <w:numId w:val="19"/>
        </w:numPr>
        <w:ind w:left="0" w:firstLine="0"/>
        <w:rPr>
          <w:sz w:val="24"/>
        </w:rPr>
      </w:pPr>
      <w:r>
        <w:rPr>
          <w:sz w:val="24"/>
        </w:rPr>
        <w:t>《污染源源强核算技术指南 准则》（HJ884-2018）；</w:t>
      </w:r>
    </w:p>
    <w:p>
      <w:pPr>
        <w:pStyle w:val="3184"/>
        <w:numPr>
          <w:ilvl w:val="0"/>
          <w:numId w:val="19"/>
        </w:numPr>
        <w:ind w:left="0" w:firstLine="0"/>
        <w:rPr>
          <w:sz w:val="24"/>
        </w:rPr>
      </w:pPr>
      <w:r>
        <w:rPr>
          <w:sz w:val="24"/>
        </w:rPr>
        <w:t>《固体废物鉴别标准 通则》（GB34330-2017）；</w:t>
      </w:r>
    </w:p>
    <w:p>
      <w:pPr>
        <w:pStyle w:val="3184"/>
        <w:numPr>
          <w:ilvl w:val="0"/>
          <w:numId w:val="19"/>
        </w:numPr>
        <w:ind w:left="0" w:firstLine="0"/>
        <w:rPr>
          <w:sz w:val="24"/>
        </w:rPr>
      </w:pPr>
      <w:r>
        <w:rPr>
          <w:sz w:val="24"/>
        </w:rPr>
        <w:t>《矿山生态环境保护与恢复治理技术规范（试行）》（HJ651-2013）；</w:t>
      </w:r>
    </w:p>
    <w:p>
      <w:pPr>
        <w:pStyle w:val="3184"/>
        <w:numPr>
          <w:ilvl w:val="0"/>
          <w:numId w:val="19"/>
        </w:numPr>
        <w:ind w:left="0" w:firstLine="0"/>
        <w:rPr>
          <w:sz w:val="24"/>
        </w:rPr>
      </w:pPr>
      <w:r>
        <w:rPr>
          <w:sz w:val="24"/>
        </w:rPr>
        <w:t>《非金属矿行业绿色矿山建设规范》（DT/T0312-2018）；</w:t>
      </w:r>
    </w:p>
    <w:p>
      <w:pPr>
        <w:pStyle w:val="3184"/>
        <w:numPr>
          <w:ilvl w:val="0"/>
          <w:numId w:val="19"/>
        </w:numPr>
        <w:ind w:left="0" w:firstLine="0"/>
        <w:rPr>
          <w:sz w:val="24"/>
        </w:rPr>
      </w:pPr>
      <w:r>
        <w:rPr>
          <w:sz w:val="24"/>
        </w:rPr>
        <w:t>《砂石行业绿色矿山建设规范》（DZ/T0316- 2018）。</w:t>
      </w:r>
    </w:p>
    <w:p>
      <w:pPr>
        <w:pStyle w:val="5"/>
        <w:rPr>
          <w:color w:val="auto"/>
        </w:rPr>
      </w:pPr>
      <w:r>
        <w:rPr>
          <w:color w:val="auto"/>
        </w:rPr>
        <w:t>1.2.5项目有关资料</w:t>
      </w:r>
    </w:p>
    <w:p>
      <w:pPr>
        <w:pStyle w:val="3184"/>
        <w:numPr>
          <w:ilvl w:val="0"/>
          <w:numId w:val="20"/>
        </w:numPr>
        <w:ind w:left="0" w:firstLine="0"/>
        <w:rPr>
          <w:sz w:val="24"/>
        </w:rPr>
      </w:pPr>
      <w:r>
        <w:rPr>
          <w:sz w:val="24"/>
        </w:rPr>
        <w:t>《重庆峰磊矿业有限公司合川区盐井街道观音村五社建筑用灰岩矿矿产资源储量核实报告》（重庆市吉丰地质勘查有限公司，2023年9月）；</w:t>
      </w:r>
    </w:p>
    <w:p>
      <w:pPr>
        <w:pStyle w:val="3184"/>
        <w:numPr>
          <w:ilvl w:val="0"/>
          <w:numId w:val="20"/>
        </w:numPr>
        <w:ind w:left="0" w:firstLine="0"/>
        <w:rPr>
          <w:sz w:val="24"/>
        </w:rPr>
      </w:pPr>
      <w:r>
        <w:rPr>
          <w:sz w:val="24"/>
        </w:rPr>
        <w:t>《重庆峰磊矿业有限公司合川区盐井街道观音村五社建筑用灰岩矿矿产资源开发利用方案》（重庆市吉丰地质勘查有限公司，2023年9月）；</w:t>
      </w:r>
    </w:p>
    <w:p>
      <w:pPr>
        <w:pStyle w:val="3184"/>
        <w:numPr>
          <w:ilvl w:val="0"/>
          <w:numId w:val="20"/>
        </w:numPr>
        <w:ind w:left="0" w:firstLine="0"/>
        <w:rPr>
          <w:sz w:val="24"/>
        </w:rPr>
      </w:pPr>
      <w:r>
        <w:rPr>
          <w:sz w:val="24"/>
        </w:rPr>
        <w:t>《重庆峰磊矿业有限公司建筑用灰岩矿矿山地质环境保护与土地复垦方案》（拓土发展有限公司，2023年9月）；</w:t>
      </w:r>
    </w:p>
    <w:p>
      <w:pPr>
        <w:pStyle w:val="3184"/>
        <w:numPr>
          <w:ilvl w:val="0"/>
          <w:numId w:val="20"/>
        </w:numPr>
        <w:ind w:left="0" w:firstLine="0"/>
        <w:rPr>
          <w:sz w:val="24"/>
        </w:rPr>
      </w:pPr>
      <w:r>
        <w:rPr>
          <w:sz w:val="24"/>
        </w:rPr>
        <w:t>《重庆峰磊矿业有限公司建筑用灰岩矿地质环境调查报告》（中煤湖北地质勘察基础工程有限公司，2023年9月）</w:t>
      </w:r>
    </w:p>
    <w:p>
      <w:pPr>
        <w:pStyle w:val="3184"/>
        <w:numPr>
          <w:ilvl w:val="0"/>
          <w:numId w:val="20"/>
        </w:numPr>
        <w:ind w:left="0" w:firstLine="0"/>
        <w:rPr>
          <w:sz w:val="24"/>
        </w:rPr>
      </w:pPr>
      <w:r>
        <w:rPr>
          <w:sz w:val="24"/>
        </w:rPr>
        <w:t>《重庆峰磊矿业有限公司建筑石料用灰岩矿（扩建）初步设计》（重庆道尔工程技术有限公司，2023年11月）；</w:t>
      </w:r>
    </w:p>
    <w:p>
      <w:pPr>
        <w:pStyle w:val="3184"/>
        <w:numPr>
          <w:ilvl w:val="0"/>
          <w:numId w:val="20"/>
        </w:numPr>
        <w:ind w:left="0" w:firstLine="0"/>
        <w:rPr>
          <w:sz w:val="24"/>
        </w:rPr>
      </w:pPr>
      <w:bookmarkStart w:id="96" w:name="_Hlk162356141"/>
      <w:r>
        <w:rPr>
          <w:sz w:val="24"/>
        </w:rPr>
        <w:t>《重庆市企业项目投资备案证》（项目代码：2312-500117-04-05-520893）；</w:t>
      </w:r>
    </w:p>
    <w:bookmarkEnd w:id="96"/>
    <w:p>
      <w:pPr>
        <w:pStyle w:val="3184"/>
        <w:numPr>
          <w:ilvl w:val="0"/>
          <w:numId w:val="20"/>
        </w:numPr>
        <w:ind w:left="0" w:firstLine="0"/>
        <w:rPr>
          <w:sz w:val="24"/>
        </w:rPr>
      </w:pPr>
      <w:r>
        <w:rPr>
          <w:sz w:val="24"/>
        </w:rPr>
        <w:t>《采矿许可证》（证号：C5001172023107150155782）；</w:t>
      </w:r>
    </w:p>
    <w:p>
      <w:pPr>
        <w:pStyle w:val="3184"/>
        <w:numPr>
          <w:ilvl w:val="0"/>
          <w:numId w:val="20"/>
        </w:numPr>
        <w:ind w:left="0" w:firstLine="0"/>
        <w:rPr>
          <w:sz w:val="24"/>
        </w:rPr>
      </w:pPr>
      <w:r>
        <w:rPr>
          <w:sz w:val="24"/>
        </w:rPr>
        <w:t>《重庆市盐井三峡矿业有限公司茶园村采石场70万吨扩建项目环境影响报告书》（2017年4月）；</w:t>
      </w:r>
    </w:p>
    <w:p>
      <w:pPr>
        <w:pStyle w:val="3184"/>
        <w:numPr>
          <w:ilvl w:val="0"/>
          <w:numId w:val="20"/>
        </w:numPr>
        <w:ind w:left="0" w:firstLine="0"/>
        <w:rPr>
          <w:sz w:val="24"/>
        </w:rPr>
      </w:pPr>
      <w:r>
        <w:rPr>
          <w:sz w:val="24"/>
        </w:rPr>
        <w:t>《重庆市盐井三峡矿业有限公司茶园村采石场70万吨扩建项目竣工环境保护验收调查报告》（2022年1月）；</w:t>
      </w:r>
    </w:p>
    <w:p>
      <w:pPr>
        <w:pStyle w:val="3184"/>
        <w:numPr>
          <w:ilvl w:val="0"/>
          <w:numId w:val="20"/>
        </w:numPr>
        <w:ind w:left="0" w:firstLine="0"/>
        <w:rPr>
          <w:sz w:val="24"/>
        </w:rPr>
      </w:pPr>
      <w:r>
        <w:rPr>
          <w:sz w:val="24"/>
        </w:rPr>
        <w:t>茶园村采石场70 万吨扩建项目环评批准书（渝（合）环准﹝2017﹞024号）；</w:t>
      </w:r>
    </w:p>
    <w:p>
      <w:pPr>
        <w:pStyle w:val="3184"/>
        <w:numPr>
          <w:ilvl w:val="0"/>
          <w:numId w:val="20"/>
        </w:numPr>
        <w:ind w:left="0" w:firstLine="0"/>
        <w:rPr>
          <w:sz w:val="24"/>
        </w:rPr>
      </w:pPr>
      <w:r>
        <w:rPr>
          <w:sz w:val="24"/>
        </w:rPr>
        <w:t>建设单位提供的其他资料。</w:t>
      </w:r>
    </w:p>
    <w:p>
      <w:pPr>
        <w:pStyle w:val="4"/>
      </w:pPr>
      <w:bookmarkStart w:id="97" w:name="_Toc161676085"/>
      <w:r>
        <w:t>1.3评价原则、总体构思</w:t>
      </w:r>
      <w:bookmarkEnd w:id="97"/>
    </w:p>
    <w:p>
      <w:pPr>
        <w:pStyle w:val="5"/>
        <w:rPr>
          <w:color w:val="auto"/>
        </w:rPr>
      </w:pPr>
      <w:r>
        <w:rPr>
          <w:color w:val="auto"/>
        </w:rPr>
        <w:t>1.3.1评价原则</w:t>
      </w:r>
    </w:p>
    <w:p>
      <w:pPr>
        <w:pStyle w:val="222"/>
      </w:pPr>
      <w:r>
        <w:t>本着依法评价、科学评价、突出重点的原则，结合项目特点和周边环境特点，预测分析项目建设对区域环境可能造成的影响，重点突出环境影响评价的源头作用，坚持保护和改善环境质量，为决策提供科学依据。</w:t>
      </w:r>
    </w:p>
    <w:p>
      <w:pPr>
        <w:pStyle w:val="5"/>
        <w:rPr>
          <w:color w:val="auto"/>
        </w:rPr>
      </w:pPr>
      <w:r>
        <w:rPr>
          <w:color w:val="auto"/>
        </w:rPr>
        <w:t>1.3.2评价构思</w:t>
      </w:r>
    </w:p>
    <w:p>
      <w:pPr>
        <w:pStyle w:val="222"/>
      </w:pPr>
      <w:r>
        <w:t>（1）2018年重庆市合川区规划和自然资源局对原重庆市合川区盐井三峡矿石有限责任公司观音村采石场与原重庆六顺矿业有限公司茶园村采石场</w:t>
      </w:r>
      <w:r>
        <w:rPr>
          <w:b/>
        </w:rPr>
        <w:t>（该公司未采矿，已注销）</w:t>
      </w:r>
      <w:r>
        <w:t>两矿山进行整合，整合后矿区总面积为0.0676km</w:t>
      </w:r>
      <w:r>
        <w:rPr>
          <w:vertAlign w:val="superscript"/>
        </w:rPr>
        <w:t>2</w:t>
      </w:r>
      <w:r>
        <w:t>。重庆峰磊矿业有限公司取得重庆市合川区公共资源交易中心挂牌出让的采矿权，矿区面积0.0466km</w:t>
      </w:r>
      <w:r>
        <w:rPr>
          <w:vertAlign w:val="superscript"/>
        </w:rPr>
        <w:t>2</w:t>
      </w:r>
      <w:r>
        <w:t>，该矿区范围与整合后的矿区有重合部分，占整合矿区面积的28.7%。</w:t>
      </w:r>
    </w:p>
    <w:p>
      <w:pPr>
        <w:pStyle w:val="222"/>
        <w:numPr>
          <w:ilvl w:val="0"/>
          <w:numId w:val="21"/>
        </w:numPr>
        <w:ind w:firstLineChars="0"/>
      </w:pPr>
      <w:r>
        <w:t>重庆峰磊矿业有限公司与重庆市盐井三峡矿业有限公司同属于一个法人，本次矿山开采权以重庆峰磊矿业有限公司的名义取得并进行实施。重庆市盐井三峡矿业有限公司原矿权已到期，所闲置的工业场地转交给重庆峰磊矿业有限公司使用。</w:t>
      </w:r>
    </w:p>
    <w:p>
      <w:pPr>
        <w:spacing w:line="360" w:lineRule="auto"/>
        <w:ind w:firstLine="480"/>
        <w:jc w:val="both"/>
        <w:rPr>
          <w:sz w:val="24"/>
          <w:szCs w:val="24"/>
        </w:rPr>
      </w:pPr>
      <w:r>
        <w:rPr>
          <w:sz w:val="24"/>
          <w:szCs w:val="24"/>
        </w:rPr>
        <w:t>由于重庆市盐井三峡矿业有限公司工业场地已转让给重庆峰磊矿业有限公司，经协商，本次矿区范围和工业场地生态恢复均由重庆峰磊矿业有限公司负责实施，重庆市盐井三峡矿业有限公司除本矿区以外的原矿山范围由其自行负责实施。</w:t>
      </w:r>
    </w:p>
    <w:p>
      <w:pPr>
        <w:pStyle w:val="222"/>
      </w:pPr>
      <w:r>
        <w:t>（3）参照《建设项目安全设施“三同时”监督管理办法》（国家安全监管总局令〔2015〕第77号修正）、《重庆市安全生产监督管理局关于进一步规范全市非煤矿山安全生产行政许可工作的通知》等有关规定，本矿山应按照扩建性质履行建设项目安全设施“三同时”程序，同时考虑到本项目采矿权范围包含了部分整合的矿权范围和本项目购买了重庆市盐井三峡矿业有限公司闲置的工业场地用作本项目的工业场地，因此，本项目建设性质属于“扩建”。</w:t>
      </w:r>
    </w:p>
    <w:p>
      <w:pPr>
        <w:pStyle w:val="222"/>
      </w:pPr>
      <w:r>
        <w:t>（5）本项目开采规模为100万吨/年，工业场地碎石加工规模为70万吨/年，剩余30万吨/年进行外售，已签订外售协议。</w:t>
      </w:r>
    </w:p>
    <w:p>
      <w:pPr>
        <w:pStyle w:val="222"/>
      </w:pPr>
      <w:r>
        <w:t>（6）本项目扩建前的现有情况，主要介绍“重庆市盐井三峡矿业有限公司茶园村采石场70万吨扩建项目”建设情况、环保措施建设情况、排污统计和污染物达标情况，并提出 “以新带老”环保措施。</w:t>
      </w:r>
    </w:p>
    <w:p>
      <w:pPr>
        <w:pStyle w:val="222"/>
      </w:pPr>
      <w:r>
        <w:t>（7）九峰山森林公园为环境空气一类区，本项目取得的采矿权范围及工业场地处于九峰山森林公园外300m缓冲带内，环境空气按一类功能区对应的相关标准管控，故本评价强化粉尘控制措施和生态保护措施，实现“增产不增污”和区域生态功能不发生改变的目标。</w:t>
      </w:r>
    </w:p>
    <w:p>
      <w:pPr>
        <w:pStyle w:val="222"/>
      </w:pPr>
      <w:r>
        <w:t>（8）本项目环境空气二类区引用《2022年重庆市生态环境状况公报》进行达标分析，环境空气一类区收集现有监测数据进行达标分析，其他污染物利用补充监测数据进行现状分析。</w:t>
      </w:r>
    </w:p>
    <w:p>
      <w:pPr>
        <w:pStyle w:val="222"/>
      </w:pPr>
      <w:r>
        <w:t>（9）按照《环境影响评价公众参与办法》（生态环境部令第4号）和《生态环境部关于发布〈环境影响评价公众参与办法〉配套文件的公告》（生态环境部公告2018年第48号）的要求开展了公众参与工作，公众参与责任主体为建设单位重庆峰磊矿业有限公司，在公示期间未收到相关单位或个人对本项目提出的意见。</w:t>
      </w:r>
    </w:p>
    <w:p>
      <w:pPr>
        <w:pStyle w:val="4"/>
      </w:pPr>
      <w:bookmarkStart w:id="98" w:name="_Toc161676086"/>
      <w:r>
        <w:t>1.4评环境影响识别及评价因子筛选</w:t>
      </w:r>
      <w:bookmarkEnd w:id="98"/>
    </w:p>
    <w:p>
      <w:pPr>
        <w:pStyle w:val="5"/>
        <w:rPr>
          <w:color w:val="auto"/>
        </w:rPr>
      </w:pPr>
      <w:r>
        <w:rPr>
          <w:color w:val="auto"/>
        </w:rPr>
        <w:t>1.4.1环境影响因素识别</w:t>
      </w:r>
    </w:p>
    <w:p>
      <w:pPr>
        <w:pStyle w:val="222"/>
      </w:pPr>
      <w:r>
        <w:t>根据工程分析，项目环境因素识别分析与各环境要素影响类型及程度分析分别见下表。</w:t>
      </w:r>
    </w:p>
    <w:p>
      <w:pPr>
        <w:pStyle w:val="222"/>
      </w:pPr>
    </w:p>
    <w:p>
      <w:pPr>
        <w:pStyle w:val="222"/>
      </w:pPr>
    </w:p>
    <w:p>
      <w:pPr>
        <w:pStyle w:val="222"/>
      </w:pPr>
    </w:p>
    <w:p>
      <w:pPr>
        <w:pStyle w:val="84"/>
      </w:pPr>
      <w:r>
        <w:t>表1.4-1  环境影响因素识别分析表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358"/>
        <w:gridCol w:w="1194"/>
        <w:gridCol w:w="1713"/>
        <w:gridCol w:w="1014"/>
        <w:gridCol w:w="1601"/>
        <w:gridCol w:w="1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3" w:hRule="atLeast"/>
          <w:tblHeader/>
        </w:trPr>
        <w:tc>
          <w:tcPr>
            <w:tcW w:w="1094" w:type="pct"/>
            <w:gridSpan w:val="2"/>
            <w:tcBorders>
              <w:tl2br w:val="single" w:color="auto" w:sz="4" w:space="0"/>
            </w:tcBorders>
            <w:shd w:val="clear" w:color="auto" w:fill="D8D8D8" w:themeFill="background1" w:themeFillShade="D9"/>
            <w:vAlign w:val="center"/>
          </w:tcPr>
          <w:p>
            <w:pPr>
              <w:pStyle w:val="3238"/>
            </w:pPr>
            <w:r>
              <w:t>影响因素污染源</w:t>
            </w:r>
          </w:p>
        </w:tc>
        <w:tc>
          <w:tcPr>
            <w:tcW w:w="643" w:type="pct"/>
            <w:shd w:val="clear" w:color="auto" w:fill="D8D8D8" w:themeFill="background1" w:themeFillShade="D9"/>
            <w:vAlign w:val="center"/>
          </w:tcPr>
          <w:p>
            <w:pPr>
              <w:pStyle w:val="3238"/>
            </w:pPr>
            <w:r>
              <w:t>大气环境</w:t>
            </w:r>
          </w:p>
        </w:tc>
        <w:tc>
          <w:tcPr>
            <w:tcW w:w="922" w:type="pct"/>
            <w:shd w:val="clear" w:color="auto" w:fill="D8D8D8" w:themeFill="background1" w:themeFillShade="D9"/>
            <w:vAlign w:val="center"/>
          </w:tcPr>
          <w:p>
            <w:pPr>
              <w:pStyle w:val="3238"/>
            </w:pPr>
            <w:r>
              <w:t>地表水环境</w:t>
            </w:r>
          </w:p>
        </w:tc>
        <w:tc>
          <w:tcPr>
            <w:tcW w:w="546" w:type="pct"/>
            <w:shd w:val="clear" w:color="auto" w:fill="D8D8D8" w:themeFill="background1" w:themeFillShade="D9"/>
            <w:vAlign w:val="center"/>
          </w:tcPr>
          <w:p>
            <w:pPr>
              <w:pStyle w:val="3238"/>
            </w:pPr>
            <w:r>
              <w:t>声环境</w:t>
            </w:r>
          </w:p>
        </w:tc>
        <w:tc>
          <w:tcPr>
            <w:tcW w:w="862" w:type="pct"/>
            <w:shd w:val="clear" w:color="auto" w:fill="D8D8D8" w:themeFill="background1" w:themeFillShade="D9"/>
            <w:vAlign w:val="center"/>
          </w:tcPr>
          <w:p>
            <w:pPr>
              <w:pStyle w:val="3238"/>
            </w:pPr>
            <w:r>
              <w:t>固体废物</w:t>
            </w:r>
          </w:p>
        </w:tc>
        <w:tc>
          <w:tcPr>
            <w:tcW w:w="933" w:type="pct"/>
            <w:shd w:val="clear" w:color="auto" w:fill="D8D8D8" w:themeFill="background1" w:themeFillShade="D9"/>
            <w:vAlign w:val="center"/>
          </w:tcPr>
          <w:p>
            <w:pPr>
              <w:pStyle w:val="3238"/>
            </w:pPr>
            <w:r>
              <w:t>生态环境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363" w:type="pct"/>
            <w:vMerge w:val="restart"/>
            <w:vAlign w:val="center"/>
          </w:tcPr>
          <w:p>
            <w:pPr>
              <w:pStyle w:val="3238"/>
              <w:rPr>
                <w:b/>
              </w:rPr>
            </w:pPr>
            <w:r>
              <w:t>建设期</w:t>
            </w:r>
          </w:p>
        </w:tc>
        <w:tc>
          <w:tcPr>
            <w:tcW w:w="731" w:type="pct"/>
            <w:vAlign w:val="center"/>
          </w:tcPr>
          <w:p>
            <w:pPr>
              <w:pStyle w:val="3238"/>
              <w:rPr>
                <w:b/>
              </w:rPr>
            </w:pPr>
            <w:r>
              <w:t>表土剥离</w:t>
            </w:r>
          </w:p>
        </w:tc>
        <w:tc>
          <w:tcPr>
            <w:tcW w:w="643" w:type="pct"/>
            <w:vAlign w:val="center"/>
          </w:tcPr>
          <w:p>
            <w:pPr>
              <w:pStyle w:val="3238"/>
              <w:rPr>
                <w:b/>
              </w:rPr>
            </w:pPr>
            <w:r>
              <w:t>粉尘</w:t>
            </w:r>
          </w:p>
        </w:tc>
        <w:tc>
          <w:tcPr>
            <w:tcW w:w="922" w:type="pct"/>
            <w:vAlign w:val="center"/>
          </w:tcPr>
          <w:p>
            <w:pPr>
              <w:pStyle w:val="3238"/>
            </w:pPr>
            <w:r>
              <w:t>/</w:t>
            </w:r>
          </w:p>
        </w:tc>
        <w:tc>
          <w:tcPr>
            <w:tcW w:w="546" w:type="pct"/>
            <w:vAlign w:val="center"/>
          </w:tcPr>
          <w:p>
            <w:pPr>
              <w:pStyle w:val="3238"/>
              <w:rPr>
                <w:b/>
              </w:rPr>
            </w:pPr>
            <w:r>
              <w:t>噪声</w:t>
            </w:r>
          </w:p>
        </w:tc>
        <w:tc>
          <w:tcPr>
            <w:tcW w:w="862" w:type="pct"/>
            <w:vAlign w:val="center"/>
          </w:tcPr>
          <w:p>
            <w:pPr>
              <w:pStyle w:val="3238"/>
              <w:rPr>
                <w:b/>
              </w:rPr>
            </w:pPr>
            <w:r>
              <w:t>剥离表土</w:t>
            </w:r>
          </w:p>
        </w:tc>
        <w:tc>
          <w:tcPr>
            <w:tcW w:w="933" w:type="pct"/>
            <w:vAlign w:val="center"/>
          </w:tcPr>
          <w:p>
            <w:pPr>
              <w:pStyle w:val="3238"/>
              <w:rPr>
                <w:b/>
              </w:rPr>
            </w:pPr>
            <w:r>
              <w:t>水土流失、植被破坏、景观破坏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blHeader/>
        </w:trPr>
        <w:tc>
          <w:tcPr>
            <w:tcW w:w="363" w:type="pct"/>
            <w:vMerge w:val="continue"/>
            <w:vAlign w:val="center"/>
          </w:tcPr>
          <w:p>
            <w:pPr>
              <w:pStyle w:val="3238"/>
            </w:pPr>
          </w:p>
        </w:tc>
        <w:tc>
          <w:tcPr>
            <w:tcW w:w="731" w:type="pct"/>
            <w:vAlign w:val="center"/>
          </w:tcPr>
          <w:p>
            <w:pPr>
              <w:pStyle w:val="3238"/>
              <w:rPr>
                <w:b/>
              </w:rPr>
            </w:pPr>
            <w:r>
              <w:t>汽车运输</w:t>
            </w:r>
          </w:p>
        </w:tc>
        <w:tc>
          <w:tcPr>
            <w:tcW w:w="643" w:type="pct"/>
            <w:vAlign w:val="center"/>
          </w:tcPr>
          <w:p>
            <w:pPr>
              <w:pStyle w:val="3238"/>
              <w:rPr>
                <w:b/>
              </w:rPr>
            </w:pPr>
            <w:r>
              <w:t>粉尘、尾气</w:t>
            </w:r>
          </w:p>
        </w:tc>
        <w:tc>
          <w:tcPr>
            <w:tcW w:w="922" w:type="pct"/>
            <w:vAlign w:val="center"/>
          </w:tcPr>
          <w:p>
            <w:pPr>
              <w:pStyle w:val="3238"/>
            </w:pPr>
            <w:r>
              <w:t>/</w:t>
            </w:r>
          </w:p>
        </w:tc>
        <w:tc>
          <w:tcPr>
            <w:tcW w:w="546" w:type="pct"/>
            <w:vAlign w:val="center"/>
          </w:tcPr>
          <w:p>
            <w:pPr>
              <w:pStyle w:val="3238"/>
              <w:rPr>
                <w:b/>
              </w:rPr>
            </w:pPr>
            <w:r>
              <w:t>噪声</w:t>
            </w:r>
          </w:p>
        </w:tc>
        <w:tc>
          <w:tcPr>
            <w:tcW w:w="862" w:type="pct"/>
            <w:vAlign w:val="center"/>
          </w:tcPr>
          <w:p>
            <w:pPr>
              <w:pStyle w:val="3238"/>
            </w:pPr>
            <w:r>
              <w:t>/</w:t>
            </w:r>
          </w:p>
        </w:tc>
        <w:tc>
          <w:tcPr>
            <w:tcW w:w="933" w:type="pct"/>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blHeader/>
        </w:trPr>
        <w:tc>
          <w:tcPr>
            <w:tcW w:w="363" w:type="pct"/>
            <w:vMerge w:val="continue"/>
            <w:vAlign w:val="center"/>
          </w:tcPr>
          <w:p>
            <w:pPr>
              <w:pStyle w:val="3238"/>
            </w:pPr>
          </w:p>
        </w:tc>
        <w:tc>
          <w:tcPr>
            <w:tcW w:w="731" w:type="pct"/>
            <w:vAlign w:val="center"/>
          </w:tcPr>
          <w:p>
            <w:pPr>
              <w:pStyle w:val="3238"/>
              <w:rPr>
                <w:b/>
              </w:rPr>
            </w:pPr>
            <w:r>
              <w:t>施工人员</w:t>
            </w:r>
          </w:p>
        </w:tc>
        <w:tc>
          <w:tcPr>
            <w:tcW w:w="643" w:type="pct"/>
            <w:vAlign w:val="center"/>
          </w:tcPr>
          <w:p>
            <w:pPr>
              <w:pStyle w:val="3238"/>
            </w:pPr>
            <w:r>
              <w:t>/</w:t>
            </w:r>
          </w:p>
        </w:tc>
        <w:tc>
          <w:tcPr>
            <w:tcW w:w="922" w:type="pct"/>
            <w:vAlign w:val="center"/>
          </w:tcPr>
          <w:p>
            <w:pPr>
              <w:pStyle w:val="3238"/>
              <w:rPr>
                <w:b/>
              </w:rPr>
            </w:pPr>
            <w:r>
              <w:t>生活污水：COD、NH</w:t>
            </w:r>
            <w:r>
              <w:rPr>
                <w:vertAlign w:val="subscript"/>
              </w:rPr>
              <w:t>3</w:t>
            </w:r>
            <w:r>
              <w:t>-N、SS、动植物油</w:t>
            </w:r>
          </w:p>
        </w:tc>
        <w:tc>
          <w:tcPr>
            <w:tcW w:w="546" w:type="pct"/>
            <w:vAlign w:val="center"/>
          </w:tcPr>
          <w:p>
            <w:pPr>
              <w:pStyle w:val="3238"/>
              <w:rPr>
                <w:b/>
              </w:rPr>
            </w:pPr>
            <w:r>
              <w:t>噪声</w:t>
            </w:r>
          </w:p>
        </w:tc>
        <w:tc>
          <w:tcPr>
            <w:tcW w:w="862" w:type="pct"/>
            <w:vAlign w:val="center"/>
          </w:tcPr>
          <w:p>
            <w:pPr>
              <w:pStyle w:val="3238"/>
              <w:rPr>
                <w:b/>
              </w:rPr>
            </w:pPr>
            <w:r>
              <w:t>生活垃圾</w:t>
            </w:r>
          </w:p>
        </w:tc>
        <w:tc>
          <w:tcPr>
            <w:tcW w:w="933" w:type="pct"/>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blHeader/>
        </w:trPr>
        <w:tc>
          <w:tcPr>
            <w:tcW w:w="363" w:type="pct"/>
            <w:vMerge w:val="restart"/>
            <w:vAlign w:val="center"/>
          </w:tcPr>
          <w:p>
            <w:pPr>
              <w:pStyle w:val="3238"/>
              <w:rPr>
                <w:b/>
              </w:rPr>
            </w:pPr>
            <w:r>
              <w:t>开采期</w:t>
            </w:r>
          </w:p>
        </w:tc>
        <w:tc>
          <w:tcPr>
            <w:tcW w:w="731" w:type="pct"/>
            <w:vAlign w:val="center"/>
          </w:tcPr>
          <w:p>
            <w:pPr>
              <w:pStyle w:val="3238"/>
              <w:rPr>
                <w:b/>
              </w:rPr>
            </w:pPr>
            <w:r>
              <w:t>矿石开采</w:t>
            </w:r>
          </w:p>
        </w:tc>
        <w:tc>
          <w:tcPr>
            <w:tcW w:w="643" w:type="pct"/>
            <w:vAlign w:val="center"/>
          </w:tcPr>
          <w:p>
            <w:pPr>
              <w:pStyle w:val="3238"/>
              <w:rPr>
                <w:b/>
              </w:rPr>
            </w:pPr>
            <w:r>
              <w:t>粉尘</w:t>
            </w:r>
          </w:p>
        </w:tc>
        <w:tc>
          <w:tcPr>
            <w:tcW w:w="922" w:type="pct"/>
            <w:vAlign w:val="center"/>
          </w:tcPr>
          <w:p>
            <w:pPr>
              <w:pStyle w:val="3238"/>
              <w:rPr>
                <w:b/>
              </w:rPr>
            </w:pPr>
            <w:r>
              <w:t>采区汇水：SS</w:t>
            </w:r>
          </w:p>
        </w:tc>
        <w:tc>
          <w:tcPr>
            <w:tcW w:w="546" w:type="pct"/>
            <w:vAlign w:val="center"/>
          </w:tcPr>
          <w:p>
            <w:pPr>
              <w:pStyle w:val="3238"/>
              <w:rPr>
                <w:b/>
              </w:rPr>
            </w:pPr>
            <w:r>
              <w:t>噪声</w:t>
            </w:r>
          </w:p>
        </w:tc>
        <w:tc>
          <w:tcPr>
            <w:tcW w:w="862" w:type="pct"/>
            <w:vAlign w:val="center"/>
          </w:tcPr>
          <w:p>
            <w:pPr>
              <w:pStyle w:val="3238"/>
              <w:rPr>
                <w:b/>
              </w:rPr>
            </w:pPr>
            <w:r>
              <w:t>废石</w:t>
            </w:r>
          </w:p>
        </w:tc>
        <w:tc>
          <w:tcPr>
            <w:tcW w:w="933" w:type="pct"/>
            <w:vAlign w:val="center"/>
          </w:tcPr>
          <w:p>
            <w:pPr>
              <w:pStyle w:val="3238"/>
              <w:rPr>
                <w:b/>
              </w:rPr>
            </w:pPr>
            <w:r>
              <w:t>水土流失、植被破坏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blHeader/>
        </w:trPr>
        <w:tc>
          <w:tcPr>
            <w:tcW w:w="363" w:type="pct"/>
            <w:vMerge w:val="continue"/>
            <w:vAlign w:val="center"/>
          </w:tcPr>
          <w:p>
            <w:pPr>
              <w:pStyle w:val="3238"/>
            </w:pPr>
          </w:p>
        </w:tc>
        <w:tc>
          <w:tcPr>
            <w:tcW w:w="731" w:type="pct"/>
            <w:vAlign w:val="center"/>
          </w:tcPr>
          <w:p>
            <w:pPr>
              <w:pStyle w:val="3238"/>
              <w:rPr>
                <w:b/>
              </w:rPr>
            </w:pPr>
            <w:r>
              <w:t>碎石加工</w:t>
            </w:r>
          </w:p>
        </w:tc>
        <w:tc>
          <w:tcPr>
            <w:tcW w:w="643" w:type="pct"/>
            <w:vAlign w:val="center"/>
          </w:tcPr>
          <w:p>
            <w:pPr>
              <w:pStyle w:val="3238"/>
              <w:rPr>
                <w:b/>
              </w:rPr>
            </w:pPr>
            <w:r>
              <w:t>粉尘</w:t>
            </w:r>
          </w:p>
        </w:tc>
        <w:tc>
          <w:tcPr>
            <w:tcW w:w="922" w:type="pct"/>
            <w:vAlign w:val="center"/>
          </w:tcPr>
          <w:p>
            <w:pPr>
              <w:pStyle w:val="3238"/>
            </w:pPr>
            <w:r>
              <w:t>/</w:t>
            </w:r>
          </w:p>
        </w:tc>
        <w:tc>
          <w:tcPr>
            <w:tcW w:w="546" w:type="pct"/>
            <w:vAlign w:val="center"/>
          </w:tcPr>
          <w:p>
            <w:pPr>
              <w:pStyle w:val="3238"/>
              <w:rPr>
                <w:b/>
              </w:rPr>
            </w:pPr>
            <w:r>
              <w:t>噪声</w:t>
            </w:r>
          </w:p>
        </w:tc>
        <w:tc>
          <w:tcPr>
            <w:tcW w:w="862" w:type="pct"/>
            <w:vAlign w:val="center"/>
          </w:tcPr>
          <w:p>
            <w:pPr>
              <w:pStyle w:val="3238"/>
              <w:rPr>
                <w:b/>
              </w:rPr>
            </w:pPr>
            <w:r>
              <w:t>除尘灰、机修废物</w:t>
            </w:r>
          </w:p>
        </w:tc>
        <w:tc>
          <w:tcPr>
            <w:tcW w:w="933" w:type="pct"/>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363" w:type="pct"/>
            <w:vMerge w:val="continue"/>
            <w:vAlign w:val="center"/>
          </w:tcPr>
          <w:p>
            <w:pPr>
              <w:pStyle w:val="3238"/>
            </w:pPr>
          </w:p>
        </w:tc>
        <w:tc>
          <w:tcPr>
            <w:tcW w:w="731" w:type="pct"/>
            <w:vAlign w:val="center"/>
          </w:tcPr>
          <w:p>
            <w:pPr>
              <w:pStyle w:val="3238"/>
              <w:rPr>
                <w:b/>
              </w:rPr>
            </w:pPr>
            <w:r>
              <w:t>汽车运输</w:t>
            </w:r>
          </w:p>
        </w:tc>
        <w:tc>
          <w:tcPr>
            <w:tcW w:w="643" w:type="pct"/>
            <w:vAlign w:val="center"/>
          </w:tcPr>
          <w:p>
            <w:pPr>
              <w:pStyle w:val="3238"/>
              <w:rPr>
                <w:b/>
              </w:rPr>
            </w:pPr>
            <w:r>
              <w:t>粉尘、尾气</w:t>
            </w:r>
          </w:p>
        </w:tc>
        <w:tc>
          <w:tcPr>
            <w:tcW w:w="922" w:type="pct"/>
            <w:vAlign w:val="center"/>
          </w:tcPr>
          <w:p>
            <w:pPr>
              <w:pStyle w:val="3238"/>
              <w:rPr>
                <w:b/>
              </w:rPr>
            </w:pPr>
            <w:r>
              <w:t>车辆冲洗废水：SS、石油类</w:t>
            </w:r>
          </w:p>
        </w:tc>
        <w:tc>
          <w:tcPr>
            <w:tcW w:w="546" w:type="pct"/>
            <w:vAlign w:val="center"/>
          </w:tcPr>
          <w:p>
            <w:pPr>
              <w:pStyle w:val="3238"/>
              <w:rPr>
                <w:b/>
              </w:rPr>
            </w:pPr>
            <w:r>
              <w:t>噪声</w:t>
            </w:r>
          </w:p>
        </w:tc>
        <w:tc>
          <w:tcPr>
            <w:tcW w:w="862" w:type="pct"/>
            <w:vAlign w:val="center"/>
          </w:tcPr>
          <w:p>
            <w:pPr>
              <w:pStyle w:val="3238"/>
            </w:pPr>
            <w:r>
              <w:t>/</w:t>
            </w:r>
          </w:p>
        </w:tc>
        <w:tc>
          <w:tcPr>
            <w:tcW w:w="933" w:type="pct"/>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363" w:type="pct"/>
            <w:vMerge w:val="continue"/>
            <w:vAlign w:val="center"/>
          </w:tcPr>
          <w:p>
            <w:pPr>
              <w:pStyle w:val="3238"/>
            </w:pPr>
          </w:p>
        </w:tc>
        <w:tc>
          <w:tcPr>
            <w:tcW w:w="731" w:type="pct"/>
            <w:vAlign w:val="center"/>
          </w:tcPr>
          <w:p>
            <w:pPr>
              <w:pStyle w:val="3238"/>
              <w:rPr>
                <w:b/>
              </w:rPr>
            </w:pPr>
            <w:r>
              <w:t>办公生活区</w:t>
            </w:r>
          </w:p>
        </w:tc>
        <w:tc>
          <w:tcPr>
            <w:tcW w:w="643" w:type="pct"/>
            <w:vAlign w:val="center"/>
          </w:tcPr>
          <w:p>
            <w:pPr>
              <w:pStyle w:val="3238"/>
            </w:pPr>
            <w:r>
              <w:t>/</w:t>
            </w:r>
          </w:p>
        </w:tc>
        <w:tc>
          <w:tcPr>
            <w:tcW w:w="922" w:type="pct"/>
            <w:vAlign w:val="center"/>
          </w:tcPr>
          <w:p>
            <w:pPr>
              <w:pStyle w:val="3238"/>
              <w:rPr>
                <w:b/>
              </w:rPr>
            </w:pPr>
            <w:r>
              <w:t>生活污水：COD、NH</w:t>
            </w:r>
            <w:r>
              <w:rPr>
                <w:vertAlign w:val="subscript"/>
              </w:rPr>
              <w:t>3</w:t>
            </w:r>
            <w:r>
              <w:t>-N、SS、动植物油</w:t>
            </w:r>
          </w:p>
        </w:tc>
        <w:tc>
          <w:tcPr>
            <w:tcW w:w="546" w:type="pct"/>
            <w:vAlign w:val="center"/>
          </w:tcPr>
          <w:p>
            <w:pPr>
              <w:pStyle w:val="3238"/>
              <w:rPr>
                <w:b/>
              </w:rPr>
            </w:pPr>
            <w:r>
              <w:t>噪声</w:t>
            </w:r>
          </w:p>
        </w:tc>
        <w:tc>
          <w:tcPr>
            <w:tcW w:w="862" w:type="pct"/>
            <w:vAlign w:val="center"/>
          </w:tcPr>
          <w:p>
            <w:pPr>
              <w:pStyle w:val="3238"/>
              <w:rPr>
                <w:b/>
              </w:rPr>
            </w:pPr>
            <w:r>
              <w:t>生活垃圾</w:t>
            </w:r>
          </w:p>
        </w:tc>
        <w:tc>
          <w:tcPr>
            <w:tcW w:w="933" w:type="pct"/>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363" w:type="pct"/>
            <w:vMerge w:val="restart"/>
            <w:vAlign w:val="center"/>
          </w:tcPr>
          <w:p>
            <w:pPr>
              <w:pStyle w:val="3238"/>
              <w:rPr>
                <w:b/>
              </w:rPr>
            </w:pPr>
            <w:r>
              <w:t>闭矿期</w:t>
            </w:r>
          </w:p>
        </w:tc>
        <w:tc>
          <w:tcPr>
            <w:tcW w:w="731" w:type="pct"/>
            <w:vAlign w:val="center"/>
          </w:tcPr>
          <w:p>
            <w:pPr>
              <w:pStyle w:val="3238"/>
              <w:rPr>
                <w:b/>
              </w:rPr>
            </w:pPr>
            <w:r>
              <w:t>场地清理平整</w:t>
            </w:r>
          </w:p>
        </w:tc>
        <w:tc>
          <w:tcPr>
            <w:tcW w:w="643" w:type="pct"/>
            <w:vAlign w:val="center"/>
          </w:tcPr>
          <w:p>
            <w:pPr>
              <w:pStyle w:val="3238"/>
              <w:rPr>
                <w:b/>
              </w:rPr>
            </w:pPr>
            <w:r>
              <w:t>粉尘</w:t>
            </w:r>
          </w:p>
        </w:tc>
        <w:tc>
          <w:tcPr>
            <w:tcW w:w="922" w:type="pct"/>
            <w:vAlign w:val="center"/>
          </w:tcPr>
          <w:p>
            <w:pPr>
              <w:pStyle w:val="3238"/>
            </w:pPr>
            <w:r>
              <w:t>/</w:t>
            </w:r>
          </w:p>
        </w:tc>
        <w:tc>
          <w:tcPr>
            <w:tcW w:w="546" w:type="pct"/>
            <w:vAlign w:val="center"/>
          </w:tcPr>
          <w:p>
            <w:pPr>
              <w:pStyle w:val="3238"/>
              <w:rPr>
                <w:b/>
              </w:rPr>
            </w:pPr>
            <w:r>
              <w:t>噪声</w:t>
            </w:r>
          </w:p>
        </w:tc>
        <w:tc>
          <w:tcPr>
            <w:tcW w:w="862" w:type="pct"/>
            <w:vAlign w:val="center"/>
          </w:tcPr>
          <w:p>
            <w:pPr>
              <w:pStyle w:val="3238"/>
            </w:pPr>
            <w:r>
              <w:t>/</w:t>
            </w:r>
          </w:p>
        </w:tc>
        <w:tc>
          <w:tcPr>
            <w:tcW w:w="933" w:type="pct"/>
            <w:vAlign w:val="center"/>
          </w:tcPr>
          <w:p>
            <w:pPr>
              <w:pStyle w:val="3238"/>
              <w:rPr>
                <w:b/>
              </w:rPr>
            </w:pPr>
            <w:r>
              <w:t>水土流失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363" w:type="pct"/>
            <w:vMerge w:val="continue"/>
            <w:vAlign w:val="center"/>
          </w:tcPr>
          <w:p>
            <w:pPr>
              <w:pStyle w:val="3238"/>
            </w:pPr>
          </w:p>
        </w:tc>
        <w:tc>
          <w:tcPr>
            <w:tcW w:w="731" w:type="pct"/>
            <w:vAlign w:val="center"/>
          </w:tcPr>
          <w:p>
            <w:pPr>
              <w:pStyle w:val="3238"/>
              <w:rPr>
                <w:b/>
              </w:rPr>
            </w:pPr>
            <w:r>
              <w:t>土地恢复</w:t>
            </w:r>
          </w:p>
        </w:tc>
        <w:tc>
          <w:tcPr>
            <w:tcW w:w="643" w:type="pct"/>
            <w:vAlign w:val="center"/>
          </w:tcPr>
          <w:p>
            <w:pPr>
              <w:pStyle w:val="3238"/>
              <w:rPr>
                <w:b/>
              </w:rPr>
            </w:pPr>
            <w:r>
              <w:t>粉尘</w:t>
            </w:r>
          </w:p>
        </w:tc>
        <w:tc>
          <w:tcPr>
            <w:tcW w:w="922" w:type="pct"/>
            <w:vAlign w:val="center"/>
          </w:tcPr>
          <w:p>
            <w:pPr>
              <w:pStyle w:val="3238"/>
            </w:pPr>
            <w:r>
              <w:t>/</w:t>
            </w:r>
          </w:p>
        </w:tc>
        <w:tc>
          <w:tcPr>
            <w:tcW w:w="546" w:type="pct"/>
            <w:vAlign w:val="center"/>
          </w:tcPr>
          <w:p>
            <w:pPr>
              <w:pStyle w:val="3238"/>
              <w:rPr>
                <w:b/>
              </w:rPr>
            </w:pPr>
            <w:r>
              <w:t>噪声</w:t>
            </w:r>
          </w:p>
        </w:tc>
        <w:tc>
          <w:tcPr>
            <w:tcW w:w="862" w:type="pct"/>
            <w:vAlign w:val="center"/>
          </w:tcPr>
          <w:p>
            <w:pPr>
              <w:pStyle w:val="3238"/>
            </w:pPr>
            <w:r>
              <w:t>/</w:t>
            </w:r>
          </w:p>
        </w:tc>
        <w:tc>
          <w:tcPr>
            <w:tcW w:w="933" w:type="pct"/>
            <w:vAlign w:val="center"/>
          </w:tcPr>
          <w:p>
            <w:pPr>
              <w:pStyle w:val="3238"/>
              <w:rPr>
                <w:b/>
              </w:rPr>
            </w:pPr>
            <w:r>
              <w:t>植被恢复</w:t>
            </w:r>
          </w:p>
        </w:tc>
      </w:tr>
    </w:tbl>
    <w:p>
      <w:pPr>
        <w:pStyle w:val="84"/>
      </w:pPr>
      <w:r>
        <w:t>表1.4-2  各环境要素影响类型及程度分析表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1438"/>
        <w:gridCol w:w="2034"/>
        <w:gridCol w:w="2034"/>
        <w:gridCol w:w="2034"/>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1016" w:type="pct"/>
            <w:gridSpan w:val="2"/>
            <w:tcBorders>
              <w:tl2br w:val="single" w:color="auto" w:sz="4" w:space="0"/>
            </w:tcBorders>
            <w:shd w:val="clear" w:color="auto" w:fill="D8D8D8" w:themeFill="background1" w:themeFillShade="D9"/>
            <w:vAlign w:val="center"/>
          </w:tcPr>
          <w:p>
            <w:pPr>
              <w:pStyle w:val="3238"/>
            </w:pPr>
            <w:r>
              <w:t>影响因素污染源</w:t>
            </w:r>
          </w:p>
        </w:tc>
        <w:tc>
          <w:tcPr>
            <w:tcW w:w="1095" w:type="pct"/>
            <w:shd w:val="clear" w:color="auto" w:fill="D8D8D8" w:themeFill="background1" w:themeFillShade="D9"/>
            <w:vAlign w:val="center"/>
          </w:tcPr>
          <w:p>
            <w:pPr>
              <w:pStyle w:val="3238"/>
            </w:pPr>
            <w:r>
              <w:t>大气环境</w:t>
            </w:r>
          </w:p>
        </w:tc>
        <w:tc>
          <w:tcPr>
            <w:tcW w:w="1095" w:type="pct"/>
            <w:shd w:val="clear" w:color="auto" w:fill="D8D8D8" w:themeFill="background1" w:themeFillShade="D9"/>
            <w:vAlign w:val="center"/>
          </w:tcPr>
          <w:p>
            <w:pPr>
              <w:pStyle w:val="3238"/>
            </w:pPr>
            <w:r>
              <w:t>地表水环境</w:t>
            </w:r>
          </w:p>
        </w:tc>
        <w:tc>
          <w:tcPr>
            <w:tcW w:w="1095" w:type="pct"/>
            <w:shd w:val="clear" w:color="auto" w:fill="D8D8D8" w:themeFill="background1" w:themeFillShade="D9"/>
            <w:vAlign w:val="center"/>
          </w:tcPr>
          <w:p>
            <w:pPr>
              <w:pStyle w:val="3238"/>
            </w:pPr>
            <w:r>
              <w:t>声环境</w:t>
            </w:r>
          </w:p>
        </w:tc>
        <w:tc>
          <w:tcPr>
            <w:tcW w:w="699" w:type="pct"/>
            <w:shd w:val="clear" w:color="auto" w:fill="D8D8D8" w:themeFill="background1" w:themeFillShade="D9"/>
            <w:vAlign w:val="center"/>
          </w:tcPr>
          <w:p>
            <w:pPr>
              <w:pStyle w:val="3238"/>
            </w:pPr>
            <w:r>
              <w:t>生态环境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restart"/>
            <w:vAlign w:val="center"/>
          </w:tcPr>
          <w:p>
            <w:pPr>
              <w:pStyle w:val="3238"/>
              <w:rPr>
                <w:b/>
              </w:rPr>
            </w:pPr>
            <w:r>
              <w:t>建设期</w:t>
            </w:r>
          </w:p>
        </w:tc>
        <w:tc>
          <w:tcPr>
            <w:tcW w:w="774" w:type="pct"/>
            <w:vAlign w:val="center"/>
          </w:tcPr>
          <w:p>
            <w:pPr>
              <w:pStyle w:val="3238"/>
              <w:rPr>
                <w:b/>
              </w:rPr>
            </w:pPr>
            <w:r>
              <w:t>影响程度</w:t>
            </w:r>
          </w:p>
        </w:tc>
        <w:tc>
          <w:tcPr>
            <w:tcW w:w="1095" w:type="pct"/>
            <w:vAlign w:val="center"/>
          </w:tcPr>
          <w:p>
            <w:pPr>
              <w:pStyle w:val="3238"/>
              <w:rPr>
                <w:b/>
              </w:rPr>
            </w:pPr>
            <w:r>
              <w:t>不明显</w:t>
            </w:r>
          </w:p>
        </w:tc>
        <w:tc>
          <w:tcPr>
            <w:tcW w:w="1095" w:type="pct"/>
            <w:vAlign w:val="center"/>
          </w:tcPr>
          <w:p>
            <w:pPr>
              <w:pStyle w:val="3238"/>
              <w:rPr>
                <w:b/>
              </w:rPr>
            </w:pPr>
            <w:r>
              <w:t>不明显</w:t>
            </w:r>
          </w:p>
        </w:tc>
        <w:tc>
          <w:tcPr>
            <w:tcW w:w="1095" w:type="pct"/>
            <w:vAlign w:val="center"/>
          </w:tcPr>
          <w:p>
            <w:pPr>
              <w:pStyle w:val="3238"/>
              <w:rPr>
                <w:b/>
              </w:rPr>
            </w:pPr>
            <w:r>
              <w:t>较明显</w:t>
            </w:r>
          </w:p>
        </w:tc>
        <w:tc>
          <w:tcPr>
            <w:tcW w:w="699" w:type="pct"/>
            <w:vAlign w:val="center"/>
          </w:tcPr>
          <w:p>
            <w:pPr>
              <w:pStyle w:val="3238"/>
              <w:rPr>
                <w:b/>
              </w:rPr>
            </w:pPr>
            <w:r>
              <w:t>较明显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持续性</w:t>
            </w:r>
          </w:p>
        </w:tc>
        <w:tc>
          <w:tcPr>
            <w:tcW w:w="1095" w:type="pct"/>
            <w:vAlign w:val="center"/>
          </w:tcPr>
          <w:p>
            <w:pPr>
              <w:pStyle w:val="3238"/>
              <w:rPr>
                <w:b/>
              </w:rPr>
            </w:pPr>
            <w:r>
              <w:t>与污染源同时存在</w:t>
            </w:r>
          </w:p>
        </w:tc>
        <w:tc>
          <w:tcPr>
            <w:tcW w:w="1095" w:type="pct"/>
            <w:vAlign w:val="center"/>
          </w:tcPr>
          <w:p>
            <w:pPr>
              <w:pStyle w:val="3238"/>
              <w:rPr>
                <w:b/>
              </w:rPr>
            </w:pPr>
            <w:r>
              <w:t>与污染源同时存在</w:t>
            </w:r>
          </w:p>
        </w:tc>
        <w:tc>
          <w:tcPr>
            <w:tcW w:w="1095" w:type="pct"/>
            <w:vAlign w:val="center"/>
          </w:tcPr>
          <w:p>
            <w:pPr>
              <w:pStyle w:val="3238"/>
              <w:rPr>
                <w:b/>
              </w:rPr>
            </w:pPr>
            <w:r>
              <w:t>与污染源同时存在</w:t>
            </w:r>
          </w:p>
        </w:tc>
        <w:tc>
          <w:tcPr>
            <w:tcW w:w="699" w:type="pct"/>
            <w:vAlign w:val="center"/>
          </w:tcPr>
          <w:p>
            <w:pPr>
              <w:pStyle w:val="3238"/>
              <w:rPr>
                <w:b/>
              </w:rPr>
            </w:pPr>
            <w:r>
              <w:t>有后续影响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可逆性</w:t>
            </w:r>
          </w:p>
        </w:tc>
        <w:tc>
          <w:tcPr>
            <w:tcW w:w="1095" w:type="pct"/>
            <w:vAlign w:val="center"/>
          </w:tcPr>
          <w:p>
            <w:pPr>
              <w:pStyle w:val="3238"/>
              <w:rPr>
                <w:b/>
              </w:rPr>
            </w:pPr>
            <w:r>
              <w:t>可逆</w:t>
            </w:r>
          </w:p>
        </w:tc>
        <w:tc>
          <w:tcPr>
            <w:tcW w:w="1095" w:type="pct"/>
            <w:vAlign w:val="center"/>
          </w:tcPr>
          <w:p>
            <w:pPr>
              <w:pStyle w:val="3238"/>
              <w:rPr>
                <w:b/>
              </w:rPr>
            </w:pPr>
            <w:r>
              <w:t>可逆</w:t>
            </w:r>
          </w:p>
        </w:tc>
        <w:tc>
          <w:tcPr>
            <w:tcW w:w="1095" w:type="pct"/>
            <w:vAlign w:val="center"/>
          </w:tcPr>
          <w:p>
            <w:pPr>
              <w:pStyle w:val="3238"/>
              <w:rPr>
                <w:b/>
              </w:rPr>
            </w:pPr>
            <w:r>
              <w:t>可逆</w:t>
            </w:r>
          </w:p>
        </w:tc>
        <w:tc>
          <w:tcPr>
            <w:tcW w:w="699" w:type="pct"/>
            <w:vAlign w:val="center"/>
          </w:tcPr>
          <w:p>
            <w:pPr>
              <w:pStyle w:val="3238"/>
              <w:rPr>
                <w:b/>
              </w:rPr>
            </w:pPr>
            <w:r>
              <w:t>可逆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影响范围</w:t>
            </w:r>
          </w:p>
        </w:tc>
        <w:tc>
          <w:tcPr>
            <w:tcW w:w="1095" w:type="pct"/>
            <w:vAlign w:val="center"/>
          </w:tcPr>
          <w:p>
            <w:pPr>
              <w:pStyle w:val="3238"/>
              <w:rPr>
                <w:b/>
              </w:rPr>
            </w:pPr>
            <w:r>
              <w:t>局部</w:t>
            </w:r>
          </w:p>
        </w:tc>
        <w:tc>
          <w:tcPr>
            <w:tcW w:w="1095" w:type="pct"/>
            <w:vAlign w:val="center"/>
          </w:tcPr>
          <w:p>
            <w:pPr>
              <w:pStyle w:val="3238"/>
              <w:rPr>
                <w:b/>
              </w:rPr>
            </w:pPr>
            <w:r>
              <w:t>局部</w:t>
            </w:r>
          </w:p>
        </w:tc>
        <w:tc>
          <w:tcPr>
            <w:tcW w:w="1095" w:type="pct"/>
            <w:vAlign w:val="center"/>
          </w:tcPr>
          <w:p>
            <w:pPr>
              <w:pStyle w:val="3238"/>
              <w:rPr>
                <w:b/>
              </w:rPr>
            </w:pPr>
            <w:r>
              <w:t>局部</w:t>
            </w:r>
          </w:p>
        </w:tc>
        <w:tc>
          <w:tcPr>
            <w:tcW w:w="699" w:type="pct"/>
            <w:vAlign w:val="center"/>
          </w:tcPr>
          <w:p>
            <w:pPr>
              <w:pStyle w:val="3238"/>
              <w:rPr>
                <w:b/>
              </w:rPr>
            </w:pPr>
            <w:r>
              <w:t>局部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时限</w:t>
            </w:r>
          </w:p>
        </w:tc>
        <w:tc>
          <w:tcPr>
            <w:tcW w:w="1095" w:type="pct"/>
            <w:vAlign w:val="center"/>
          </w:tcPr>
          <w:p>
            <w:pPr>
              <w:pStyle w:val="3238"/>
              <w:rPr>
                <w:b/>
              </w:rPr>
            </w:pPr>
            <w:r>
              <w:t>短期</w:t>
            </w:r>
          </w:p>
        </w:tc>
        <w:tc>
          <w:tcPr>
            <w:tcW w:w="1095" w:type="pct"/>
            <w:vAlign w:val="center"/>
          </w:tcPr>
          <w:p>
            <w:pPr>
              <w:pStyle w:val="3238"/>
              <w:rPr>
                <w:b/>
              </w:rPr>
            </w:pPr>
            <w:r>
              <w:t>短期</w:t>
            </w:r>
          </w:p>
        </w:tc>
        <w:tc>
          <w:tcPr>
            <w:tcW w:w="1095" w:type="pct"/>
            <w:vAlign w:val="center"/>
          </w:tcPr>
          <w:p>
            <w:pPr>
              <w:pStyle w:val="3238"/>
              <w:rPr>
                <w:b/>
              </w:rPr>
            </w:pPr>
            <w:r>
              <w:t>短期</w:t>
            </w:r>
          </w:p>
        </w:tc>
        <w:tc>
          <w:tcPr>
            <w:tcW w:w="699" w:type="pct"/>
            <w:vAlign w:val="center"/>
          </w:tcPr>
          <w:p>
            <w:pPr>
              <w:pStyle w:val="3238"/>
              <w:rPr>
                <w:b/>
              </w:rPr>
            </w:pPr>
            <w:r>
              <w:t>长期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restart"/>
            <w:vAlign w:val="center"/>
          </w:tcPr>
          <w:p>
            <w:pPr>
              <w:pStyle w:val="3238"/>
              <w:rPr>
                <w:b/>
              </w:rPr>
            </w:pPr>
            <w:r>
              <w:t>开采期</w:t>
            </w:r>
          </w:p>
        </w:tc>
        <w:tc>
          <w:tcPr>
            <w:tcW w:w="774" w:type="pct"/>
            <w:vAlign w:val="center"/>
          </w:tcPr>
          <w:p>
            <w:pPr>
              <w:pStyle w:val="3238"/>
              <w:rPr>
                <w:b/>
              </w:rPr>
            </w:pPr>
            <w:r>
              <w:t>影响程度</w:t>
            </w:r>
          </w:p>
        </w:tc>
        <w:tc>
          <w:tcPr>
            <w:tcW w:w="1095" w:type="pct"/>
            <w:vAlign w:val="center"/>
          </w:tcPr>
          <w:p>
            <w:pPr>
              <w:pStyle w:val="3238"/>
              <w:rPr>
                <w:b/>
              </w:rPr>
            </w:pPr>
            <w:r>
              <w:t>明显</w:t>
            </w:r>
          </w:p>
        </w:tc>
        <w:tc>
          <w:tcPr>
            <w:tcW w:w="1095" w:type="pct"/>
            <w:vAlign w:val="center"/>
          </w:tcPr>
          <w:p>
            <w:pPr>
              <w:pStyle w:val="3238"/>
              <w:rPr>
                <w:b/>
              </w:rPr>
            </w:pPr>
            <w:r>
              <w:t>不明显</w:t>
            </w:r>
          </w:p>
        </w:tc>
        <w:tc>
          <w:tcPr>
            <w:tcW w:w="1095" w:type="pct"/>
            <w:vAlign w:val="center"/>
          </w:tcPr>
          <w:p>
            <w:pPr>
              <w:pStyle w:val="3238"/>
              <w:rPr>
                <w:b/>
              </w:rPr>
            </w:pPr>
            <w:r>
              <w:t>明显</w:t>
            </w:r>
          </w:p>
        </w:tc>
        <w:tc>
          <w:tcPr>
            <w:tcW w:w="699" w:type="pct"/>
            <w:vAlign w:val="center"/>
          </w:tcPr>
          <w:p>
            <w:pPr>
              <w:pStyle w:val="3238"/>
              <w:rPr>
                <w:b/>
              </w:rPr>
            </w:pPr>
            <w:r>
              <w:t>明显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持续性</w:t>
            </w:r>
          </w:p>
        </w:tc>
        <w:tc>
          <w:tcPr>
            <w:tcW w:w="1095" w:type="pct"/>
            <w:vAlign w:val="center"/>
          </w:tcPr>
          <w:p>
            <w:pPr>
              <w:pStyle w:val="3238"/>
              <w:rPr>
                <w:b/>
              </w:rPr>
            </w:pPr>
            <w:r>
              <w:t>与污染源同时存在</w:t>
            </w:r>
          </w:p>
        </w:tc>
        <w:tc>
          <w:tcPr>
            <w:tcW w:w="1095" w:type="pct"/>
            <w:vAlign w:val="center"/>
          </w:tcPr>
          <w:p>
            <w:pPr>
              <w:pStyle w:val="3238"/>
              <w:rPr>
                <w:b/>
              </w:rPr>
            </w:pPr>
            <w:r>
              <w:t>与污染源同时存在</w:t>
            </w:r>
          </w:p>
        </w:tc>
        <w:tc>
          <w:tcPr>
            <w:tcW w:w="1095" w:type="pct"/>
            <w:vAlign w:val="center"/>
          </w:tcPr>
          <w:p>
            <w:pPr>
              <w:pStyle w:val="3238"/>
              <w:rPr>
                <w:b/>
              </w:rPr>
            </w:pPr>
            <w:r>
              <w:t>与污染源同时存在</w:t>
            </w:r>
          </w:p>
        </w:tc>
        <w:tc>
          <w:tcPr>
            <w:tcW w:w="699" w:type="pct"/>
            <w:vAlign w:val="center"/>
          </w:tcPr>
          <w:p>
            <w:pPr>
              <w:pStyle w:val="3238"/>
              <w:rPr>
                <w:b/>
              </w:rPr>
            </w:pPr>
            <w:r>
              <w:t>有后续影响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可逆性</w:t>
            </w:r>
          </w:p>
        </w:tc>
        <w:tc>
          <w:tcPr>
            <w:tcW w:w="1095" w:type="pct"/>
            <w:vAlign w:val="center"/>
          </w:tcPr>
          <w:p>
            <w:pPr>
              <w:pStyle w:val="3238"/>
              <w:rPr>
                <w:b/>
              </w:rPr>
            </w:pPr>
            <w:r>
              <w:t>可逆</w:t>
            </w:r>
          </w:p>
        </w:tc>
        <w:tc>
          <w:tcPr>
            <w:tcW w:w="1095" w:type="pct"/>
            <w:vAlign w:val="center"/>
          </w:tcPr>
          <w:p>
            <w:pPr>
              <w:pStyle w:val="3238"/>
              <w:rPr>
                <w:b/>
              </w:rPr>
            </w:pPr>
            <w:r>
              <w:t>可逆</w:t>
            </w:r>
          </w:p>
        </w:tc>
        <w:tc>
          <w:tcPr>
            <w:tcW w:w="1095" w:type="pct"/>
            <w:vAlign w:val="center"/>
          </w:tcPr>
          <w:p>
            <w:pPr>
              <w:pStyle w:val="3238"/>
              <w:rPr>
                <w:b/>
              </w:rPr>
            </w:pPr>
            <w:r>
              <w:t>可逆</w:t>
            </w:r>
          </w:p>
        </w:tc>
        <w:tc>
          <w:tcPr>
            <w:tcW w:w="699" w:type="pct"/>
            <w:vAlign w:val="center"/>
          </w:tcPr>
          <w:p>
            <w:pPr>
              <w:pStyle w:val="3238"/>
              <w:rPr>
                <w:b/>
              </w:rPr>
            </w:pPr>
            <w:r>
              <w:t>可逆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范围</w:t>
            </w:r>
          </w:p>
        </w:tc>
        <w:tc>
          <w:tcPr>
            <w:tcW w:w="1095" w:type="pct"/>
            <w:vAlign w:val="center"/>
          </w:tcPr>
          <w:p>
            <w:pPr>
              <w:pStyle w:val="3238"/>
              <w:rPr>
                <w:b/>
              </w:rPr>
            </w:pPr>
            <w:r>
              <w:t>较大范围</w:t>
            </w:r>
          </w:p>
        </w:tc>
        <w:tc>
          <w:tcPr>
            <w:tcW w:w="1095" w:type="pct"/>
            <w:vAlign w:val="center"/>
          </w:tcPr>
          <w:p>
            <w:pPr>
              <w:pStyle w:val="3238"/>
              <w:rPr>
                <w:b/>
              </w:rPr>
            </w:pPr>
            <w:r>
              <w:t>局部</w:t>
            </w:r>
          </w:p>
        </w:tc>
        <w:tc>
          <w:tcPr>
            <w:tcW w:w="1095" w:type="pct"/>
            <w:vAlign w:val="center"/>
          </w:tcPr>
          <w:p>
            <w:pPr>
              <w:pStyle w:val="3238"/>
              <w:rPr>
                <w:b/>
              </w:rPr>
            </w:pPr>
            <w:r>
              <w:t>局部</w:t>
            </w:r>
          </w:p>
        </w:tc>
        <w:tc>
          <w:tcPr>
            <w:tcW w:w="699" w:type="pct"/>
            <w:vAlign w:val="center"/>
          </w:tcPr>
          <w:p>
            <w:pPr>
              <w:pStyle w:val="3238"/>
              <w:rPr>
                <w:b/>
              </w:rPr>
            </w:pPr>
            <w:r>
              <w:t>局部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时限</w:t>
            </w:r>
          </w:p>
        </w:tc>
        <w:tc>
          <w:tcPr>
            <w:tcW w:w="1095" w:type="pct"/>
            <w:vAlign w:val="center"/>
          </w:tcPr>
          <w:p>
            <w:pPr>
              <w:pStyle w:val="3238"/>
              <w:rPr>
                <w:b/>
              </w:rPr>
            </w:pPr>
            <w:r>
              <w:t>长期</w:t>
            </w:r>
          </w:p>
        </w:tc>
        <w:tc>
          <w:tcPr>
            <w:tcW w:w="1095" w:type="pct"/>
            <w:vAlign w:val="center"/>
          </w:tcPr>
          <w:p>
            <w:pPr>
              <w:pStyle w:val="3238"/>
              <w:rPr>
                <w:b/>
              </w:rPr>
            </w:pPr>
            <w:r>
              <w:t>长期</w:t>
            </w:r>
          </w:p>
        </w:tc>
        <w:tc>
          <w:tcPr>
            <w:tcW w:w="1095" w:type="pct"/>
            <w:vAlign w:val="center"/>
          </w:tcPr>
          <w:p>
            <w:pPr>
              <w:pStyle w:val="3238"/>
              <w:rPr>
                <w:b/>
              </w:rPr>
            </w:pPr>
            <w:r>
              <w:t>长期</w:t>
            </w:r>
          </w:p>
        </w:tc>
        <w:tc>
          <w:tcPr>
            <w:tcW w:w="699" w:type="pct"/>
            <w:vAlign w:val="center"/>
          </w:tcPr>
          <w:p>
            <w:pPr>
              <w:pStyle w:val="3238"/>
              <w:rPr>
                <w:b/>
              </w:rPr>
            </w:pPr>
            <w:r>
              <w:t>长期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restart"/>
            <w:vAlign w:val="center"/>
          </w:tcPr>
          <w:p>
            <w:pPr>
              <w:pStyle w:val="3238"/>
              <w:rPr>
                <w:b/>
              </w:rPr>
            </w:pPr>
            <w:r>
              <w:t>闭矿期</w:t>
            </w:r>
          </w:p>
        </w:tc>
        <w:tc>
          <w:tcPr>
            <w:tcW w:w="774" w:type="pct"/>
            <w:vAlign w:val="center"/>
          </w:tcPr>
          <w:p>
            <w:pPr>
              <w:pStyle w:val="3238"/>
              <w:rPr>
                <w:b/>
              </w:rPr>
            </w:pPr>
            <w:r>
              <w:t>影响程度</w:t>
            </w:r>
          </w:p>
        </w:tc>
        <w:tc>
          <w:tcPr>
            <w:tcW w:w="1095" w:type="pct"/>
            <w:vAlign w:val="center"/>
          </w:tcPr>
          <w:p>
            <w:pPr>
              <w:pStyle w:val="3238"/>
              <w:rPr>
                <w:b/>
              </w:rPr>
            </w:pPr>
            <w:r>
              <w:t>不明显</w:t>
            </w:r>
          </w:p>
        </w:tc>
        <w:tc>
          <w:tcPr>
            <w:tcW w:w="1095" w:type="pct"/>
            <w:vAlign w:val="center"/>
          </w:tcPr>
          <w:p>
            <w:pPr>
              <w:pStyle w:val="3238"/>
              <w:rPr>
                <w:b/>
              </w:rPr>
            </w:pPr>
            <w:r>
              <w:t>不明显</w:t>
            </w:r>
          </w:p>
        </w:tc>
        <w:tc>
          <w:tcPr>
            <w:tcW w:w="1095" w:type="pct"/>
            <w:vAlign w:val="center"/>
          </w:tcPr>
          <w:p>
            <w:pPr>
              <w:pStyle w:val="3238"/>
              <w:rPr>
                <w:b/>
              </w:rPr>
            </w:pPr>
            <w:r>
              <w:t>较明显</w:t>
            </w:r>
          </w:p>
        </w:tc>
        <w:tc>
          <w:tcPr>
            <w:tcW w:w="699" w:type="pct"/>
            <w:vAlign w:val="center"/>
          </w:tcPr>
          <w:p>
            <w:pPr>
              <w:pStyle w:val="3238"/>
              <w:rPr>
                <w:b/>
              </w:rPr>
            </w:pPr>
            <w:r>
              <w:t>明显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持续性</w:t>
            </w:r>
          </w:p>
        </w:tc>
        <w:tc>
          <w:tcPr>
            <w:tcW w:w="1095" w:type="pct"/>
            <w:vAlign w:val="center"/>
          </w:tcPr>
          <w:p>
            <w:pPr>
              <w:pStyle w:val="3238"/>
              <w:rPr>
                <w:b/>
              </w:rPr>
            </w:pPr>
            <w:r>
              <w:t>与污染源同时存在</w:t>
            </w:r>
          </w:p>
        </w:tc>
        <w:tc>
          <w:tcPr>
            <w:tcW w:w="1095" w:type="pct"/>
            <w:vAlign w:val="center"/>
          </w:tcPr>
          <w:p>
            <w:pPr>
              <w:pStyle w:val="3238"/>
            </w:pPr>
            <w:r>
              <w:t>/</w:t>
            </w:r>
          </w:p>
        </w:tc>
        <w:tc>
          <w:tcPr>
            <w:tcW w:w="1095" w:type="pct"/>
            <w:vAlign w:val="center"/>
          </w:tcPr>
          <w:p>
            <w:pPr>
              <w:pStyle w:val="3238"/>
              <w:rPr>
                <w:b/>
              </w:rPr>
            </w:pPr>
            <w:r>
              <w:t>与污染源同时存在</w:t>
            </w:r>
          </w:p>
        </w:tc>
        <w:tc>
          <w:tcPr>
            <w:tcW w:w="699" w:type="pct"/>
            <w:vAlign w:val="center"/>
          </w:tcPr>
          <w:p>
            <w:pPr>
              <w:pStyle w:val="3238"/>
              <w:rPr>
                <w:b/>
              </w:rPr>
            </w:pPr>
            <w:r>
              <w:t>有后续影响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可逆性</w:t>
            </w:r>
          </w:p>
        </w:tc>
        <w:tc>
          <w:tcPr>
            <w:tcW w:w="1095" w:type="pct"/>
            <w:vAlign w:val="center"/>
          </w:tcPr>
          <w:p>
            <w:pPr>
              <w:pStyle w:val="3238"/>
              <w:rPr>
                <w:b/>
              </w:rPr>
            </w:pPr>
            <w:r>
              <w:t>可逆</w:t>
            </w:r>
          </w:p>
        </w:tc>
        <w:tc>
          <w:tcPr>
            <w:tcW w:w="1095" w:type="pct"/>
            <w:vAlign w:val="center"/>
          </w:tcPr>
          <w:p>
            <w:pPr>
              <w:pStyle w:val="3238"/>
            </w:pPr>
            <w:r>
              <w:t>/</w:t>
            </w:r>
          </w:p>
        </w:tc>
        <w:tc>
          <w:tcPr>
            <w:tcW w:w="1095" w:type="pct"/>
            <w:vAlign w:val="center"/>
          </w:tcPr>
          <w:p>
            <w:pPr>
              <w:pStyle w:val="3238"/>
              <w:rPr>
                <w:b/>
              </w:rPr>
            </w:pPr>
            <w:r>
              <w:t>可逆</w:t>
            </w:r>
          </w:p>
        </w:tc>
        <w:tc>
          <w:tcPr>
            <w:tcW w:w="699" w:type="pct"/>
            <w:vAlign w:val="center"/>
          </w:tcPr>
          <w:p>
            <w:pPr>
              <w:pStyle w:val="3238"/>
              <w:rPr>
                <w:b/>
              </w:rPr>
            </w:pPr>
            <w:r>
              <w:t>可逆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范围</w:t>
            </w:r>
          </w:p>
        </w:tc>
        <w:tc>
          <w:tcPr>
            <w:tcW w:w="1095" w:type="pct"/>
            <w:vAlign w:val="center"/>
          </w:tcPr>
          <w:p>
            <w:pPr>
              <w:pStyle w:val="3238"/>
              <w:rPr>
                <w:b/>
              </w:rPr>
            </w:pPr>
            <w:r>
              <w:t>局部</w:t>
            </w:r>
          </w:p>
        </w:tc>
        <w:tc>
          <w:tcPr>
            <w:tcW w:w="1095" w:type="pct"/>
            <w:vAlign w:val="center"/>
          </w:tcPr>
          <w:p>
            <w:pPr>
              <w:pStyle w:val="3238"/>
            </w:pPr>
            <w:r>
              <w:t>/</w:t>
            </w:r>
          </w:p>
        </w:tc>
        <w:tc>
          <w:tcPr>
            <w:tcW w:w="1095" w:type="pct"/>
            <w:vAlign w:val="center"/>
          </w:tcPr>
          <w:p>
            <w:pPr>
              <w:pStyle w:val="3238"/>
              <w:rPr>
                <w:b/>
              </w:rPr>
            </w:pPr>
            <w:r>
              <w:t>局部</w:t>
            </w:r>
          </w:p>
        </w:tc>
        <w:tc>
          <w:tcPr>
            <w:tcW w:w="699" w:type="pct"/>
            <w:vAlign w:val="center"/>
          </w:tcPr>
          <w:p>
            <w:pPr>
              <w:pStyle w:val="3238"/>
              <w:rPr>
                <w:b/>
              </w:rPr>
            </w:pPr>
            <w:r>
              <w:t>局部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2" w:type="pct"/>
            <w:vMerge w:val="continue"/>
            <w:vAlign w:val="center"/>
          </w:tcPr>
          <w:p>
            <w:pPr>
              <w:pStyle w:val="3238"/>
            </w:pPr>
          </w:p>
        </w:tc>
        <w:tc>
          <w:tcPr>
            <w:tcW w:w="774" w:type="pct"/>
            <w:vAlign w:val="center"/>
          </w:tcPr>
          <w:p>
            <w:pPr>
              <w:pStyle w:val="3238"/>
              <w:rPr>
                <w:b/>
              </w:rPr>
            </w:pPr>
            <w:r>
              <w:t>时限</w:t>
            </w:r>
          </w:p>
        </w:tc>
        <w:tc>
          <w:tcPr>
            <w:tcW w:w="1095" w:type="pct"/>
            <w:vAlign w:val="center"/>
          </w:tcPr>
          <w:p>
            <w:pPr>
              <w:pStyle w:val="3238"/>
              <w:rPr>
                <w:b/>
              </w:rPr>
            </w:pPr>
            <w:r>
              <w:t>短期</w:t>
            </w:r>
          </w:p>
        </w:tc>
        <w:tc>
          <w:tcPr>
            <w:tcW w:w="1095" w:type="pct"/>
            <w:vAlign w:val="center"/>
          </w:tcPr>
          <w:p>
            <w:pPr>
              <w:pStyle w:val="3238"/>
            </w:pPr>
            <w:r>
              <w:t>/</w:t>
            </w:r>
          </w:p>
        </w:tc>
        <w:tc>
          <w:tcPr>
            <w:tcW w:w="1095" w:type="pct"/>
            <w:vAlign w:val="center"/>
          </w:tcPr>
          <w:p>
            <w:pPr>
              <w:pStyle w:val="3238"/>
              <w:rPr>
                <w:b/>
              </w:rPr>
            </w:pPr>
            <w:r>
              <w:t>短期</w:t>
            </w:r>
          </w:p>
        </w:tc>
        <w:tc>
          <w:tcPr>
            <w:tcW w:w="699" w:type="pct"/>
            <w:vAlign w:val="center"/>
          </w:tcPr>
          <w:p>
            <w:pPr>
              <w:pStyle w:val="3238"/>
              <w:rPr>
                <w:b/>
              </w:rPr>
            </w:pPr>
            <w:r>
              <w:t>长期</w:t>
            </w:r>
          </w:p>
        </w:tc>
      </w:tr>
    </w:tbl>
    <w:p>
      <w:pPr>
        <w:pStyle w:val="5"/>
        <w:rPr>
          <w:color w:val="auto"/>
        </w:rPr>
      </w:pPr>
      <w:r>
        <w:rPr>
          <w:color w:val="auto"/>
        </w:rPr>
        <w:t>1.4.2评价因子筛选</w:t>
      </w:r>
    </w:p>
    <w:p>
      <w:pPr>
        <w:pStyle w:val="222"/>
      </w:pPr>
      <w:r>
        <w:t>根据前面的环境影响因素识别，评价将影响较大、影响范围较广、具有长期影响等的因子作为影响评价因子；在影响评价因子基础上，根据评价技术导则要求的常规因子，环境现状资料收集的情况，确定现状评价因子。具体如下：</w:t>
      </w:r>
    </w:p>
    <w:p>
      <w:pPr>
        <w:pStyle w:val="222"/>
      </w:pPr>
      <w:r>
        <w:t>（1）环境质量现状评价因子</w:t>
      </w:r>
    </w:p>
    <w:p>
      <w:pPr>
        <w:pStyle w:val="222"/>
      </w:pPr>
      <w:r>
        <w:t>大气环境：SO</w:t>
      </w:r>
      <w:r>
        <w:rPr>
          <w:vertAlign w:val="subscript"/>
        </w:rPr>
        <w:t>2</w:t>
      </w:r>
      <w:r>
        <w:t>、NO</w:t>
      </w:r>
      <w:r>
        <w:rPr>
          <w:vertAlign w:val="subscript"/>
        </w:rPr>
        <w:t>2</w:t>
      </w:r>
      <w:r>
        <w:t>、PM</w:t>
      </w:r>
      <w:r>
        <w:rPr>
          <w:vertAlign w:val="subscript"/>
        </w:rPr>
        <w:t>2.5</w:t>
      </w:r>
      <w:r>
        <w:t>、PM</w:t>
      </w:r>
      <w:r>
        <w:rPr>
          <w:vertAlign w:val="subscript"/>
        </w:rPr>
        <w:t>10</w:t>
      </w:r>
      <w:r>
        <w:t>、CO、O</w:t>
      </w:r>
      <w:r>
        <w:rPr>
          <w:vertAlign w:val="subscript"/>
        </w:rPr>
        <w:t>3</w:t>
      </w:r>
      <w:r>
        <w:t>、TSP；</w:t>
      </w:r>
    </w:p>
    <w:p>
      <w:pPr>
        <w:pStyle w:val="222"/>
      </w:pPr>
      <w:r>
        <w:t>地表水环境：pH、COD、BOD</w:t>
      </w:r>
      <w:r>
        <w:rPr>
          <w:vertAlign w:val="subscript"/>
        </w:rPr>
        <w:t>5</w:t>
      </w:r>
      <w:r>
        <w:t>、NH</w:t>
      </w:r>
      <w:r>
        <w:rPr>
          <w:vertAlign w:val="subscript"/>
        </w:rPr>
        <w:t>3</w:t>
      </w:r>
      <w:r>
        <w:t>-N、TP、石油类；</w:t>
      </w:r>
    </w:p>
    <w:p>
      <w:pPr>
        <w:pStyle w:val="222"/>
      </w:pPr>
      <w:r>
        <w:t>声环境：等效连续A声级。</w:t>
      </w:r>
    </w:p>
    <w:p>
      <w:pPr>
        <w:spacing w:line="360" w:lineRule="auto"/>
        <w:ind w:firstLine="480"/>
        <w:jc w:val="both"/>
        <w:rPr>
          <w:sz w:val="24"/>
          <w:szCs w:val="24"/>
        </w:rPr>
      </w:pPr>
      <w:r>
        <w:rPr>
          <w:sz w:val="24"/>
          <w:szCs w:val="24"/>
        </w:rPr>
        <w:t>生态环境：植被、土地利用、水土流失、景观。</w:t>
      </w:r>
    </w:p>
    <w:p>
      <w:pPr>
        <w:pStyle w:val="222"/>
      </w:pPr>
      <w:r>
        <w:t>（2）建设期评价因子</w:t>
      </w:r>
    </w:p>
    <w:p>
      <w:pPr>
        <w:pStyle w:val="222"/>
      </w:pPr>
      <w:r>
        <w:t>大气环境：TSP、NOx、CO、THC；</w:t>
      </w:r>
    </w:p>
    <w:p>
      <w:pPr>
        <w:pStyle w:val="222"/>
      </w:pPr>
      <w:r>
        <w:t>地表水：COD、NH</w:t>
      </w:r>
      <w:r>
        <w:rPr>
          <w:vertAlign w:val="subscript"/>
        </w:rPr>
        <w:t>3</w:t>
      </w:r>
      <w:r>
        <w:t>-N、SS；</w:t>
      </w:r>
    </w:p>
    <w:p>
      <w:pPr>
        <w:pStyle w:val="222"/>
      </w:pPr>
      <w:r>
        <w:t>声环境：等效连续A声级；</w:t>
      </w:r>
    </w:p>
    <w:p>
      <w:pPr>
        <w:pStyle w:val="222"/>
      </w:pPr>
      <w:r>
        <w:t>固体废物：弃土石、生活垃圾；</w:t>
      </w:r>
    </w:p>
    <w:p>
      <w:pPr>
        <w:pStyle w:val="222"/>
      </w:pPr>
      <w:r>
        <w:t>生态环境：植被、水土流失。</w:t>
      </w:r>
    </w:p>
    <w:p>
      <w:pPr>
        <w:pStyle w:val="222"/>
      </w:pPr>
      <w:r>
        <w:t>（3）开采期评价因子</w:t>
      </w:r>
    </w:p>
    <w:p>
      <w:pPr>
        <w:pStyle w:val="222"/>
      </w:pPr>
      <w:r>
        <w:t>大气环境：TSP、PM</w:t>
      </w:r>
      <w:r>
        <w:rPr>
          <w:vertAlign w:val="subscript"/>
        </w:rPr>
        <w:t>10</w:t>
      </w:r>
      <w:r>
        <w:t>；</w:t>
      </w:r>
    </w:p>
    <w:p>
      <w:pPr>
        <w:pStyle w:val="222"/>
      </w:pPr>
      <w:r>
        <w:t>地表水环境：COD、BOD</w:t>
      </w:r>
      <w:r>
        <w:rPr>
          <w:vertAlign w:val="subscript"/>
        </w:rPr>
        <w:t>5</w:t>
      </w:r>
      <w:r>
        <w:t>、NH</w:t>
      </w:r>
      <w:r>
        <w:rPr>
          <w:vertAlign w:val="subscript"/>
        </w:rPr>
        <w:t>3</w:t>
      </w:r>
      <w:r>
        <w:t>-N、</w:t>
      </w:r>
      <w:r>
        <w:rPr>
          <w:bCs/>
        </w:rPr>
        <w:t>石油类</w:t>
      </w:r>
      <w:r>
        <w:t>；</w:t>
      </w:r>
    </w:p>
    <w:p>
      <w:pPr>
        <w:pStyle w:val="222"/>
        <w:rPr>
          <w:snapToGrid w:val="0"/>
        </w:rPr>
      </w:pPr>
      <w:r>
        <w:rPr>
          <w:snapToGrid w:val="0"/>
        </w:rPr>
        <w:t>声环境：等效连续A声级；</w:t>
      </w:r>
    </w:p>
    <w:p>
      <w:pPr>
        <w:pStyle w:val="222"/>
      </w:pPr>
      <w:r>
        <w:t>固体废物：废土石、除尘灰、机修废物及生活垃圾；</w:t>
      </w:r>
    </w:p>
    <w:p>
      <w:pPr>
        <w:pStyle w:val="222"/>
      </w:pPr>
      <w:r>
        <w:t>生态环境：植被、水土流失、土地利用、景观。</w:t>
      </w:r>
    </w:p>
    <w:p>
      <w:pPr>
        <w:pStyle w:val="222"/>
      </w:pPr>
      <w:r>
        <w:t>（4）闭矿期评价因子</w:t>
      </w:r>
    </w:p>
    <w:p>
      <w:pPr>
        <w:pStyle w:val="222"/>
      </w:pPr>
      <w:r>
        <w:t>生态环境：生态恢复、土地复垦。</w:t>
      </w:r>
    </w:p>
    <w:p>
      <w:pPr>
        <w:pStyle w:val="4"/>
      </w:pPr>
      <w:bookmarkStart w:id="99" w:name="_Toc161676087"/>
      <w:r>
        <w:t>1.5环境功能区及评价标准</w:t>
      </w:r>
      <w:bookmarkEnd w:id="99"/>
    </w:p>
    <w:p>
      <w:pPr>
        <w:pStyle w:val="5"/>
        <w:rPr>
          <w:color w:val="auto"/>
        </w:rPr>
      </w:pPr>
      <w:r>
        <w:rPr>
          <w:color w:val="auto"/>
        </w:rPr>
        <w:t>1.5.1环境功能区划</w:t>
      </w:r>
    </w:p>
    <w:p>
      <w:pPr>
        <w:pStyle w:val="222"/>
      </w:pPr>
      <w:r>
        <w:t>（1）环境空气功能区划</w:t>
      </w:r>
    </w:p>
    <w:p>
      <w:pPr>
        <w:pStyle w:val="222"/>
      </w:pPr>
      <w:r>
        <w:t>根据《重庆市人民政府关于印发重庆市环境空气质量功能区划分规定的通知》（渝府发〔2016〕19 号）中：“四、各类功能区分别执行相应国家环境空气质量标准和大气污染物排放标准。一类功能区内的建设用地及其以外所设300米宽的缓冲带，原则上按一类功能区对应的相关标准执行”，九峰山市级森林公园属于环境空气质量一类功能区，项目位于九峰山森林公园外围300m缓冲带内，按一类功能区对应的相关标准执行。</w:t>
      </w:r>
    </w:p>
    <w:p>
      <w:pPr>
        <w:pStyle w:val="222"/>
      </w:pPr>
      <w:r>
        <w:t>（2）地表水环境功能区划</w:t>
      </w:r>
    </w:p>
    <w:p>
      <w:pPr>
        <w:pStyle w:val="222"/>
      </w:pPr>
      <w:r>
        <w:t>矿区附近地表水主要通过季节性冲沟流入矿区西侧的干沟河，从西南至东北方向，流经约5km进入嘉陵江；属于嘉陵江流域。根据《重庆市人民政府批转重庆市地表水环境功能类别调整方案的通知》（渝府发〔2012〕4号）规定，嘉陵江合川段为Ⅲ类水域，干沟河未划分水域功能。</w:t>
      </w:r>
    </w:p>
    <w:p>
      <w:pPr>
        <w:pStyle w:val="222"/>
      </w:pPr>
      <w:r>
        <w:t>（3）声环境功能区划</w:t>
      </w:r>
    </w:p>
    <w:p>
      <w:pPr>
        <w:pStyle w:val="222"/>
      </w:pPr>
      <w:r>
        <w:t>根据《重庆市声环境功能区划分技术规范实施细则（试行）》（渝环〔2015〕429号）及《合川区声环境功能区划分调整方案》（合川府办发〔2023〕56号），评价区属于工业活动较多的村庄，评价区按2类声环境功能区执行。</w:t>
      </w:r>
    </w:p>
    <w:p>
      <w:pPr>
        <w:pStyle w:val="222"/>
      </w:pPr>
      <w:r>
        <w:t xml:space="preserve">（4）生态环境  </w:t>
      </w:r>
    </w:p>
    <w:p>
      <w:pPr>
        <w:pStyle w:val="222"/>
      </w:pPr>
      <w:r>
        <w:t>根据《重庆市生态功能区划（修编）》（渝府发〔2008〕133号），项目所在地属“IV3渝西丘陵农业生态亚区—IV3-2渝西方山丘陵营养物质保持－水体保护生态功能区”。</w:t>
      </w:r>
    </w:p>
    <w:p>
      <w:pPr>
        <w:pStyle w:val="5"/>
        <w:rPr>
          <w:color w:val="auto"/>
        </w:rPr>
      </w:pPr>
      <w:r>
        <w:rPr>
          <w:color w:val="auto"/>
        </w:rPr>
        <w:t>1.5.2环境质量标准</w:t>
      </w:r>
    </w:p>
    <w:p>
      <w:pPr>
        <w:pStyle w:val="6"/>
        <w:numPr>
          <w:ilvl w:val="3"/>
          <w:numId w:val="0"/>
        </w:numPr>
      </w:pPr>
      <w:r>
        <w:t>1.5.2.1环境空气</w:t>
      </w:r>
    </w:p>
    <w:p>
      <w:pPr>
        <w:pStyle w:val="222"/>
      </w:pPr>
      <w:r>
        <w:t>根据环境空气功能区划，本项目评价范围内九峰山森林公园及其外围300m宽的缓冲带执行《环境空气质量标准》（GB3095-2012）中的一级标准，其他区域执行《环境空气质量标准》（GB3095-2012）中的二级标准。具体见下表。</w:t>
      </w:r>
    </w:p>
    <w:p>
      <w:pPr>
        <w:pStyle w:val="84"/>
      </w:pPr>
      <w:r>
        <w:t>表1.5-1  环境空气质量标准限值    单位：µg/m3</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1343"/>
        <w:gridCol w:w="2311"/>
        <w:gridCol w:w="1483"/>
        <w:gridCol w:w="1594"/>
        <w:gridCol w:w="17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449" w:type="pct"/>
            <w:shd w:val="clear" w:color="auto" w:fill="D8D8D8" w:themeFill="background1" w:themeFillShade="D9"/>
            <w:vAlign w:val="center"/>
          </w:tcPr>
          <w:p>
            <w:pPr>
              <w:pStyle w:val="3238"/>
              <w:rPr>
                <w:b/>
                <w:snapToGrid w:val="0"/>
              </w:rPr>
            </w:pPr>
            <w:r>
              <w:rPr>
                <w:snapToGrid w:val="0"/>
              </w:rPr>
              <w:t>序号</w:t>
            </w:r>
          </w:p>
        </w:tc>
        <w:tc>
          <w:tcPr>
            <w:tcW w:w="709" w:type="pct"/>
            <w:shd w:val="clear" w:color="auto" w:fill="D8D8D8" w:themeFill="background1" w:themeFillShade="D9"/>
            <w:vAlign w:val="center"/>
          </w:tcPr>
          <w:p>
            <w:pPr>
              <w:pStyle w:val="3238"/>
              <w:rPr>
                <w:b/>
                <w:snapToGrid w:val="0"/>
              </w:rPr>
            </w:pPr>
            <w:r>
              <w:rPr>
                <w:snapToGrid w:val="0"/>
              </w:rPr>
              <w:t>污染物</w:t>
            </w:r>
          </w:p>
        </w:tc>
        <w:tc>
          <w:tcPr>
            <w:tcW w:w="1247" w:type="pct"/>
            <w:shd w:val="clear" w:color="auto" w:fill="D8D8D8" w:themeFill="background1" w:themeFillShade="D9"/>
            <w:vAlign w:val="center"/>
          </w:tcPr>
          <w:p>
            <w:pPr>
              <w:pStyle w:val="3238"/>
              <w:rPr>
                <w:b/>
                <w:snapToGrid w:val="0"/>
              </w:rPr>
            </w:pPr>
            <w:r>
              <w:rPr>
                <w:snapToGrid w:val="0"/>
              </w:rPr>
              <w:t>取值时间</w:t>
            </w:r>
          </w:p>
        </w:tc>
        <w:tc>
          <w:tcPr>
            <w:tcW w:w="801" w:type="pct"/>
            <w:shd w:val="clear" w:color="auto" w:fill="D8D8D8" w:themeFill="background1" w:themeFillShade="D9"/>
            <w:vAlign w:val="center"/>
          </w:tcPr>
          <w:p>
            <w:pPr>
              <w:pStyle w:val="3238"/>
              <w:rPr>
                <w:b/>
                <w:snapToGrid w:val="0"/>
              </w:rPr>
            </w:pPr>
            <w:r>
              <w:rPr>
                <w:snapToGrid w:val="0"/>
              </w:rPr>
              <w:t>一级标准值</w:t>
            </w:r>
          </w:p>
        </w:tc>
        <w:tc>
          <w:tcPr>
            <w:tcW w:w="861" w:type="pct"/>
            <w:shd w:val="clear" w:color="auto" w:fill="D8D8D8" w:themeFill="background1" w:themeFillShade="D9"/>
            <w:vAlign w:val="center"/>
          </w:tcPr>
          <w:p>
            <w:pPr>
              <w:pStyle w:val="3238"/>
              <w:rPr>
                <w:b/>
                <w:snapToGrid w:val="0"/>
              </w:rPr>
            </w:pPr>
            <w:r>
              <w:rPr>
                <w:snapToGrid w:val="0"/>
              </w:rPr>
              <w:t>二级标准值</w:t>
            </w:r>
          </w:p>
        </w:tc>
        <w:tc>
          <w:tcPr>
            <w:tcW w:w="933" w:type="pct"/>
            <w:shd w:val="clear" w:color="auto" w:fill="D8D8D8" w:themeFill="background1" w:themeFillShade="D9"/>
            <w:vAlign w:val="center"/>
          </w:tcPr>
          <w:p>
            <w:pPr>
              <w:pStyle w:val="3238"/>
              <w:rPr>
                <w:b/>
                <w:snapToGrid w:val="0"/>
              </w:rPr>
            </w:pPr>
            <w:r>
              <w:rPr>
                <w:snapToGrid w:val="0"/>
              </w:rPr>
              <w:t>标准来源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restart"/>
            <w:vAlign w:val="center"/>
          </w:tcPr>
          <w:p>
            <w:pPr>
              <w:pStyle w:val="3238"/>
              <w:rPr>
                <w:snapToGrid w:val="0"/>
              </w:rPr>
            </w:pPr>
            <w:r>
              <w:rPr>
                <w:snapToGrid w:val="0"/>
              </w:rPr>
              <w:t>1</w:t>
            </w:r>
          </w:p>
        </w:tc>
        <w:tc>
          <w:tcPr>
            <w:tcW w:w="709" w:type="pct"/>
            <w:vMerge w:val="restart"/>
            <w:vAlign w:val="center"/>
          </w:tcPr>
          <w:p>
            <w:pPr>
              <w:pStyle w:val="3238"/>
              <w:rPr>
                <w:b/>
                <w:snapToGrid w:val="0"/>
              </w:rPr>
            </w:pPr>
            <w:r>
              <w:rPr>
                <w:snapToGrid w:val="0"/>
              </w:rPr>
              <w:t>SO</w:t>
            </w:r>
            <w:r>
              <w:rPr>
                <w:snapToGrid w:val="0"/>
                <w:vertAlign w:val="subscript"/>
              </w:rPr>
              <w:t>2</w:t>
            </w:r>
          </w:p>
        </w:tc>
        <w:tc>
          <w:tcPr>
            <w:tcW w:w="1247" w:type="pct"/>
            <w:vAlign w:val="center"/>
          </w:tcPr>
          <w:p>
            <w:pPr>
              <w:pStyle w:val="3238"/>
              <w:rPr>
                <w:b/>
                <w:snapToGrid w:val="0"/>
              </w:rPr>
            </w:pPr>
            <w:r>
              <w:rPr>
                <w:snapToGrid w:val="0"/>
              </w:rPr>
              <w:t>1小时平均</w:t>
            </w:r>
          </w:p>
        </w:tc>
        <w:tc>
          <w:tcPr>
            <w:tcW w:w="801" w:type="pct"/>
            <w:vAlign w:val="center"/>
          </w:tcPr>
          <w:p>
            <w:pPr>
              <w:pStyle w:val="3238"/>
              <w:rPr>
                <w:b/>
                <w:snapToGrid w:val="0"/>
              </w:rPr>
            </w:pPr>
            <w:r>
              <w:rPr>
                <w:snapToGrid w:val="0"/>
              </w:rPr>
              <w:t>150</w:t>
            </w:r>
          </w:p>
        </w:tc>
        <w:tc>
          <w:tcPr>
            <w:tcW w:w="861" w:type="pct"/>
            <w:vAlign w:val="center"/>
          </w:tcPr>
          <w:p>
            <w:pPr>
              <w:pStyle w:val="3238"/>
              <w:rPr>
                <w:b/>
                <w:snapToGrid w:val="0"/>
              </w:rPr>
            </w:pPr>
            <w:r>
              <w:rPr>
                <w:snapToGrid w:val="0"/>
              </w:rPr>
              <w:t>500</w:t>
            </w:r>
          </w:p>
        </w:tc>
        <w:tc>
          <w:tcPr>
            <w:tcW w:w="933" w:type="pct"/>
            <w:vMerge w:val="restart"/>
            <w:vAlign w:val="center"/>
          </w:tcPr>
          <w:p>
            <w:pPr>
              <w:pStyle w:val="3238"/>
              <w:rPr>
                <w:b/>
                <w:snapToGrid w:val="0"/>
              </w:rPr>
            </w:pPr>
            <w:r>
              <w:rPr>
                <w:snapToGrid w:val="0"/>
              </w:rPr>
              <w:t>《环境空气质量标准》（GB3095-2012）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24小时平均</w:t>
            </w:r>
          </w:p>
        </w:tc>
        <w:tc>
          <w:tcPr>
            <w:tcW w:w="801" w:type="pct"/>
            <w:vAlign w:val="center"/>
          </w:tcPr>
          <w:p>
            <w:pPr>
              <w:pStyle w:val="3238"/>
              <w:rPr>
                <w:b/>
                <w:snapToGrid w:val="0"/>
              </w:rPr>
            </w:pPr>
            <w:r>
              <w:rPr>
                <w:snapToGrid w:val="0"/>
              </w:rPr>
              <w:t>50</w:t>
            </w:r>
          </w:p>
        </w:tc>
        <w:tc>
          <w:tcPr>
            <w:tcW w:w="861" w:type="pct"/>
            <w:vAlign w:val="center"/>
          </w:tcPr>
          <w:p>
            <w:pPr>
              <w:pStyle w:val="3238"/>
              <w:rPr>
                <w:b/>
                <w:snapToGrid w:val="0"/>
              </w:rPr>
            </w:pPr>
            <w:r>
              <w:rPr>
                <w:snapToGrid w:val="0"/>
              </w:rPr>
              <w:t>150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年均值</w:t>
            </w:r>
          </w:p>
        </w:tc>
        <w:tc>
          <w:tcPr>
            <w:tcW w:w="801" w:type="pct"/>
            <w:vAlign w:val="center"/>
          </w:tcPr>
          <w:p>
            <w:pPr>
              <w:pStyle w:val="3238"/>
              <w:rPr>
                <w:b/>
                <w:snapToGrid w:val="0"/>
              </w:rPr>
            </w:pPr>
            <w:r>
              <w:rPr>
                <w:snapToGrid w:val="0"/>
              </w:rPr>
              <w:t>20</w:t>
            </w:r>
          </w:p>
        </w:tc>
        <w:tc>
          <w:tcPr>
            <w:tcW w:w="861" w:type="pct"/>
            <w:vAlign w:val="center"/>
          </w:tcPr>
          <w:p>
            <w:pPr>
              <w:pStyle w:val="3238"/>
              <w:rPr>
                <w:b/>
                <w:snapToGrid w:val="0"/>
              </w:rPr>
            </w:pPr>
            <w:r>
              <w:rPr>
                <w:snapToGrid w:val="0"/>
              </w:rPr>
              <w:t>60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restart"/>
            <w:vAlign w:val="center"/>
          </w:tcPr>
          <w:p>
            <w:pPr>
              <w:pStyle w:val="3238"/>
              <w:rPr>
                <w:snapToGrid w:val="0"/>
              </w:rPr>
            </w:pPr>
            <w:r>
              <w:rPr>
                <w:snapToGrid w:val="0"/>
              </w:rPr>
              <w:t>2</w:t>
            </w:r>
          </w:p>
        </w:tc>
        <w:tc>
          <w:tcPr>
            <w:tcW w:w="709" w:type="pct"/>
            <w:vMerge w:val="restart"/>
            <w:vAlign w:val="center"/>
          </w:tcPr>
          <w:p>
            <w:pPr>
              <w:pStyle w:val="3238"/>
              <w:rPr>
                <w:b/>
                <w:snapToGrid w:val="0"/>
              </w:rPr>
            </w:pPr>
            <w:r>
              <w:rPr>
                <w:snapToGrid w:val="0"/>
              </w:rPr>
              <w:t>NO</w:t>
            </w:r>
            <w:r>
              <w:rPr>
                <w:snapToGrid w:val="0"/>
                <w:vertAlign w:val="subscript"/>
              </w:rPr>
              <w:t>2</w:t>
            </w:r>
          </w:p>
        </w:tc>
        <w:tc>
          <w:tcPr>
            <w:tcW w:w="1247" w:type="pct"/>
            <w:vAlign w:val="center"/>
          </w:tcPr>
          <w:p>
            <w:pPr>
              <w:pStyle w:val="3238"/>
              <w:rPr>
                <w:b/>
                <w:snapToGrid w:val="0"/>
              </w:rPr>
            </w:pPr>
            <w:r>
              <w:rPr>
                <w:snapToGrid w:val="0"/>
              </w:rPr>
              <w:t>1小时平均</w:t>
            </w:r>
          </w:p>
        </w:tc>
        <w:tc>
          <w:tcPr>
            <w:tcW w:w="801" w:type="pct"/>
            <w:vAlign w:val="center"/>
          </w:tcPr>
          <w:p>
            <w:pPr>
              <w:pStyle w:val="3238"/>
              <w:rPr>
                <w:b/>
                <w:snapToGrid w:val="0"/>
              </w:rPr>
            </w:pPr>
            <w:r>
              <w:rPr>
                <w:snapToGrid w:val="0"/>
              </w:rPr>
              <w:t>200</w:t>
            </w:r>
          </w:p>
        </w:tc>
        <w:tc>
          <w:tcPr>
            <w:tcW w:w="861" w:type="pct"/>
            <w:vAlign w:val="center"/>
          </w:tcPr>
          <w:p>
            <w:pPr>
              <w:pStyle w:val="3238"/>
              <w:rPr>
                <w:b/>
                <w:snapToGrid w:val="0"/>
              </w:rPr>
            </w:pPr>
            <w:r>
              <w:rPr>
                <w:snapToGrid w:val="0"/>
              </w:rPr>
              <w:t>200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24小时平均</w:t>
            </w:r>
          </w:p>
        </w:tc>
        <w:tc>
          <w:tcPr>
            <w:tcW w:w="801" w:type="pct"/>
            <w:vAlign w:val="center"/>
          </w:tcPr>
          <w:p>
            <w:pPr>
              <w:pStyle w:val="3238"/>
              <w:rPr>
                <w:b/>
                <w:snapToGrid w:val="0"/>
              </w:rPr>
            </w:pPr>
            <w:r>
              <w:rPr>
                <w:snapToGrid w:val="0"/>
              </w:rPr>
              <w:t>80</w:t>
            </w:r>
          </w:p>
        </w:tc>
        <w:tc>
          <w:tcPr>
            <w:tcW w:w="861" w:type="pct"/>
            <w:vAlign w:val="center"/>
          </w:tcPr>
          <w:p>
            <w:pPr>
              <w:pStyle w:val="3238"/>
              <w:rPr>
                <w:b/>
                <w:snapToGrid w:val="0"/>
              </w:rPr>
            </w:pPr>
            <w:r>
              <w:rPr>
                <w:snapToGrid w:val="0"/>
              </w:rPr>
              <w:t>80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年均值</w:t>
            </w:r>
          </w:p>
        </w:tc>
        <w:tc>
          <w:tcPr>
            <w:tcW w:w="801" w:type="pct"/>
            <w:vAlign w:val="center"/>
          </w:tcPr>
          <w:p>
            <w:pPr>
              <w:pStyle w:val="3238"/>
              <w:rPr>
                <w:b/>
                <w:snapToGrid w:val="0"/>
              </w:rPr>
            </w:pPr>
            <w:r>
              <w:rPr>
                <w:snapToGrid w:val="0"/>
              </w:rPr>
              <w:t>40</w:t>
            </w:r>
          </w:p>
        </w:tc>
        <w:tc>
          <w:tcPr>
            <w:tcW w:w="861" w:type="pct"/>
            <w:vAlign w:val="center"/>
          </w:tcPr>
          <w:p>
            <w:pPr>
              <w:pStyle w:val="3238"/>
              <w:rPr>
                <w:b/>
                <w:snapToGrid w:val="0"/>
              </w:rPr>
            </w:pPr>
            <w:r>
              <w:rPr>
                <w:snapToGrid w:val="0"/>
              </w:rPr>
              <w:t>40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4" w:hRule="atLeast"/>
          <w:jc w:val="center"/>
        </w:trPr>
        <w:tc>
          <w:tcPr>
            <w:tcW w:w="449" w:type="pct"/>
            <w:vMerge w:val="restart"/>
            <w:vAlign w:val="center"/>
          </w:tcPr>
          <w:p>
            <w:pPr>
              <w:pStyle w:val="3238"/>
              <w:rPr>
                <w:snapToGrid w:val="0"/>
              </w:rPr>
            </w:pPr>
            <w:r>
              <w:rPr>
                <w:snapToGrid w:val="0"/>
              </w:rPr>
              <w:t>3</w:t>
            </w:r>
          </w:p>
        </w:tc>
        <w:tc>
          <w:tcPr>
            <w:tcW w:w="709" w:type="pct"/>
            <w:vMerge w:val="restart"/>
            <w:vAlign w:val="center"/>
          </w:tcPr>
          <w:p>
            <w:pPr>
              <w:pStyle w:val="3238"/>
              <w:rPr>
                <w:b/>
                <w:snapToGrid w:val="0"/>
              </w:rPr>
            </w:pPr>
            <w:r>
              <w:rPr>
                <w:snapToGrid w:val="0"/>
              </w:rPr>
              <w:t>PM</w:t>
            </w:r>
            <w:r>
              <w:rPr>
                <w:snapToGrid w:val="0"/>
                <w:vertAlign w:val="subscript"/>
              </w:rPr>
              <w:t>10</w:t>
            </w:r>
          </w:p>
        </w:tc>
        <w:tc>
          <w:tcPr>
            <w:tcW w:w="1247" w:type="pct"/>
            <w:vAlign w:val="center"/>
          </w:tcPr>
          <w:p>
            <w:pPr>
              <w:pStyle w:val="3238"/>
              <w:rPr>
                <w:b/>
                <w:snapToGrid w:val="0"/>
              </w:rPr>
            </w:pPr>
            <w:r>
              <w:rPr>
                <w:snapToGrid w:val="0"/>
              </w:rPr>
              <w:t>24小时平均</w:t>
            </w:r>
          </w:p>
        </w:tc>
        <w:tc>
          <w:tcPr>
            <w:tcW w:w="801" w:type="pct"/>
            <w:vAlign w:val="center"/>
          </w:tcPr>
          <w:p>
            <w:pPr>
              <w:pStyle w:val="3238"/>
              <w:rPr>
                <w:b/>
                <w:snapToGrid w:val="0"/>
              </w:rPr>
            </w:pPr>
            <w:r>
              <w:rPr>
                <w:snapToGrid w:val="0"/>
              </w:rPr>
              <w:t>50</w:t>
            </w:r>
          </w:p>
        </w:tc>
        <w:tc>
          <w:tcPr>
            <w:tcW w:w="861" w:type="pct"/>
            <w:vAlign w:val="center"/>
          </w:tcPr>
          <w:p>
            <w:pPr>
              <w:pStyle w:val="3238"/>
              <w:rPr>
                <w:b/>
                <w:snapToGrid w:val="0"/>
              </w:rPr>
            </w:pPr>
            <w:r>
              <w:rPr>
                <w:snapToGrid w:val="0"/>
              </w:rPr>
              <w:t>150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年均值</w:t>
            </w:r>
          </w:p>
        </w:tc>
        <w:tc>
          <w:tcPr>
            <w:tcW w:w="801" w:type="pct"/>
            <w:vAlign w:val="center"/>
          </w:tcPr>
          <w:p>
            <w:pPr>
              <w:pStyle w:val="3238"/>
              <w:rPr>
                <w:b/>
                <w:snapToGrid w:val="0"/>
              </w:rPr>
            </w:pPr>
            <w:r>
              <w:rPr>
                <w:snapToGrid w:val="0"/>
              </w:rPr>
              <w:t>40</w:t>
            </w:r>
          </w:p>
        </w:tc>
        <w:tc>
          <w:tcPr>
            <w:tcW w:w="861" w:type="pct"/>
            <w:vAlign w:val="center"/>
          </w:tcPr>
          <w:p>
            <w:pPr>
              <w:pStyle w:val="3238"/>
              <w:rPr>
                <w:b/>
                <w:snapToGrid w:val="0"/>
              </w:rPr>
            </w:pPr>
            <w:r>
              <w:rPr>
                <w:snapToGrid w:val="0"/>
              </w:rPr>
              <w:t>70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restart"/>
            <w:vAlign w:val="center"/>
          </w:tcPr>
          <w:p>
            <w:pPr>
              <w:pStyle w:val="3238"/>
              <w:rPr>
                <w:snapToGrid w:val="0"/>
              </w:rPr>
            </w:pPr>
            <w:r>
              <w:rPr>
                <w:snapToGrid w:val="0"/>
              </w:rPr>
              <w:t>4</w:t>
            </w:r>
          </w:p>
        </w:tc>
        <w:tc>
          <w:tcPr>
            <w:tcW w:w="709" w:type="pct"/>
            <w:vMerge w:val="restart"/>
            <w:vAlign w:val="center"/>
          </w:tcPr>
          <w:p>
            <w:pPr>
              <w:pStyle w:val="3238"/>
              <w:rPr>
                <w:b/>
                <w:snapToGrid w:val="0"/>
              </w:rPr>
            </w:pPr>
            <w:r>
              <w:rPr>
                <w:snapToGrid w:val="0"/>
              </w:rPr>
              <w:t>PM</w:t>
            </w:r>
            <w:r>
              <w:rPr>
                <w:snapToGrid w:val="0"/>
                <w:vertAlign w:val="subscript"/>
              </w:rPr>
              <w:t>2.5</w:t>
            </w:r>
          </w:p>
        </w:tc>
        <w:tc>
          <w:tcPr>
            <w:tcW w:w="1247" w:type="pct"/>
            <w:vAlign w:val="center"/>
          </w:tcPr>
          <w:p>
            <w:pPr>
              <w:pStyle w:val="3238"/>
              <w:rPr>
                <w:b/>
                <w:snapToGrid w:val="0"/>
              </w:rPr>
            </w:pPr>
            <w:r>
              <w:rPr>
                <w:snapToGrid w:val="0"/>
              </w:rPr>
              <w:t>24小时平均</w:t>
            </w:r>
          </w:p>
        </w:tc>
        <w:tc>
          <w:tcPr>
            <w:tcW w:w="801" w:type="pct"/>
            <w:vAlign w:val="center"/>
          </w:tcPr>
          <w:p>
            <w:pPr>
              <w:pStyle w:val="3238"/>
              <w:rPr>
                <w:b/>
                <w:snapToGrid w:val="0"/>
              </w:rPr>
            </w:pPr>
            <w:r>
              <w:rPr>
                <w:snapToGrid w:val="0"/>
              </w:rPr>
              <w:t>35</w:t>
            </w:r>
          </w:p>
        </w:tc>
        <w:tc>
          <w:tcPr>
            <w:tcW w:w="861" w:type="pct"/>
            <w:vAlign w:val="center"/>
          </w:tcPr>
          <w:p>
            <w:pPr>
              <w:pStyle w:val="3238"/>
              <w:rPr>
                <w:b/>
                <w:snapToGrid w:val="0"/>
              </w:rPr>
            </w:pPr>
            <w:r>
              <w:rPr>
                <w:snapToGrid w:val="0"/>
              </w:rPr>
              <w:t>75</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年均值</w:t>
            </w:r>
          </w:p>
        </w:tc>
        <w:tc>
          <w:tcPr>
            <w:tcW w:w="801" w:type="pct"/>
            <w:vAlign w:val="center"/>
          </w:tcPr>
          <w:p>
            <w:pPr>
              <w:pStyle w:val="3238"/>
              <w:rPr>
                <w:b/>
                <w:snapToGrid w:val="0"/>
              </w:rPr>
            </w:pPr>
            <w:r>
              <w:rPr>
                <w:snapToGrid w:val="0"/>
              </w:rPr>
              <w:t>15</w:t>
            </w:r>
          </w:p>
        </w:tc>
        <w:tc>
          <w:tcPr>
            <w:tcW w:w="861" w:type="pct"/>
            <w:vAlign w:val="center"/>
          </w:tcPr>
          <w:p>
            <w:pPr>
              <w:pStyle w:val="3238"/>
              <w:rPr>
                <w:b/>
                <w:snapToGrid w:val="0"/>
              </w:rPr>
            </w:pPr>
            <w:r>
              <w:rPr>
                <w:snapToGrid w:val="0"/>
              </w:rPr>
              <w:t>35</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4" w:hRule="atLeast"/>
          <w:jc w:val="center"/>
        </w:trPr>
        <w:tc>
          <w:tcPr>
            <w:tcW w:w="449" w:type="pct"/>
            <w:vMerge w:val="restart"/>
            <w:vAlign w:val="center"/>
          </w:tcPr>
          <w:p>
            <w:pPr>
              <w:pStyle w:val="3238"/>
              <w:rPr>
                <w:snapToGrid w:val="0"/>
              </w:rPr>
            </w:pPr>
            <w:r>
              <w:rPr>
                <w:snapToGrid w:val="0"/>
              </w:rPr>
              <w:t>5</w:t>
            </w:r>
          </w:p>
        </w:tc>
        <w:tc>
          <w:tcPr>
            <w:tcW w:w="709" w:type="pct"/>
            <w:vMerge w:val="restart"/>
            <w:vAlign w:val="center"/>
          </w:tcPr>
          <w:p>
            <w:pPr>
              <w:pStyle w:val="3238"/>
              <w:rPr>
                <w:b/>
                <w:snapToGrid w:val="0"/>
              </w:rPr>
            </w:pPr>
            <w:r>
              <w:rPr>
                <w:snapToGrid w:val="0"/>
              </w:rPr>
              <w:t>O</w:t>
            </w:r>
            <w:r>
              <w:rPr>
                <w:snapToGrid w:val="0"/>
                <w:vertAlign w:val="subscript"/>
              </w:rPr>
              <w:t>3</w:t>
            </w:r>
          </w:p>
        </w:tc>
        <w:tc>
          <w:tcPr>
            <w:tcW w:w="1247" w:type="pct"/>
            <w:vAlign w:val="center"/>
          </w:tcPr>
          <w:p>
            <w:pPr>
              <w:pStyle w:val="3238"/>
              <w:rPr>
                <w:b/>
                <w:snapToGrid w:val="0"/>
              </w:rPr>
            </w:pPr>
            <w:r>
              <w:rPr>
                <w:snapToGrid w:val="0"/>
              </w:rPr>
              <w:t>1小时平均</w:t>
            </w:r>
          </w:p>
        </w:tc>
        <w:tc>
          <w:tcPr>
            <w:tcW w:w="801" w:type="pct"/>
            <w:vAlign w:val="center"/>
          </w:tcPr>
          <w:p>
            <w:pPr>
              <w:pStyle w:val="3238"/>
              <w:rPr>
                <w:b/>
                <w:snapToGrid w:val="0"/>
              </w:rPr>
            </w:pPr>
            <w:r>
              <w:rPr>
                <w:snapToGrid w:val="0"/>
              </w:rPr>
              <w:t>160</w:t>
            </w:r>
          </w:p>
        </w:tc>
        <w:tc>
          <w:tcPr>
            <w:tcW w:w="861" w:type="pct"/>
            <w:vAlign w:val="center"/>
          </w:tcPr>
          <w:p>
            <w:pPr>
              <w:pStyle w:val="3238"/>
              <w:rPr>
                <w:b/>
                <w:snapToGrid w:val="0"/>
              </w:rPr>
            </w:pPr>
            <w:r>
              <w:rPr>
                <w:snapToGrid w:val="0"/>
              </w:rPr>
              <w:t>200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日最大8小时平均</w:t>
            </w:r>
          </w:p>
        </w:tc>
        <w:tc>
          <w:tcPr>
            <w:tcW w:w="801" w:type="pct"/>
            <w:vAlign w:val="center"/>
          </w:tcPr>
          <w:p>
            <w:pPr>
              <w:pStyle w:val="3238"/>
              <w:rPr>
                <w:b/>
                <w:snapToGrid w:val="0"/>
              </w:rPr>
            </w:pPr>
            <w:r>
              <w:rPr>
                <w:snapToGrid w:val="0"/>
              </w:rPr>
              <w:t>100</w:t>
            </w:r>
          </w:p>
        </w:tc>
        <w:tc>
          <w:tcPr>
            <w:tcW w:w="861" w:type="pct"/>
            <w:vAlign w:val="center"/>
          </w:tcPr>
          <w:p>
            <w:pPr>
              <w:pStyle w:val="3238"/>
              <w:rPr>
                <w:b/>
                <w:snapToGrid w:val="0"/>
              </w:rPr>
            </w:pPr>
            <w:r>
              <w:rPr>
                <w:snapToGrid w:val="0"/>
              </w:rPr>
              <w:t>160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restart"/>
            <w:vAlign w:val="center"/>
          </w:tcPr>
          <w:p>
            <w:pPr>
              <w:pStyle w:val="3238"/>
              <w:rPr>
                <w:snapToGrid w:val="0"/>
              </w:rPr>
            </w:pPr>
            <w:r>
              <w:rPr>
                <w:snapToGrid w:val="0"/>
              </w:rPr>
              <w:t>6</w:t>
            </w:r>
          </w:p>
        </w:tc>
        <w:tc>
          <w:tcPr>
            <w:tcW w:w="709" w:type="pct"/>
            <w:vMerge w:val="restart"/>
            <w:vAlign w:val="center"/>
          </w:tcPr>
          <w:p>
            <w:pPr>
              <w:pStyle w:val="3238"/>
              <w:rPr>
                <w:b/>
                <w:snapToGrid w:val="0"/>
              </w:rPr>
            </w:pPr>
            <w:r>
              <w:rPr>
                <w:snapToGrid w:val="0"/>
              </w:rPr>
              <w:t>CO（</w:t>
            </w:r>
            <w:r>
              <w:t>mg/m</w:t>
            </w:r>
            <w:r>
              <w:rPr>
                <w:vertAlign w:val="superscript"/>
              </w:rPr>
              <w:t>3</w:t>
            </w:r>
            <w:r>
              <w:rPr>
                <w:snapToGrid w:val="0"/>
              </w:rPr>
              <w:t>）</w:t>
            </w:r>
          </w:p>
        </w:tc>
        <w:tc>
          <w:tcPr>
            <w:tcW w:w="1247" w:type="pct"/>
            <w:vAlign w:val="center"/>
          </w:tcPr>
          <w:p>
            <w:pPr>
              <w:pStyle w:val="3238"/>
              <w:rPr>
                <w:b/>
                <w:snapToGrid w:val="0"/>
              </w:rPr>
            </w:pPr>
            <w:r>
              <w:rPr>
                <w:snapToGrid w:val="0"/>
              </w:rPr>
              <w:t>1小时平均</w:t>
            </w:r>
          </w:p>
        </w:tc>
        <w:tc>
          <w:tcPr>
            <w:tcW w:w="801" w:type="pct"/>
            <w:vAlign w:val="center"/>
          </w:tcPr>
          <w:p>
            <w:pPr>
              <w:pStyle w:val="3238"/>
              <w:rPr>
                <w:b/>
                <w:snapToGrid w:val="0"/>
              </w:rPr>
            </w:pPr>
            <w:r>
              <w:rPr>
                <w:snapToGrid w:val="0"/>
              </w:rPr>
              <w:t>10</w:t>
            </w:r>
          </w:p>
        </w:tc>
        <w:tc>
          <w:tcPr>
            <w:tcW w:w="861" w:type="pct"/>
            <w:vAlign w:val="center"/>
          </w:tcPr>
          <w:p>
            <w:pPr>
              <w:pStyle w:val="3238"/>
              <w:rPr>
                <w:b/>
                <w:snapToGrid w:val="0"/>
              </w:rPr>
            </w:pPr>
            <w:r>
              <w:rPr>
                <w:snapToGrid w:val="0"/>
              </w:rPr>
              <w:t>10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24小时平均</w:t>
            </w:r>
          </w:p>
        </w:tc>
        <w:tc>
          <w:tcPr>
            <w:tcW w:w="801" w:type="pct"/>
            <w:vAlign w:val="center"/>
          </w:tcPr>
          <w:p>
            <w:pPr>
              <w:pStyle w:val="3238"/>
              <w:rPr>
                <w:snapToGrid w:val="0"/>
              </w:rPr>
            </w:pPr>
            <w:r>
              <w:rPr>
                <w:snapToGrid w:val="0"/>
              </w:rPr>
              <w:t>4</w:t>
            </w:r>
          </w:p>
        </w:tc>
        <w:tc>
          <w:tcPr>
            <w:tcW w:w="861" w:type="pct"/>
            <w:vAlign w:val="center"/>
          </w:tcPr>
          <w:p>
            <w:pPr>
              <w:pStyle w:val="3238"/>
              <w:rPr>
                <w:snapToGrid w:val="0"/>
              </w:rPr>
            </w:pPr>
            <w:r>
              <w:rPr>
                <w:snapToGrid w:val="0"/>
              </w:rPr>
              <w:t>4</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4" w:hRule="atLeast"/>
          <w:jc w:val="center"/>
        </w:trPr>
        <w:tc>
          <w:tcPr>
            <w:tcW w:w="449" w:type="pct"/>
            <w:vMerge w:val="restart"/>
            <w:vAlign w:val="center"/>
          </w:tcPr>
          <w:p>
            <w:pPr>
              <w:pStyle w:val="3238"/>
              <w:rPr>
                <w:snapToGrid w:val="0"/>
              </w:rPr>
            </w:pPr>
            <w:r>
              <w:rPr>
                <w:snapToGrid w:val="0"/>
              </w:rPr>
              <w:t>7</w:t>
            </w:r>
          </w:p>
        </w:tc>
        <w:tc>
          <w:tcPr>
            <w:tcW w:w="709" w:type="pct"/>
            <w:vMerge w:val="restart"/>
            <w:vAlign w:val="center"/>
          </w:tcPr>
          <w:p>
            <w:pPr>
              <w:pStyle w:val="3238"/>
              <w:rPr>
                <w:b/>
                <w:snapToGrid w:val="0"/>
              </w:rPr>
            </w:pPr>
            <w:r>
              <w:rPr>
                <w:snapToGrid w:val="0"/>
              </w:rPr>
              <w:t>TSP</w:t>
            </w:r>
          </w:p>
        </w:tc>
        <w:tc>
          <w:tcPr>
            <w:tcW w:w="1247" w:type="pct"/>
            <w:vAlign w:val="center"/>
          </w:tcPr>
          <w:p>
            <w:pPr>
              <w:pStyle w:val="3238"/>
              <w:rPr>
                <w:b/>
                <w:snapToGrid w:val="0"/>
              </w:rPr>
            </w:pPr>
            <w:r>
              <w:rPr>
                <w:snapToGrid w:val="0"/>
              </w:rPr>
              <w:t>24小时平均</w:t>
            </w:r>
          </w:p>
        </w:tc>
        <w:tc>
          <w:tcPr>
            <w:tcW w:w="801" w:type="pct"/>
            <w:vAlign w:val="center"/>
          </w:tcPr>
          <w:p>
            <w:pPr>
              <w:pStyle w:val="3238"/>
              <w:rPr>
                <w:b/>
                <w:snapToGrid w:val="0"/>
              </w:rPr>
            </w:pPr>
            <w:r>
              <w:rPr>
                <w:snapToGrid w:val="0"/>
              </w:rPr>
              <w:t>120</w:t>
            </w:r>
          </w:p>
        </w:tc>
        <w:tc>
          <w:tcPr>
            <w:tcW w:w="861" w:type="pct"/>
            <w:vAlign w:val="center"/>
          </w:tcPr>
          <w:p>
            <w:pPr>
              <w:pStyle w:val="3238"/>
              <w:rPr>
                <w:b/>
                <w:snapToGrid w:val="0"/>
              </w:rPr>
            </w:pPr>
            <w:r>
              <w:rPr>
                <w:snapToGrid w:val="0"/>
              </w:rPr>
              <w:t>300</w:t>
            </w:r>
          </w:p>
        </w:tc>
        <w:tc>
          <w:tcPr>
            <w:tcW w:w="933" w:type="pct"/>
            <w:vMerge w:val="continue"/>
            <w:vAlign w:val="center"/>
          </w:tcPr>
          <w:p>
            <w:pPr>
              <w:pStyle w:val="3238"/>
              <w:rPr>
                <w:snapToGrid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49" w:type="pct"/>
            <w:vMerge w:val="continue"/>
            <w:vAlign w:val="center"/>
          </w:tcPr>
          <w:p>
            <w:pPr>
              <w:pStyle w:val="3238"/>
              <w:rPr>
                <w:snapToGrid w:val="0"/>
              </w:rPr>
            </w:pPr>
          </w:p>
        </w:tc>
        <w:tc>
          <w:tcPr>
            <w:tcW w:w="709" w:type="pct"/>
            <w:vMerge w:val="continue"/>
            <w:vAlign w:val="center"/>
          </w:tcPr>
          <w:p>
            <w:pPr>
              <w:pStyle w:val="3238"/>
              <w:rPr>
                <w:snapToGrid w:val="0"/>
              </w:rPr>
            </w:pPr>
          </w:p>
        </w:tc>
        <w:tc>
          <w:tcPr>
            <w:tcW w:w="1247" w:type="pct"/>
            <w:vAlign w:val="center"/>
          </w:tcPr>
          <w:p>
            <w:pPr>
              <w:pStyle w:val="3238"/>
              <w:rPr>
                <w:b/>
                <w:snapToGrid w:val="0"/>
              </w:rPr>
            </w:pPr>
            <w:r>
              <w:rPr>
                <w:snapToGrid w:val="0"/>
              </w:rPr>
              <w:t>年均值</w:t>
            </w:r>
          </w:p>
        </w:tc>
        <w:tc>
          <w:tcPr>
            <w:tcW w:w="801" w:type="pct"/>
            <w:vAlign w:val="center"/>
          </w:tcPr>
          <w:p>
            <w:pPr>
              <w:pStyle w:val="3238"/>
              <w:rPr>
                <w:b/>
                <w:snapToGrid w:val="0"/>
              </w:rPr>
            </w:pPr>
            <w:r>
              <w:rPr>
                <w:snapToGrid w:val="0"/>
              </w:rPr>
              <w:t>80</w:t>
            </w:r>
          </w:p>
        </w:tc>
        <w:tc>
          <w:tcPr>
            <w:tcW w:w="861" w:type="pct"/>
            <w:vAlign w:val="center"/>
          </w:tcPr>
          <w:p>
            <w:pPr>
              <w:pStyle w:val="3238"/>
              <w:rPr>
                <w:b/>
                <w:snapToGrid w:val="0"/>
              </w:rPr>
            </w:pPr>
            <w:r>
              <w:rPr>
                <w:snapToGrid w:val="0"/>
              </w:rPr>
              <w:t>200</w:t>
            </w:r>
          </w:p>
        </w:tc>
        <w:tc>
          <w:tcPr>
            <w:tcW w:w="933" w:type="pct"/>
            <w:vMerge w:val="continue"/>
            <w:vAlign w:val="center"/>
          </w:tcPr>
          <w:p>
            <w:pPr>
              <w:pStyle w:val="3238"/>
              <w:rPr>
                <w:snapToGrid w:val="0"/>
              </w:rPr>
            </w:pPr>
          </w:p>
        </w:tc>
      </w:tr>
    </w:tbl>
    <w:p>
      <w:pPr>
        <w:pStyle w:val="6"/>
        <w:numPr>
          <w:ilvl w:val="3"/>
          <w:numId w:val="0"/>
        </w:numPr>
      </w:pPr>
      <w:r>
        <w:t>1.5.2.2地表水环境</w:t>
      </w:r>
    </w:p>
    <w:p>
      <w:pPr>
        <w:pStyle w:val="222"/>
      </w:pPr>
      <w:r>
        <w:t>根据地表水环境功能区划，嘉陵江执行《地表水环境质量标准》（GB3838-2002）中Ⅲ类水质标准，标准值见下表。</w:t>
      </w:r>
    </w:p>
    <w:p>
      <w:pPr>
        <w:pStyle w:val="84"/>
      </w:pPr>
      <w:r>
        <w:t>表1.5-2地表水环境质量标准  单位：除pH外，mg/L</w:t>
      </w:r>
    </w:p>
    <w:tbl>
      <w:tblPr>
        <w:tblStyle w:val="8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695"/>
        <w:gridCol w:w="1496"/>
        <w:gridCol w:w="1487"/>
        <w:gridCol w:w="1484"/>
        <w:gridCol w:w="1482"/>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929" w:type="pct"/>
            <w:shd w:val="clear" w:color="auto" w:fill="D8D8D8" w:themeFill="background1" w:themeFillShade="D9"/>
            <w:vAlign w:val="center"/>
          </w:tcPr>
          <w:p>
            <w:pPr>
              <w:tabs>
                <w:tab w:val="left" w:pos="142"/>
              </w:tabs>
              <w:autoSpaceDE w:val="0"/>
              <w:autoSpaceDN w:val="0"/>
              <w:spacing w:line="240" w:lineRule="atLeast"/>
              <w:ind w:firstLine="0" w:firstLineChars="0"/>
              <w:jc w:val="center"/>
              <w:rPr>
                <w:b/>
                <w:sz w:val="21"/>
                <w:szCs w:val="21"/>
              </w:rPr>
            </w:pPr>
            <w:r>
              <w:rPr>
                <w:b/>
                <w:sz w:val="21"/>
                <w:szCs w:val="21"/>
              </w:rPr>
              <w:t>项目</w:t>
            </w:r>
          </w:p>
        </w:tc>
        <w:tc>
          <w:tcPr>
            <w:tcW w:w="820" w:type="pct"/>
            <w:shd w:val="clear" w:color="auto" w:fill="D8D8D8" w:themeFill="background1" w:themeFillShade="D9"/>
            <w:vAlign w:val="center"/>
          </w:tcPr>
          <w:p>
            <w:pPr>
              <w:tabs>
                <w:tab w:val="left" w:pos="142"/>
              </w:tabs>
              <w:autoSpaceDE w:val="0"/>
              <w:autoSpaceDN w:val="0"/>
              <w:spacing w:line="240" w:lineRule="atLeast"/>
              <w:ind w:firstLine="0" w:firstLineChars="0"/>
              <w:jc w:val="center"/>
              <w:rPr>
                <w:b/>
                <w:sz w:val="21"/>
                <w:szCs w:val="21"/>
              </w:rPr>
            </w:pPr>
            <w:r>
              <w:rPr>
                <w:b/>
                <w:sz w:val="21"/>
                <w:szCs w:val="21"/>
              </w:rPr>
              <w:t>pH</w:t>
            </w:r>
          </w:p>
        </w:tc>
        <w:tc>
          <w:tcPr>
            <w:tcW w:w="815" w:type="pct"/>
            <w:shd w:val="clear" w:color="auto" w:fill="D8D8D8" w:themeFill="background1" w:themeFillShade="D9"/>
            <w:vAlign w:val="center"/>
          </w:tcPr>
          <w:p>
            <w:pPr>
              <w:tabs>
                <w:tab w:val="left" w:pos="142"/>
              </w:tabs>
              <w:autoSpaceDE w:val="0"/>
              <w:autoSpaceDN w:val="0"/>
              <w:spacing w:line="240" w:lineRule="atLeast"/>
              <w:ind w:firstLine="0" w:firstLineChars="0"/>
              <w:jc w:val="center"/>
              <w:rPr>
                <w:b/>
                <w:sz w:val="21"/>
                <w:szCs w:val="21"/>
              </w:rPr>
            </w:pPr>
            <w:r>
              <w:rPr>
                <w:b/>
                <w:sz w:val="21"/>
                <w:szCs w:val="21"/>
              </w:rPr>
              <w:t>COD</w:t>
            </w:r>
          </w:p>
        </w:tc>
        <w:tc>
          <w:tcPr>
            <w:tcW w:w="813" w:type="pct"/>
            <w:shd w:val="clear" w:color="auto" w:fill="D8D8D8" w:themeFill="background1" w:themeFillShade="D9"/>
            <w:vAlign w:val="center"/>
          </w:tcPr>
          <w:p>
            <w:pPr>
              <w:autoSpaceDE w:val="0"/>
              <w:autoSpaceDN w:val="0"/>
              <w:spacing w:line="240" w:lineRule="atLeast"/>
              <w:ind w:firstLine="0" w:firstLineChars="0"/>
              <w:jc w:val="center"/>
              <w:rPr>
                <w:b/>
                <w:sz w:val="21"/>
                <w:szCs w:val="21"/>
              </w:rPr>
            </w:pPr>
            <w:r>
              <w:rPr>
                <w:b/>
                <w:sz w:val="21"/>
                <w:szCs w:val="21"/>
              </w:rPr>
              <w:t>BOD</w:t>
            </w:r>
            <w:r>
              <w:rPr>
                <w:b/>
                <w:sz w:val="21"/>
                <w:szCs w:val="21"/>
                <w:vertAlign w:val="subscript"/>
              </w:rPr>
              <w:t>5</w:t>
            </w:r>
          </w:p>
        </w:tc>
        <w:tc>
          <w:tcPr>
            <w:tcW w:w="812" w:type="pct"/>
            <w:shd w:val="clear" w:color="auto" w:fill="D8D8D8" w:themeFill="background1" w:themeFillShade="D9"/>
            <w:vAlign w:val="center"/>
          </w:tcPr>
          <w:p>
            <w:pPr>
              <w:autoSpaceDE w:val="0"/>
              <w:autoSpaceDN w:val="0"/>
              <w:spacing w:line="240" w:lineRule="atLeast"/>
              <w:ind w:firstLine="0" w:firstLineChars="0"/>
              <w:jc w:val="center"/>
              <w:rPr>
                <w:b/>
                <w:sz w:val="21"/>
                <w:szCs w:val="21"/>
              </w:rPr>
            </w:pPr>
            <w:r>
              <w:rPr>
                <w:b/>
                <w:sz w:val="21"/>
                <w:szCs w:val="21"/>
              </w:rPr>
              <w:t>NH</w:t>
            </w:r>
            <w:r>
              <w:rPr>
                <w:b/>
                <w:sz w:val="21"/>
                <w:szCs w:val="21"/>
                <w:vertAlign w:val="subscript"/>
              </w:rPr>
              <w:t>3</w:t>
            </w:r>
            <w:r>
              <w:rPr>
                <w:b/>
                <w:sz w:val="21"/>
                <w:szCs w:val="21"/>
              </w:rPr>
              <w:t>-N</w:t>
            </w:r>
          </w:p>
        </w:tc>
        <w:tc>
          <w:tcPr>
            <w:tcW w:w="812" w:type="pct"/>
            <w:shd w:val="clear" w:color="auto" w:fill="D8D8D8" w:themeFill="background1" w:themeFillShade="D9"/>
            <w:vAlign w:val="center"/>
          </w:tcPr>
          <w:p>
            <w:pPr>
              <w:autoSpaceDE w:val="0"/>
              <w:autoSpaceDN w:val="0"/>
              <w:spacing w:line="240" w:lineRule="atLeast"/>
              <w:ind w:firstLine="0" w:firstLineChars="0"/>
              <w:jc w:val="center"/>
              <w:rPr>
                <w:b/>
                <w:sz w:val="21"/>
                <w:szCs w:val="21"/>
              </w:rPr>
            </w:pPr>
            <w:r>
              <w:rPr>
                <w:b/>
                <w:sz w:val="21"/>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929" w:type="pct"/>
            <w:vAlign w:val="center"/>
          </w:tcPr>
          <w:p>
            <w:pPr>
              <w:tabs>
                <w:tab w:val="left" w:pos="142"/>
              </w:tabs>
              <w:autoSpaceDE w:val="0"/>
              <w:autoSpaceDN w:val="0"/>
              <w:spacing w:line="240" w:lineRule="atLeast"/>
              <w:ind w:firstLine="0" w:firstLineChars="0"/>
              <w:jc w:val="center"/>
              <w:rPr>
                <w:sz w:val="21"/>
                <w:szCs w:val="21"/>
              </w:rPr>
            </w:pPr>
            <w:r>
              <w:rPr>
                <w:sz w:val="21"/>
                <w:szCs w:val="21"/>
              </w:rPr>
              <w:t>Ⅲ类标准值</w:t>
            </w:r>
          </w:p>
        </w:tc>
        <w:tc>
          <w:tcPr>
            <w:tcW w:w="820" w:type="pct"/>
            <w:vAlign w:val="center"/>
          </w:tcPr>
          <w:p>
            <w:pPr>
              <w:autoSpaceDE w:val="0"/>
              <w:autoSpaceDN w:val="0"/>
              <w:spacing w:line="240" w:lineRule="atLeast"/>
              <w:ind w:firstLine="0" w:firstLineChars="0"/>
              <w:jc w:val="center"/>
              <w:rPr>
                <w:sz w:val="21"/>
                <w:szCs w:val="21"/>
              </w:rPr>
            </w:pPr>
            <w:r>
              <w:rPr>
                <w:sz w:val="21"/>
                <w:szCs w:val="21"/>
              </w:rPr>
              <w:t>6～9</w:t>
            </w:r>
          </w:p>
        </w:tc>
        <w:tc>
          <w:tcPr>
            <w:tcW w:w="815" w:type="pct"/>
            <w:vAlign w:val="center"/>
          </w:tcPr>
          <w:p>
            <w:pPr>
              <w:autoSpaceDE w:val="0"/>
              <w:autoSpaceDN w:val="0"/>
              <w:spacing w:line="240" w:lineRule="atLeast"/>
              <w:ind w:firstLine="0" w:firstLineChars="0"/>
              <w:jc w:val="center"/>
              <w:rPr>
                <w:sz w:val="21"/>
                <w:szCs w:val="21"/>
              </w:rPr>
            </w:pPr>
            <w:r>
              <w:rPr>
                <w:sz w:val="21"/>
                <w:szCs w:val="21"/>
              </w:rPr>
              <w:t>≤20</w:t>
            </w:r>
          </w:p>
        </w:tc>
        <w:tc>
          <w:tcPr>
            <w:tcW w:w="813" w:type="pct"/>
            <w:vAlign w:val="center"/>
          </w:tcPr>
          <w:p>
            <w:pPr>
              <w:autoSpaceDE w:val="0"/>
              <w:autoSpaceDN w:val="0"/>
              <w:spacing w:line="240" w:lineRule="atLeast"/>
              <w:ind w:firstLine="0" w:firstLineChars="0"/>
              <w:jc w:val="center"/>
              <w:rPr>
                <w:sz w:val="21"/>
                <w:szCs w:val="21"/>
              </w:rPr>
            </w:pPr>
            <w:r>
              <w:rPr>
                <w:sz w:val="21"/>
                <w:szCs w:val="21"/>
              </w:rPr>
              <w:t>≤4.0</w:t>
            </w:r>
          </w:p>
        </w:tc>
        <w:tc>
          <w:tcPr>
            <w:tcW w:w="812" w:type="pct"/>
            <w:vAlign w:val="center"/>
          </w:tcPr>
          <w:p>
            <w:pPr>
              <w:autoSpaceDE w:val="0"/>
              <w:autoSpaceDN w:val="0"/>
              <w:spacing w:line="240" w:lineRule="atLeast"/>
              <w:ind w:firstLine="0" w:firstLineChars="0"/>
              <w:jc w:val="center"/>
              <w:rPr>
                <w:sz w:val="21"/>
                <w:szCs w:val="21"/>
              </w:rPr>
            </w:pPr>
            <w:r>
              <w:rPr>
                <w:sz w:val="21"/>
                <w:szCs w:val="21"/>
              </w:rPr>
              <w:t>≤1.0</w:t>
            </w:r>
          </w:p>
        </w:tc>
        <w:tc>
          <w:tcPr>
            <w:tcW w:w="812" w:type="pct"/>
            <w:vAlign w:val="center"/>
          </w:tcPr>
          <w:p>
            <w:pPr>
              <w:autoSpaceDE w:val="0"/>
              <w:autoSpaceDN w:val="0"/>
              <w:spacing w:line="240" w:lineRule="atLeast"/>
              <w:ind w:firstLine="0" w:firstLineChars="0"/>
              <w:jc w:val="center"/>
              <w:rPr>
                <w:sz w:val="21"/>
                <w:szCs w:val="21"/>
              </w:rPr>
            </w:pPr>
            <w:r>
              <w:rPr>
                <w:sz w:val="21"/>
                <w:szCs w:val="21"/>
              </w:rPr>
              <w:t>≤0.05</w:t>
            </w:r>
          </w:p>
        </w:tc>
      </w:tr>
    </w:tbl>
    <w:p>
      <w:pPr>
        <w:pStyle w:val="6"/>
        <w:numPr>
          <w:ilvl w:val="3"/>
          <w:numId w:val="0"/>
        </w:numPr>
      </w:pPr>
      <w:r>
        <w:t>1.5.2.3声环境</w:t>
      </w:r>
    </w:p>
    <w:p>
      <w:pPr>
        <w:pStyle w:val="222"/>
      </w:pPr>
      <w:r>
        <w:t>本项目位于2类声环境功能区，执行《声环境质量标准》（GB3096-2008）2类标准，昼间≤60</w:t>
      </w:r>
      <w:r>
        <w:rPr>
          <w:bCs/>
        </w:rPr>
        <w:t>dB（A）</w:t>
      </w:r>
      <w:r>
        <w:t>，夜间≤50</w:t>
      </w:r>
      <w:r>
        <w:rPr>
          <w:bCs/>
        </w:rPr>
        <w:t>dB（A）</w:t>
      </w:r>
      <w:r>
        <w:t>。</w:t>
      </w:r>
    </w:p>
    <w:p>
      <w:pPr>
        <w:pStyle w:val="5"/>
        <w:rPr>
          <w:color w:val="auto"/>
        </w:rPr>
      </w:pPr>
      <w:r>
        <w:rPr>
          <w:color w:val="auto"/>
        </w:rPr>
        <w:t>1.5.3污染物排放标准</w:t>
      </w:r>
    </w:p>
    <w:p>
      <w:pPr>
        <w:pStyle w:val="6"/>
        <w:numPr>
          <w:ilvl w:val="3"/>
          <w:numId w:val="0"/>
        </w:numPr>
      </w:pPr>
      <w:r>
        <w:t>1.5.3.1废气</w:t>
      </w:r>
    </w:p>
    <w:p>
      <w:pPr>
        <w:pStyle w:val="222"/>
      </w:pPr>
      <w:r>
        <w:t>项目矿区及工业场地位于九峰山森林公园外300m宽缓冲带内，且项目所在区域合川区属于《大气污染物综合排放标准》（DB50/418-2016）中的影响区。因此，项目废气污染物排放执行《大气污染物综合排放标准》（DB50/418-2016）影响区标准排放限值。详见下表。</w:t>
      </w:r>
    </w:p>
    <w:p>
      <w:pPr>
        <w:pStyle w:val="84"/>
      </w:pPr>
      <w:r>
        <w:t>表1.5-3 《大气污染物综合排放标准》（DB 50/418-2016）</w:t>
      </w:r>
    </w:p>
    <w:tbl>
      <w:tblPr>
        <w:tblStyle w:val="88"/>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28" w:type="dxa"/>
          <w:bottom w:w="0" w:type="dxa"/>
          <w:right w:w="28" w:type="dxa"/>
        </w:tblCellMar>
      </w:tblPr>
      <w:tblGrid>
        <w:gridCol w:w="694"/>
        <w:gridCol w:w="995"/>
        <w:gridCol w:w="1170"/>
        <w:gridCol w:w="1561"/>
        <w:gridCol w:w="1583"/>
        <w:gridCol w:w="1395"/>
        <w:gridCol w:w="1729"/>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PrEx>
        <w:trPr>
          <w:trHeight w:val="284" w:hRule="atLeast"/>
          <w:jc w:val="center"/>
        </w:trPr>
        <w:tc>
          <w:tcPr>
            <w:tcW w:w="380" w:type="pct"/>
            <w:vMerge w:val="restart"/>
            <w:shd w:val="clear" w:color="auto" w:fill="D8D8D8" w:themeFill="background1" w:themeFillShade="D9"/>
            <w:vAlign w:val="center"/>
          </w:tcPr>
          <w:p>
            <w:pPr>
              <w:pStyle w:val="3238"/>
              <w:rPr>
                <w:b/>
              </w:rPr>
            </w:pPr>
            <w:r>
              <w:t>污染物</w:t>
            </w:r>
          </w:p>
        </w:tc>
        <w:tc>
          <w:tcPr>
            <w:tcW w:w="1186" w:type="pct"/>
            <w:gridSpan w:val="2"/>
            <w:vMerge w:val="restart"/>
            <w:tcBorders>
              <w:left w:val="single" w:color="auto" w:sz="4" w:space="0"/>
              <w:right w:val="single" w:color="auto" w:sz="4" w:space="0"/>
            </w:tcBorders>
            <w:shd w:val="clear" w:color="auto" w:fill="D8D8D8" w:themeFill="background1" w:themeFillShade="D9"/>
            <w:vAlign w:val="center"/>
          </w:tcPr>
          <w:p>
            <w:pPr>
              <w:pStyle w:val="3238"/>
              <w:rPr>
                <w:b/>
              </w:rPr>
            </w:pPr>
            <w:r>
              <w:t>大气污染物最高允许排放浓度（mg/m</w:t>
            </w:r>
            <w:r>
              <w:rPr>
                <w:vertAlign w:val="superscript"/>
              </w:rPr>
              <w:t>3</w:t>
            </w:r>
            <w:r>
              <w:t>）</w:t>
            </w:r>
          </w:p>
        </w:tc>
        <w:tc>
          <w:tcPr>
            <w:tcW w:w="855" w:type="pct"/>
            <w:vMerge w:val="restart"/>
            <w:tcBorders>
              <w:left w:val="single" w:color="auto" w:sz="4" w:space="0"/>
              <w:right w:val="single" w:color="auto" w:sz="4" w:space="0"/>
            </w:tcBorders>
            <w:shd w:val="clear" w:color="auto" w:fill="D8D8D8" w:themeFill="background1" w:themeFillShade="D9"/>
            <w:vAlign w:val="center"/>
          </w:tcPr>
          <w:p>
            <w:pPr>
              <w:pStyle w:val="3238"/>
              <w:rPr>
                <w:b/>
              </w:rPr>
            </w:pPr>
            <w:r>
              <w:t>排气筒高度（m）</w:t>
            </w:r>
          </w:p>
        </w:tc>
        <w:tc>
          <w:tcPr>
            <w:tcW w:w="867" w:type="pct"/>
            <w:vMerge w:val="restart"/>
            <w:tcBorders>
              <w:left w:val="single" w:color="auto" w:sz="4" w:space="0"/>
              <w:right w:val="single" w:color="auto" w:sz="4" w:space="0"/>
            </w:tcBorders>
            <w:shd w:val="clear" w:color="auto" w:fill="D8D8D8" w:themeFill="background1" w:themeFillShade="D9"/>
            <w:vAlign w:val="center"/>
          </w:tcPr>
          <w:p>
            <w:pPr>
              <w:pStyle w:val="3238"/>
              <w:rPr>
                <w:b/>
              </w:rPr>
            </w:pPr>
            <w:r>
              <w:t>最高允许排放速率（kg/h）</w:t>
            </w:r>
          </w:p>
        </w:tc>
        <w:tc>
          <w:tcPr>
            <w:tcW w:w="1711" w:type="pct"/>
            <w:gridSpan w:val="2"/>
            <w:tcBorders>
              <w:left w:val="single" w:color="auto" w:sz="4" w:space="0"/>
              <w:bottom w:val="single" w:color="auto" w:sz="4" w:space="0"/>
            </w:tcBorders>
            <w:shd w:val="clear" w:color="auto" w:fill="D8D8D8" w:themeFill="background1" w:themeFillShade="D9"/>
            <w:vAlign w:val="center"/>
          </w:tcPr>
          <w:p>
            <w:pPr>
              <w:pStyle w:val="3238"/>
              <w:rPr>
                <w:b/>
              </w:rPr>
            </w:pPr>
            <w:r>
              <w:t>无组织排放监控浓度限值</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PrEx>
        <w:trPr>
          <w:trHeight w:val="403" w:hRule="atLeast"/>
          <w:jc w:val="center"/>
        </w:trPr>
        <w:tc>
          <w:tcPr>
            <w:tcW w:w="380" w:type="pct"/>
            <w:vMerge w:val="continue"/>
            <w:shd w:val="clear" w:color="auto" w:fill="D8D8D8" w:themeFill="background1" w:themeFillShade="D9"/>
            <w:vAlign w:val="center"/>
          </w:tcPr>
          <w:p>
            <w:pPr>
              <w:pStyle w:val="3238"/>
            </w:pPr>
          </w:p>
        </w:tc>
        <w:tc>
          <w:tcPr>
            <w:tcW w:w="1186" w:type="pct"/>
            <w:gridSpan w:val="2"/>
            <w:vMerge w:val="continue"/>
            <w:tcBorders>
              <w:left w:val="single" w:color="auto" w:sz="4" w:space="0"/>
              <w:right w:val="single" w:color="auto" w:sz="4" w:space="0"/>
            </w:tcBorders>
            <w:shd w:val="clear" w:color="auto" w:fill="D8D8D8" w:themeFill="background1" w:themeFillShade="D9"/>
            <w:vAlign w:val="center"/>
          </w:tcPr>
          <w:p>
            <w:pPr>
              <w:pStyle w:val="3238"/>
            </w:pPr>
          </w:p>
        </w:tc>
        <w:tc>
          <w:tcPr>
            <w:tcW w:w="855" w:type="pct"/>
            <w:vMerge w:val="continue"/>
            <w:tcBorders>
              <w:left w:val="single" w:color="auto" w:sz="4" w:space="0"/>
              <w:right w:val="single" w:color="auto" w:sz="4" w:space="0"/>
            </w:tcBorders>
            <w:shd w:val="clear" w:color="auto" w:fill="D8D8D8" w:themeFill="background1" w:themeFillShade="D9"/>
            <w:vAlign w:val="center"/>
          </w:tcPr>
          <w:p>
            <w:pPr>
              <w:pStyle w:val="3238"/>
            </w:pPr>
          </w:p>
        </w:tc>
        <w:tc>
          <w:tcPr>
            <w:tcW w:w="867" w:type="pct"/>
            <w:vMerge w:val="continue"/>
            <w:tcBorders>
              <w:left w:val="single" w:color="auto" w:sz="4" w:space="0"/>
              <w:right w:val="single" w:color="auto" w:sz="4" w:space="0"/>
            </w:tcBorders>
            <w:shd w:val="clear" w:color="auto" w:fill="D8D8D8" w:themeFill="background1" w:themeFillShade="D9"/>
            <w:vAlign w:val="center"/>
          </w:tcPr>
          <w:p>
            <w:pPr>
              <w:pStyle w:val="3238"/>
            </w:pPr>
          </w:p>
        </w:tc>
        <w:tc>
          <w:tcPr>
            <w:tcW w:w="764" w:type="pct"/>
            <w:tcBorders>
              <w:top w:val="single" w:color="auto" w:sz="4" w:space="0"/>
              <w:left w:val="single" w:color="auto" w:sz="4" w:space="0"/>
              <w:right w:val="single" w:color="auto" w:sz="4" w:space="0"/>
            </w:tcBorders>
            <w:shd w:val="clear" w:color="auto" w:fill="D8D8D8" w:themeFill="background1" w:themeFillShade="D9"/>
            <w:vAlign w:val="center"/>
          </w:tcPr>
          <w:p>
            <w:pPr>
              <w:pStyle w:val="3238"/>
              <w:rPr>
                <w:b/>
              </w:rPr>
            </w:pPr>
            <w:r>
              <w:t>监控点</w:t>
            </w:r>
          </w:p>
        </w:tc>
        <w:tc>
          <w:tcPr>
            <w:tcW w:w="947" w:type="pct"/>
            <w:tcBorders>
              <w:top w:val="single" w:color="auto" w:sz="4" w:space="0"/>
              <w:left w:val="single" w:color="auto" w:sz="4" w:space="0"/>
            </w:tcBorders>
            <w:shd w:val="clear" w:color="auto" w:fill="D8D8D8" w:themeFill="background1" w:themeFillShade="D9"/>
            <w:vAlign w:val="center"/>
          </w:tcPr>
          <w:p>
            <w:pPr>
              <w:pStyle w:val="3238"/>
              <w:rPr>
                <w:b/>
              </w:rPr>
            </w:pPr>
            <w:r>
              <w:t>浓度（mg/m</w:t>
            </w:r>
            <w:r>
              <w:rPr>
                <w:vertAlign w:val="superscript"/>
              </w:rPr>
              <w:t>3</w:t>
            </w:r>
            <w: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PrEx>
        <w:trPr>
          <w:trHeight w:val="284" w:hRule="atLeast"/>
          <w:jc w:val="center"/>
        </w:trPr>
        <w:tc>
          <w:tcPr>
            <w:tcW w:w="380" w:type="pct"/>
            <w:shd w:val="clear" w:color="auto" w:fill="auto"/>
            <w:vAlign w:val="center"/>
          </w:tcPr>
          <w:p>
            <w:pPr>
              <w:pStyle w:val="3238"/>
              <w:rPr>
                <w:b/>
              </w:rPr>
            </w:pPr>
            <w:r>
              <w:t>颗粒物</w:t>
            </w:r>
          </w:p>
        </w:tc>
        <w:tc>
          <w:tcPr>
            <w:tcW w:w="545" w:type="pct"/>
            <w:tcBorders>
              <w:right w:val="single" w:color="auto" w:sz="4" w:space="0"/>
            </w:tcBorders>
            <w:shd w:val="clear" w:color="auto" w:fill="auto"/>
            <w:vAlign w:val="center"/>
          </w:tcPr>
          <w:p>
            <w:pPr>
              <w:pStyle w:val="3238"/>
              <w:rPr>
                <w:b/>
              </w:rPr>
            </w:pPr>
            <w:r>
              <w:t>影响区</w:t>
            </w:r>
          </w:p>
        </w:tc>
        <w:tc>
          <w:tcPr>
            <w:tcW w:w="641" w:type="pct"/>
            <w:tcBorders>
              <w:left w:val="single" w:color="auto" w:sz="4" w:space="0"/>
              <w:right w:val="single" w:color="auto" w:sz="4" w:space="0"/>
            </w:tcBorders>
            <w:shd w:val="clear" w:color="auto" w:fill="auto"/>
            <w:vAlign w:val="center"/>
          </w:tcPr>
          <w:p>
            <w:pPr>
              <w:pStyle w:val="3238"/>
              <w:rPr>
                <w:b/>
              </w:rPr>
            </w:pPr>
            <w:r>
              <w:t>100</w:t>
            </w:r>
          </w:p>
        </w:tc>
        <w:tc>
          <w:tcPr>
            <w:tcW w:w="855" w:type="pct"/>
            <w:tcBorders>
              <w:left w:val="single" w:color="auto" w:sz="4" w:space="0"/>
              <w:right w:val="single" w:color="auto" w:sz="4" w:space="0"/>
            </w:tcBorders>
            <w:shd w:val="clear" w:color="auto" w:fill="auto"/>
            <w:vAlign w:val="center"/>
          </w:tcPr>
          <w:p>
            <w:pPr>
              <w:pStyle w:val="3238"/>
              <w:rPr>
                <w:b/>
              </w:rPr>
            </w:pPr>
            <w:r>
              <w:t>15</w:t>
            </w:r>
          </w:p>
        </w:tc>
        <w:tc>
          <w:tcPr>
            <w:tcW w:w="867" w:type="pct"/>
            <w:tcBorders>
              <w:left w:val="single" w:color="auto" w:sz="4" w:space="0"/>
              <w:right w:val="single" w:color="auto" w:sz="4" w:space="0"/>
            </w:tcBorders>
            <w:shd w:val="clear" w:color="auto" w:fill="auto"/>
            <w:vAlign w:val="center"/>
          </w:tcPr>
          <w:p>
            <w:pPr>
              <w:pStyle w:val="3238"/>
              <w:rPr>
                <w:b/>
              </w:rPr>
            </w:pPr>
            <w:r>
              <w:t>1.5</w:t>
            </w:r>
          </w:p>
        </w:tc>
        <w:tc>
          <w:tcPr>
            <w:tcW w:w="764" w:type="pct"/>
            <w:tcBorders>
              <w:left w:val="single" w:color="auto" w:sz="4" w:space="0"/>
              <w:right w:val="single" w:color="auto" w:sz="4" w:space="0"/>
            </w:tcBorders>
            <w:shd w:val="clear" w:color="auto" w:fill="auto"/>
            <w:vAlign w:val="center"/>
          </w:tcPr>
          <w:p>
            <w:pPr>
              <w:pStyle w:val="3238"/>
              <w:rPr>
                <w:b/>
              </w:rPr>
            </w:pPr>
            <w:r>
              <w:t>周界外浓度最高点</w:t>
            </w:r>
          </w:p>
        </w:tc>
        <w:tc>
          <w:tcPr>
            <w:tcW w:w="947" w:type="pct"/>
            <w:tcBorders>
              <w:left w:val="single" w:color="auto" w:sz="4" w:space="0"/>
            </w:tcBorders>
            <w:shd w:val="clear" w:color="auto" w:fill="auto"/>
            <w:vAlign w:val="center"/>
          </w:tcPr>
          <w:p>
            <w:pPr>
              <w:pStyle w:val="3238"/>
              <w:rPr>
                <w:b/>
              </w:rPr>
            </w:pPr>
            <w:r>
              <w:t>1.0</w:t>
            </w:r>
          </w:p>
        </w:tc>
      </w:tr>
    </w:tbl>
    <w:p>
      <w:pPr>
        <w:pStyle w:val="6"/>
        <w:numPr>
          <w:ilvl w:val="3"/>
          <w:numId w:val="0"/>
        </w:numPr>
      </w:pPr>
      <w:r>
        <w:t>1.5.3.2废水</w:t>
      </w:r>
    </w:p>
    <w:p>
      <w:pPr>
        <w:pStyle w:val="222"/>
      </w:pPr>
      <w:r>
        <w:t>本项目废水主要为生产废水和生活污水。本项目生活污水通过化粪池处理收集后用作农肥，不外排。车辆冲洗废水通过沉淀池处理后循环使用，不外排。故本项目无废水排放。</w:t>
      </w:r>
    </w:p>
    <w:p>
      <w:pPr>
        <w:pStyle w:val="6"/>
        <w:numPr>
          <w:ilvl w:val="3"/>
          <w:numId w:val="0"/>
        </w:numPr>
      </w:pPr>
      <w:r>
        <w:t>1.5.3.3噪声</w:t>
      </w:r>
    </w:p>
    <w:p>
      <w:pPr>
        <w:spacing w:line="360" w:lineRule="auto"/>
        <w:ind w:firstLine="480"/>
        <w:jc w:val="both"/>
        <w:rPr>
          <w:sz w:val="24"/>
          <w:szCs w:val="24"/>
        </w:rPr>
      </w:pPr>
      <w:r>
        <w:rPr>
          <w:sz w:val="24"/>
          <w:szCs w:val="24"/>
        </w:rPr>
        <w:t>本项目建设期噪声执行《建筑施工场界环境噪声排放标准》（GB12523-2011），即昼间≤70dB（A），夜间≤55dB（A）；开采期噪声执行《工业企业厂界环境噪声排放标准》（GB12348-2008）2类标准，即昼间≤60dB（A）、夜间≤50dB（A）。</w:t>
      </w:r>
    </w:p>
    <w:p>
      <w:pPr>
        <w:pStyle w:val="6"/>
        <w:numPr>
          <w:ilvl w:val="3"/>
          <w:numId w:val="0"/>
        </w:numPr>
      </w:pPr>
      <w:r>
        <w:t>1.5.3.4固体废物</w:t>
      </w:r>
    </w:p>
    <w:p>
      <w:pPr>
        <w:pStyle w:val="222"/>
      </w:pPr>
      <w:r>
        <w:t>本项目一般工业固体废物采用一般固废暂存间、包装工具（桶、密闭容器等）贮存，不适用《一般工业固体废物贮存和填埋污染控制标准》（GB18599-2020），其贮存过程必须满足相应的防渗漏、防雨淋、防扬尘等环境保护要求；危险废物贮存执行《危险废物贮存污染控制标准》（GB18597-2023）。</w:t>
      </w:r>
    </w:p>
    <w:p>
      <w:pPr>
        <w:pStyle w:val="4"/>
      </w:pPr>
      <w:bookmarkStart w:id="100" w:name="_Toc161676088"/>
      <w:r>
        <w:t>1.6评价等级及评价范围</w:t>
      </w:r>
      <w:bookmarkEnd w:id="100"/>
    </w:p>
    <w:p>
      <w:pPr>
        <w:pStyle w:val="5"/>
        <w:rPr>
          <w:color w:val="auto"/>
        </w:rPr>
      </w:pPr>
      <w:r>
        <w:rPr>
          <w:color w:val="auto"/>
        </w:rPr>
        <w:t>1.6.1生态环境影响评价等级及评价范围</w:t>
      </w:r>
    </w:p>
    <w:p>
      <w:pPr>
        <w:pStyle w:val="6"/>
        <w:numPr>
          <w:ilvl w:val="3"/>
          <w:numId w:val="0"/>
        </w:numPr>
      </w:pPr>
      <w:r>
        <w:t>1.6.1.1生态评价等级</w:t>
      </w:r>
    </w:p>
    <w:p>
      <w:pPr>
        <w:pStyle w:val="222"/>
      </w:pPr>
      <w:bookmarkStart w:id="101" w:name="_Hlk50650498"/>
      <w:r>
        <w:t>根据《环境影响评价技术导则 生态影响》（HJ19-2022），“涉及自然公园时，评价等级为二级；涉及生态保护红线时，评价等级不低于二级；在矿山开采可能导致矿区土地利用类型明显改变，或拦河闸坝建设可能明显改变水文情势等情况下，评价等级应上调一级”。</w:t>
      </w:r>
    </w:p>
    <w:p>
      <w:pPr>
        <w:pStyle w:val="222"/>
      </w:pPr>
      <w:r>
        <w:t>本项目矿区西侧59m处为九峰山森林公园，影响范围涉及自然公园，评价等级为二级；矿区西侧58m为合川区生态保护红线，影响范围涉及生态保护红线，评价等级不低于二级；由于矿山开采方式为边开采边恢复为土地利用类型，故土地利用类型不发生明显改变，因此评价等级不上调。综上，本项目生态评价等级为二级。</w:t>
      </w:r>
    </w:p>
    <w:bookmarkEnd w:id="101"/>
    <w:p>
      <w:pPr>
        <w:pStyle w:val="6"/>
        <w:numPr>
          <w:ilvl w:val="3"/>
          <w:numId w:val="0"/>
        </w:numPr>
      </w:pPr>
      <w:r>
        <w:t>1.6.1.2生态环境评价范围</w:t>
      </w:r>
    </w:p>
    <w:p>
      <w:pPr>
        <w:pStyle w:val="215"/>
        <w:spacing w:line="360" w:lineRule="auto"/>
        <w:ind w:firstLine="480"/>
        <w:rPr>
          <w:sz w:val="24"/>
        </w:rPr>
      </w:pPr>
      <w:r>
        <w:rPr>
          <w:sz w:val="24"/>
        </w:rPr>
        <w:t>根据《环境影响评价技术导则 生态影响》（HJ19-2022），本项目生态环境影响评价范围为项目矿区和工业场地边界外扩500m范围，包含九峰山森林公园部分。</w:t>
      </w:r>
    </w:p>
    <w:p>
      <w:pPr>
        <w:pStyle w:val="215"/>
        <w:spacing w:line="360" w:lineRule="auto"/>
        <w:ind w:firstLine="0" w:firstLineChars="0"/>
        <w:jc w:val="center"/>
        <w:rPr>
          <w:sz w:val="24"/>
        </w:rPr>
      </w:pPr>
      <w:r>
        <w:drawing>
          <wp:inline distT="0" distB="0" distL="0" distR="0">
            <wp:extent cx="5647055" cy="4263390"/>
            <wp:effectExtent l="0" t="0" r="0" b="3810"/>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pic:cNvPicPr>
                  </pic:nvPicPr>
                  <pic:blipFill>
                    <a:blip r:embed="rId46"/>
                    <a:stretch>
                      <a:fillRect/>
                    </a:stretch>
                  </pic:blipFill>
                  <pic:spPr>
                    <a:xfrm>
                      <a:off x="0" y="0"/>
                      <a:ext cx="5648345" cy="4264124"/>
                    </a:xfrm>
                    <a:prstGeom prst="rect">
                      <a:avLst/>
                    </a:prstGeom>
                  </pic:spPr>
                </pic:pic>
              </a:graphicData>
            </a:graphic>
          </wp:inline>
        </w:drawing>
      </w:r>
    </w:p>
    <w:p>
      <w:pPr>
        <w:pStyle w:val="215"/>
        <w:spacing w:line="360" w:lineRule="auto"/>
        <w:ind w:firstLine="0" w:firstLineChars="0"/>
        <w:jc w:val="center"/>
        <w:rPr>
          <w:sz w:val="24"/>
        </w:rPr>
      </w:pPr>
      <w:r>
        <w:rPr>
          <w:sz w:val="24"/>
        </w:rPr>
        <w:t>图1-1  生态环境评价范围图</w:t>
      </w:r>
    </w:p>
    <w:p>
      <w:pPr>
        <w:pStyle w:val="5"/>
        <w:rPr>
          <w:color w:val="auto"/>
        </w:rPr>
      </w:pPr>
      <w:r>
        <w:rPr>
          <w:color w:val="auto"/>
        </w:rPr>
        <w:t>1.6.2大气环境影响评价等级及评价范围</w:t>
      </w:r>
    </w:p>
    <w:p>
      <w:pPr>
        <w:pStyle w:val="6"/>
        <w:numPr>
          <w:ilvl w:val="3"/>
          <w:numId w:val="0"/>
        </w:numPr>
      </w:pPr>
      <w:bookmarkStart w:id="102" w:name="_Hlk50649545"/>
      <w:r>
        <w:t>1.6.2.1大气环境影响评价等级</w:t>
      </w:r>
    </w:p>
    <w:p>
      <w:pPr>
        <w:spacing w:line="360" w:lineRule="auto"/>
        <w:ind w:firstLine="480"/>
        <w:jc w:val="both"/>
        <w:rPr>
          <w:sz w:val="24"/>
          <w:szCs w:val="26"/>
        </w:rPr>
      </w:pPr>
      <w:r>
        <w:rPr>
          <w:sz w:val="24"/>
          <w:szCs w:val="26"/>
        </w:rPr>
        <w:t>根据《环境影响评价技术导则 大气环境》（HJ2.2-2018），选择推荐模型中的估算模型AERSCREEN对项目的大气环境评价工作进行分级。根据项目污染源初步调查结果，分别计算项目排放主要污染物的最大地面空气质量浓度占标率</w:t>
      </w:r>
      <w:r>
        <w:rPr>
          <w:i/>
          <w:sz w:val="24"/>
          <w:szCs w:val="26"/>
        </w:rPr>
        <w:t>P</w:t>
      </w:r>
      <w:r>
        <w:rPr>
          <w:i/>
          <w:sz w:val="24"/>
          <w:szCs w:val="26"/>
          <w:vertAlign w:val="subscript"/>
        </w:rPr>
        <w:t>i</w:t>
      </w:r>
      <w:r>
        <w:rPr>
          <w:sz w:val="24"/>
          <w:szCs w:val="26"/>
        </w:rPr>
        <w:t>，及第</w:t>
      </w:r>
      <w:r>
        <w:rPr>
          <w:i/>
          <w:sz w:val="24"/>
          <w:szCs w:val="26"/>
        </w:rPr>
        <w:t>i</w:t>
      </w:r>
      <w:r>
        <w:rPr>
          <w:sz w:val="24"/>
          <w:szCs w:val="26"/>
        </w:rPr>
        <w:t>个污染物的地面空气质量浓度达到标准值的10%时所对应的最远距离</w:t>
      </w:r>
      <w:r>
        <w:rPr>
          <w:i/>
          <w:sz w:val="24"/>
          <w:szCs w:val="26"/>
        </w:rPr>
        <w:t>D</w:t>
      </w:r>
      <w:r>
        <w:rPr>
          <w:i/>
          <w:sz w:val="24"/>
          <w:szCs w:val="26"/>
          <w:vertAlign w:val="subscript"/>
        </w:rPr>
        <w:t>10%</w:t>
      </w:r>
      <w:r>
        <w:rPr>
          <w:sz w:val="24"/>
          <w:szCs w:val="26"/>
        </w:rPr>
        <w:t>。具体见下式：</w:t>
      </w:r>
    </w:p>
    <w:bookmarkEnd w:id="102"/>
    <w:p>
      <w:pPr>
        <w:spacing w:line="360" w:lineRule="auto"/>
        <w:ind w:firstLine="0" w:firstLineChars="0"/>
        <w:jc w:val="center"/>
        <w:rPr>
          <w:sz w:val="24"/>
          <w:szCs w:val="26"/>
        </w:rPr>
      </w:pPr>
      <w:r>
        <w:rPr>
          <w:sz w:val="24"/>
          <w:szCs w:val="26"/>
        </w:rPr>
        <w:t>Pi=（C</w:t>
      </w:r>
      <w:r>
        <w:rPr>
          <w:sz w:val="24"/>
          <w:szCs w:val="26"/>
          <w:vertAlign w:val="subscript"/>
        </w:rPr>
        <w:t>i</w:t>
      </w:r>
      <w:r>
        <w:rPr>
          <w:sz w:val="24"/>
          <w:szCs w:val="26"/>
        </w:rPr>
        <w:t>/C</w:t>
      </w:r>
      <w:r>
        <w:rPr>
          <w:sz w:val="24"/>
          <w:szCs w:val="26"/>
          <w:vertAlign w:val="subscript"/>
        </w:rPr>
        <w:t>0i</w:t>
      </w:r>
      <w:r>
        <w:rPr>
          <w:sz w:val="24"/>
          <w:szCs w:val="26"/>
        </w:rPr>
        <w:t>）×100%</w:t>
      </w:r>
    </w:p>
    <w:p>
      <w:pPr>
        <w:spacing w:line="360" w:lineRule="auto"/>
        <w:ind w:firstLine="0" w:firstLineChars="0"/>
        <w:jc w:val="both"/>
        <w:rPr>
          <w:sz w:val="24"/>
          <w:szCs w:val="26"/>
        </w:rPr>
      </w:pPr>
      <w:r>
        <w:rPr>
          <w:sz w:val="24"/>
          <w:szCs w:val="26"/>
        </w:rPr>
        <w:t>式中：P</w:t>
      </w:r>
      <w:r>
        <w:rPr>
          <w:sz w:val="24"/>
          <w:szCs w:val="26"/>
          <w:vertAlign w:val="subscript"/>
        </w:rPr>
        <w:t>i</w:t>
      </w:r>
      <w:r>
        <w:rPr>
          <w:sz w:val="24"/>
          <w:szCs w:val="26"/>
        </w:rPr>
        <w:t>—第i个污染物的最大地面空气质量浓度占标率，%；</w:t>
      </w:r>
    </w:p>
    <w:p>
      <w:pPr>
        <w:spacing w:line="460" w:lineRule="exact"/>
        <w:ind w:firstLine="720" w:firstLineChars="300"/>
        <w:jc w:val="both"/>
        <w:rPr>
          <w:sz w:val="24"/>
          <w:szCs w:val="26"/>
        </w:rPr>
      </w:pPr>
      <w:r>
        <w:rPr>
          <w:sz w:val="24"/>
          <w:szCs w:val="26"/>
        </w:rPr>
        <w:t>C</w:t>
      </w:r>
      <w:r>
        <w:rPr>
          <w:sz w:val="24"/>
          <w:szCs w:val="26"/>
          <w:vertAlign w:val="subscript"/>
        </w:rPr>
        <w:t>i</w:t>
      </w:r>
      <w:r>
        <w:rPr>
          <w:sz w:val="24"/>
          <w:szCs w:val="26"/>
        </w:rPr>
        <w:t>—采用估算模型计算出的第</w:t>
      </w:r>
      <w:r>
        <w:rPr>
          <w:i/>
          <w:sz w:val="24"/>
          <w:szCs w:val="26"/>
        </w:rPr>
        <w:t>i</w:t>
      </w:r>
      <w:r>
        <w:rPr>
          <w:sz w:val="24"/>
          <w:szCs w:val="26"/>
        </w:rPr>
        <w:t>个污染物的最大1h地面空气质量浓度，µg/m</w:t>
      </w:r>
      <w:r>
        <w:rPr>
          <w:sz w:val="24"/>
          <w:szCs w:val="26"/>
          <w:vertAlign w:val="superscript"/>
        </w:rPr>
        <w:t>3</w:t>
      </w:r>
      <w:r>
        <w:rPr>
          <w:sz w:val="24"/>
          <w:szCs w:val="26"/>
        </w:rPr>
        <w:t>；</w:t>
      </w:r>
    </w:p>
    <w:p>
      <w:pPr>
        <w:spacing w:line="460" w:lineRule="exact"/>
        <w:ind w:firstLine="662" w:firstLineChars="276"/>
        <w:jc w:val="both"/>
        <w:rPr>
          <w:sz w:val="24"/>
          <w:szCs w:val="26"/>
        </w:rPr>
      </w:pPr>
      <w:r>
        <w:rPr>
          <w:sz w:val="24"/>
          <w:szCs w:val="26"/>
        </w:rPr>
        <w:t>C</w:t>
      </w:r>
      <w:r>
        <w:rPr>
          <w:sz w:val="24"/>
          <w:szCs w:val="26"/>
          <w:vertAlign w:val="subscript"/>
        </w:rPr>
        <w:t>0i</w:t>
      </w:r>
      <w:r>
        <w:rPr>
          <w:sz w:val="24"/>
          <w:szCs w:val="26"/>
        </w:rPr>
        <w:t>—第</w:t>
      </w:r>
      <w:r>
        <w:rPr>
          <w:i/>
          <w:sz w:val="24"/>
          <w:szCs w:val="26"/>
        </w:rPr>
        <w:t>i</w:t>
      </w:r>
      <w:r>
        <w:rPr>
          <w:sz w:val="24"/>
          <w:szCs w:val="26"/>
        </w:rPr>
        <w:t>个污染物的环境空气质量浓度标准，µg/m</w:t>
      </w:r>
      <w:r>
        <w:rPr>
          <w:sz w:val="24"/>
          <w:szCs w:val="26"/>
          <w:vertAlign w:val="superscript"/>
        </w:rPr>
        <w:t>3</w:t>
      </w:r>
      <w:r>
        <w:rPr>
          <w:sz w:val="24"/>
          <w:szCs w:val="26"/>
        </w:rPr>
        <w:t>。</w:t>
      </w:r>
    </w:p>
    <w:p>
      <w:pPr>
        <w:spacing w:line="460" w:lineRule="exact"/>
        <w:ind w:firstLine="480"/>
        <w:jc w:val="both"/>
        <w:rPr>
          <w:sz w:val="24"/>
          <w:szCs w:val="26"/>
        </w:rPr>
      </w:pPr>
      <w:r>
        <w:rPr>
          <w:sz w:val="24"/>
          <w:szCs w:val="26"/>
        </w:rPr>
        <w:t>评价工作等级分级见下表。</w:t>
      </w:r>
    </w:p>
    <w:p>
      <w:pPr>
        <w:pStyle w:val="84"/>
      </w:pPr>
      <w:r>
        <w:t>表1.6-1  大气环境影响评价工作等级分级表</w:t>
      </w:r>
    </w:p>
    <w:tbl>
      <w:tblPr>
        <w:tblStyle w:val="8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3419"/>
        <w:gridCol w:w="586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841" w:type="pct"/>
            <w:shd w:val="clear" w:color="auto" w:fill="D8D8D8" w:themeFill="background1" w:themeFillShade="D9"/>
            <w:vAlign w:val="center"/>
          </w:tcPr>
          <w:p>
            <w:pPr>
              <w:pStyle w:val="219"/>
              <w:rPr>
                <w:snapToGrid w:val="0"/>
              </w:rPr>
            </w:pPr>
            <w:r>
              <w:rPr>
                <w:snapToGrid w:val="0"/>
              </w:rPr>
              <w:t>评价工作等级</w:t>
            </w:r>
          </w:p>
        </w:tc>
        <w:tc>
          <w:tcPr>
            <w:tcW w:w="3159" w:type="pct"/>
            <w:shd w:val="clear" w:color="auto" w:fill="D8D8D8" w:themeFill="background1" w:themeFillShade="D9"/>
            <w:vAlign w:val="center"/>
          </w:tcPr>
          <w:p>
            <w:pPr>
              <w:pStyle w:val="219"/>
              <w:rPr>
                <w:snapToGrid w:val="0"/>
              </w:rPr>
            </w:pPr>
            <w:r>
              <w:rPr>
                <w:snapToGrid w:val="0"/>
              </w:rPr>
              <w:t>评价工作分级判据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841" w:type="pct"/>
            <w:shd w:val="clear" w:color="auto" w:fill="auto"/>
            <w:vAlign w:val="center"/>
          </w:tcPr>
          <w:p>
            <w:pPr>
              <w:pStyle w:val="219"/>
              <w:rPr>
                <w:snapToGrid w:val="0"/>
              </w:rPr>
            </w:pPr>
            <w:r>
              <w:rPr>
                <w:snapToGrid w:val="0"/>
              </w:rPr>
              <w:t>一级评价</w:t>
            </w:r>
          </w:p>
        </w:tc>
        <w:tc>
          <w:tcPr>
            <w:tcW w:w="3159" w:type="pct"/>
            <w:shd w:val="clear" w:color="auto" w:fill="auto"/>
            <w:vAlign w:val="center"/>
          </w:tcPr>
          <w:p>
            <w:pPr>
              <w:pStyle w:val="219"/>
              <w:rPr>
                <w:snapToGrid w:val="0"/>
              </w:rPr>
            </w:pPr>
            <w:r>
              <w:rPr>
                <w:snapToGrid w:val="0"/>
              </w:rPr>
              <w:t>P</w:t>
            </w:r>
            <w:r>
              <w:rPr>
                <w:snapToGrid w:val="0"/>
                <w:vertAlign w:val="subscript"/>
              </w:rPr>
              <w:t>max</w:t>
            </w:r>
            <w:r>
              <w:rPr>
                <w:snapToGrid w:val="0"/>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841" w:type="pct"/>
            <w:shd w:val="clear" w:color="auto" w:fill="auto"/>
            <w:vAlign w:val="center"/>
          </w:tcPr>
          <w:p>
            <w:pPr>
              <w:pStyle w:val="219"/>
              <w:rPr>
                <w:snapToGrid w:val="0"/>
              </w:rPr>
            </w:pPr>
            <w:r>
              <w:rPr>
                <w:snapToGrid w:val="0"/>
              </w:rPr>
              <w:t>二级评价</w:t>
            </w:r>
          </w:p>
        </w:tc>
        <w:tc>
          <w:tcPr>
            <w:tcW w:w="3159" w:type="pct"/>
            <w:shd w:val="clear" w:color="auto" w:fill="auto"/>
            <w:vAlign w:val="center"/>
          </w:tcPr>
          <w:p>
            <w:pPr>
              <w:pStyle w:val="219"/>
              <w:rPr>
                <w:snapToGrid w:val="0"/>
              </w:rPr>
            </w:pPr>
            <w:r>
              <w:rPr>
                <w:snapToGrid w:val="0"/>
              </w:rPr>
              <w:t>1%≤P</w:t>
            </w:r>
            <w:r>
              <w:rPr>
                <w:snapToGrid w:val="0"/>
                <w:vertAlign w:val="subscript"/>
              </w:rPr>
              <w:t>max</w:t>
            </w:r>
            <w:r>
              <w:rPr>
                <w:snapToGrid w:val="0"/>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841" w:type="pct"/>
            <w:shd w:val="clear" w:color="auto" w:fill="auto"/>
            <w:vAlign w:val="center"/>
          </w:tcPr>
          <w:p>
            <w:pPr>
              <w:pStyle w:val="219"/>
              <w:rPr>
                <w:snapToGrid w:val="0"/>
              </w:rPr>
            </w:pPr>
            <w:r>
              <w:rPr>
                <w:snapToGrid w:val="0"/>
              </w:rPr>
              <w:t>三级评价</w:t>
            </w:r>
          </w:p>
        </w:tc>
        <w:tc>
          <w:tcPr>
            <w:tcW w:w="3159" w:type="pct"/>
            <w:shd w:val="clear" w:color="auto" w:fill="auto"/>
            <w:vAlign w:val="center"/>
          </w:tcPr>
          <w:p>
            <w:pPr>
              <w:pStyle w:val="219"/>
              <w:rPr>
                <w:snapToGrid w:val="0"/>
              </w:rPr>
            </w:pPr>
            <w:r>
              <w:rPr>
                <w:snapToGrid w:val="0"/>
              </w:rPr>
              <w:t>P</w:t>
            </w:r>
            <w:r>
              <w:rPr>
                <w:snapToGrid w:val="0"/>
                <w:vertAlign w:val="subscript"/>
              </w:rPr>
              <w:t>max</w:t>
            </w:r>
            <w:r>
              <w:rPr>
                <w:snapToGrid w:val="0"/>
              </w:rPr>
              <w:t>＜1%</w:t>
            </w:r>
          </w:p>
        </w:tc>
      </w:tr>
    </w:tbl>
    <w:p>
      <w:pPr>
        <w:spacing w:line="360" w:lineRule="auto"/>
        <w:ind w:firstLine="480"/>
        <w:jc w:val="both"/>
        <w:rPr>
          <w:sz w:val="24"/>
          <w:szCs w:val="26"/>
        </w:rPr>
      </w:pPr>
      <w:r>
        <w:rPr>
          <w:sz w:val="24"/>
          <w:szCs w:val="26"/>
        </w:rPr>
        <w:t>（1）评价因子和评价标准筛选</w:t>
      </w:r>
    </w:p>
    <w:p>
      <w:pPr>
        <w:spacing w:line="360" w:lineRule="auto"/>
        <w:ind w:firstLine="480"/>
        <w:jc w:val="both"/>
        <w:rPr>
          <w:sz w:val="24"/>
          <w:szCs w:val="26"/>
        </w:rPr>
      </w:pPr>
      <w:r>
        <w:rPr>
          <w:sz w:val="24"/>
          <w:szCs w:val="26"/>
        </w:rPr>
        <w:t>本项目开采区和工业场地位于九峰山森林公园以外300m宽的缓冲带内， 原则上按一类环境空气功能区对应标准执行，因此，本评价选择环境空气质量一类区标准作为估算的评价标准。项目无组织排放粉尘以TSP计，有组织排放粉尘以PM</w:t>
      </w:r>
      <w:r>
        <w:rPr>
          <w:sz w:val="24"/>
          <w:szCs w:val="26"/>
          <w:vertAlign w:val="subscript"/>
        </w:rPr>
        <w:t>10</w:t>
      </w:r>
      <w:r>
        <w:rPr>
          <w:sz w:val="24"/>
          <w:szCs w:val="26"/>
        </w:rPr>
        <w:t>计，确定本项目废气预测因子为TSP和PM</w:t>
      </w:r>
      <w:r>
        <w:rPr>
          <w:sz w:val="24"/>
          <w:szCs w:val="26"/>
          <w:vertAlign w:val="subscript"/>
        </w:rPr>
        <w:t>10</w:t>
      </w:r>
      <w:r>
        <w:rPr>
          <w:sz w:val="24"/>
          <w:szCs w:val="26"/>
        </w:rPr>
        <w:t>，评价因子和评价标准见下表。</w:t>
      </w:r>
    </w:p>
    <w:p>
      <w:pPr>
        <w:pStyle w:val="84"/>
      </w:pPr>
      <w:r>
        <w:t>表1.6-2  评价因子和评价标准表</w:t>
      </w:r>
    </w:p>
    <w:tbl>
      <w:tblPr>
        <w:tblStyle w:val="88"/>
        <w:tblW w:w="5000" w:type="pct"/>
        <w:jc w:val="center"/>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96"/>
        <w:gridCol w:w="1519"/>
        <w:gridCol w:w="2294"/>
        <w:gridCol w:w="4378"/>
      </w:tblGrid>
      <w:tr>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atLeast"/>
          <w:tblHeader/>
          <w:jc w:val="center"/>
        </w:trPr>
        <w:tc>
          <w:tcPr>
            <w:tcW w:w="590" w:type="pct"/>
            <w:shd w:val="clear" w:color="auto" w:fill="D8D8D8" w:themeFill="background1" w:themeFillShade="D9"/>
            <w:noWrap/>
            <w:vAlign w:val="center"/>
          </w:tcPr>
          <w:p>
            <w:pPr>
              <w:pStyle w:val="219"/>
              <w:rPr>
                <w:snapToGrid w:val="0"/>
              </w:rPr>
            </w:pPr>
            <w:r>
              <w:rPr>
                <w:snapToGrid w:val="0"/>
              </w:rPr>
              <w:t>评价因子</w:t>
            </w:r>
          </w:p>
        </w:tc>
        <w:tc>
          <w:tcPr>
            <w:tcW w:w="918" w:type="pct"/>
            <w:shd w:val="clear" w:color="auto" w:fill="D8D8D8" w:themeFill="background1" w:themeFillShade="D9"/>
            <w:noWrap/>
            <w:vAlign w:val="center"/>
          </w:tcPr>
          <w:p>
            <w:pPr>
              <w:pStyle w:val="219"/>
              <w:rPr>
                <w:snapToGrid w:val="0"/>
              </w:rPr>
            </w:pPr>
            <w:r>
              <w:rPr>
                <w:snapToGrid w:val="0"/>
              </w:rPr>
              <w:t>取值时间</w:t>
            </w:r>
          </w:p>
        </w:tc>
        <w:tc>
          <w:tcPr>
            <w:tcW w:w="1335" w:type="pct"/>
            <w:shd w:val="clear" w:color="auto" w:fill="D8D8D8" w:themeFill="background1" w:themeFillShade="D9"/>
            <w:vAlign w:val="center"/>
          </w:tcPr>
          <w:p>
            <w:pPr>
              <w:pStyle w:val="219"/>
              <w:rPr>
                <w:snapToGrid w:val="0"/>
              </w:rPr>
            </w:pPr>
            <w:r>
              <w:rPr>
                <w:snapToGrid w:val="0"/>
              </w:rPr>
              <w:t>一级标准/（μg/m</w:t>
            </w:r>
            <w:r>
              <w:rPr>
                <w:snapToGrid w:val="0"/>
                <w:vertAlign w:val="superscript"/>
              </w:rPr>
              <w:t>3</w:t>
            </w:r>
            <w:r>
              <w:rPr>
                <w:snapToGrid w:val="0"/>
              </w:rPr>
              <w:t>）</w:t>
            </w:r>
          </w:p>
        </w:tc>
        <w:tc>
          <w:tcPr>
            <w:tcW w:w="2156" w:type="pct"/>
            <w:shd w:val="clear" w:color="auto" w:fill="D8D8D8" w:themeFill="background1" w:themeFillShade="D9"/>
            <w:noWrap/>
            <w:vAlign w:val="center"/>
          </w:tcPr>
          <w:p>
            <w:pPr>
              <w:pStyle w:val="219"/>
              <w:rPr>
                <w:snapToGrid w:val="0"/>
              </w:rPr>
            </w:pPr>
            <w:r>
              <w:rPr>
                <w:snapToGrid w:val="0"/>
              </w:rPr>
              <w:t>标准来源</w:t>
            </w:r>
          </w:p>
        </w:tc>
      </w:tr>
      <w:tr>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PrEx>
        <w:trPr>
          <w:trHeight w:val="284" w:hRule="atLeast"/>
          <w:tblHeader/>
          <w:jc w:val="center"/>
        </w:trPr>
        <w:tc>
          <w:tcPr>
            <w:tcW w:w="590" w:type="pct"/>
            <w:shd w:val="clear" w:color="auto" w:fill="auto"/>
            <w:noWrap/>
            <w:vAlign w:val="center"/>
          </w:tcPr>
          <w:p>
            <w:pPr>
              <w:pStyle w:val="219"/>
              <w:rPr>
                <w:snapToGrid w:val="0"/>
              </w:rPr>
            </w:pPr>
            <w:r>
              <w:rPr>
                <w:snapToGrid w:val="0"/>
              </w:rPr>
              <w:t>PM</w:t>
            </w:r>
            <w:r>
              <w:rPr>
                <w:snapToGrid w:val="0"/>
                <w:vertAlign w:val="subscript"/>
              </w:rPr>
              <w:t>10</w:t>
            </w:r>
          </w:p>
        </w:tc>
        <w:tc>
          <w:tcPr>
            <w:tcW w:w="918" w:type="pct"/>
            <w:shd w:val="clear" w:color="auto" w:fill="auto"/>
            <w:noWrap/>
            <w:vAlign w:val="center"/>
          </w:tcPr>
          <w:p>
            <w:pPr>
              <w:pStyle w:val="219"/>
              <w:rPr>
                <w:snapToGrid w:val="0"/>
              </w:rPr>
            </w:pPr>
            <w:r>
              <w:rPr>
                <w:snapToGrid w:val="0"/>
              </w:rPr>
              <w:t>1小时平均</w:t>
            </w:r>
          </w:p>
        </w:tc>
        <w:tc>
          <w:tcPr>
            <w:tcW w:w="1335" w:type="pct"/>
            <w:vAlign w:val="center"/>
          </w:tcPr>
          <w:p>
            <w:pPr>
              <w:pStyle w:val="219"/>
              <w:rPr>
                <w:snapToGrid w:val="0"/>
              </w:rPr>
            </w:pPr>
            <w:r>
              <w:rPr>
                <w:snapToGrid w:val="0"/>
              </w:rPr>
              <w:t>150*</w:t>
            </w:r>
          </w:p>
        </w:tc>
        <w:tc>
          <w:tcPr>
            <w:tcW w:w="2156" w:type="pct"/>
            <w:vMerge w:val="restart"/>
            <w:shd w:val="clear" w:color="auto" w:fill="auto"/>
            <w:noWrap/>
            <w:vAlign w:val="center"/>
          </w:tcPr>
          <w:p>
            <w:pPr>
              <w:pStyle w:val="219"/>
              <w:rPr>
                <w:snapToGrid w:val="0"/>
              </w:rPr>
            </w:pPr>
            <w:r>
              <w:rPr>
                <w:snapToGrid w:val="0"/>
              </w:rPr>
              <w:t>《环境空气质量标准》（GB3095-2012）</w:t>
            </w:r>
          </w:p>
        </w:tc>
      </w:tr>
      <w:tr>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4" w:hRule="atLeast"/>
          <w:tblHeader/>
          <w:jc w:val="center"/>
        </w:trPr>
        <w:tc>
          <w:tcPr>
            <w:tcW w:w="590" w:type="pct"/>
            <w:shd w:val="clear" w:color="auto" w:fill="auto"/>
            <w:noWrap/>
            <w:vAlign w:val="center"/>
          </w:tcPr>
          <w:p>
            <w:pPr>
              <w:pStyle w:val="219"/>
              <w:rPr>
                <w:snapToGrid w:val="0"/>
              </w:rPr>
            </w:pPr>
            <w:r>
              <w:rPr>
                <w:snapToGrid w:val="0"/>
              </w:rPr>
              <w:t>TSP</w:t>
            </w:r>
          </w:p>
        </w:tc>
        <w:tc>
          <w:tcPr>
            <w:tcW w:w="918" w:type="pct"/>
            <w:shd w:val="clear" w:color="auto" w:fill="auto"/>
            <w:noWrap/>
            <w:vAlign w:val="center"/>
          </w:tcPr>
          <w:p>
            <w:pPr>
              <w:pStyle w:val="219"/>
              <w:rPr>
                <w:snapToGrid w:val="0"/>
              </w:rPr>
            </w:pPr>
            <w:r>
              <w:rPr>
                <w:snapToGrid w:val="0"/>
              </w:rPr>
              <w:t>1小时平均</w:t>
            </w:r>
          </w:p>
        </w:tc>
        <w:tc>
          <w:tcPr>
            <w:tcW w:w="1335" w:type="pct"/>
            <w:vAlign w:val="center"/>
          </w:tcPr>
          <w:p>
            <w:pPr>
              <w:pStyle w:val="219"/>
              <w:rPr>
                <w:snapToGrid w:val="0"/>
              </w:rPr>
            </w:pPr>
            <w:r>
              <w:rPr>
                <w:snapToGrid w:val="0"/>
              </w:rPr>
              <w:t>360*</w:t>
            </w:r>
          </w:p>
        </w:tc>
        <w:tc>
          <w:tcPr>
            <w:tcW w:w="2156" w:type="pct"/>
            <w:vMerge w:val="continue"/>
            <w:shd w:val="clear" w:color="auto" w:fill="auto"/>
            <w:noWrap/>
            <w:vAlign w:val="center"/>
          </w:tcPr>
          <w:p>
            <w:pPr>
              <w:pStyle w:val="219"/>
              <w:rPr>
                <w:snapToGrid w:val="0"/>
              </w:rPr>
            </w:pPr>
          </w:p>
        </w:tc>
      </w:tr>
    </w:tbl>
    <w:p>
      <w:pPr>
        <w:pStyle w:val="3185"/>
      </w:pPr>
      <w:r>
        <w:t>注：表中“*”为评价因子无“1小时平均”浓度限值，取“24小时平均”浓度限值3倍。</w:t>
      </w:r>
    </w:p>
    <w:p>
      <w:pPr>
        <w:pStyle w:val="222"/>
      </w:pPr>
      <w:r>
        <w:t>（2）估算模型参数</w:t>
      </w:r>
    </w:p>
    <w:p>
      <w:pPr>
        <w:pStyle w:val="222"/>
      </w:pPr>
      <w:r>
        <w:t>估算模型参数见下表。</w:t>
      </w:r>
    </w:p>
    <w:p>
      <w:pPr>
        <w:pStyle w:val="84"/>
      </w:pPr>
      <w:r>
        <w:t>表1.6-3  估算模型参数一览表</w:t>
      </w:r>
    </w:p>
    <w:tbl>
      <w:tblPr>
        <w:tblStyle w:val="8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98"/>
        <w:gridCol w:w="4333"/>
        <w:gridCol w:w="305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3355" w:type="pct"/>
            <w:gridSpan w:val="2"/>
            <w:shd w:val="clear" w:color="auto" w:fill="D8D8D8" w:themeFill="background1" w:themeFillShade="D9"/>
            <w:vAlign w:val="center"/>
          </w:tcPr>
          <w:p>
            <w:pPr>
              <w:pStyle w:val="3238"/>
              <w:rPr>
                <w:snapToGrid w:val="0"/>
              </w:rPr>
            </w:pPr>
            <w:r>
              <w:rPr>
                <w:snapToGrid w:val="0"/>
              </w:rPr>
              <w:t>选项</w:t>
            </w:r>
          </w:p>
        </w:tc>
        <w:tc>
          <w:tcPr>
            <w:tcW w:w="1645" w:type="pct"/>
            <w:shd w:val="clear" w:color="auto" w:fill="D8D8D8" w:themeFill="background1" w:themeFillShade="D9"/>
            <w:noWrap/>
            <w:vAlign w:val="center"/>
          </w:tcPr>
          <w:p>
            <w:pPr>
              <w:pStyle w:val="3238"/>
              <w:rPr>
                <w:snapToGrid w:val="0"/>
              </w:rPr>
            </w:pPr>
            <w:r>
              <w:rPr>
                <w:snapToGrid w:val="0"/>
              </w:rPr>
              <w:t>参数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restart"/>
            <w:shd w:val="clear" w:color="auto" w:fill="auto"/>
            <w:vAlign w:val="center"/>
          </w:tcPr>
          <w:p>
            <w:pPr>
              <w:pStyle w:val="3238"/>
              <w:rPr>
                <w:b/>
                <w:snapToGrid w:val="0"/>
              </w:rPr>
            </w:pPr>
            <w:r>
              <w:rPr>
                <w:snapToGrid w:val="0"/>
              </w:rPr>
              <w:t>城市/农村选项</w:t>
            </w:r>
          </w:p>
        </w:tc>
        <w:tc>
          <w:tcPr>
            <w:tcW w:w="2333" w:type="pct"/>
            <w:shd w:val="clear" w:color="auto" w:fill="auto"/>
            <w:noWrap/>
            <w:vAlign w:val="center"/>
          </w:tcPr>
          <w:p>
            <w:pPr>
              <w:pStyle w:val="3238"/>
              <w:rPr>
                <w:b/>
                <w:snapToGrid w:val="0"/>
              </w:rPr>
            </w:pPr>
            <w:r>
              <w:rPr>
                <w:snapToGrid w:val="0"/>
              </w:rPr>
              <w:t>城市/农村</w:t>
            </w:r>
          </w:p>
        </w:tc>
        <w:tc>
          <w:tcPr>
            <w:tcW w:w="1645" w:type="pct"/>
            <w:shd w:val="clear" w:color="auto" w:fill="auto"/>
            <w:noWrap/>
            <w:vAlign w:val="center"/>
          </w:tcPr>
          <w:p>
            <w:pPr>
              <w:pStyle w:val="3238"/>
              <w:rPr>
                <w:b/>
                <w:snapToGrid w:val="0"/>
              </w:rPr>
            </w:pPr>
            <w:r>
              <w:rPr>
                <w:snapToGrid w:val="0"/>
              </w:rPr>
              <w:t>农村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continue"/>
            <w:vAlign w:val="center"/>
          </w:tcPr>
          <w:p>
            <w:pPr>
              <w:pStyle w:val="3238"/>
              <w:rPr>
                <w:snapToGrid w:val="0"/>
              </w:rPr>
            </w:pPr>
          </w:p>
        </w:tc>
        <w:tc>
          <w:tcPr>
            <w:tcW w:w="2333" w:type="pct"/>
            <w:shd w:val="clear" w:color="auto" w:fill="auto"/>
            <w:noWrap/>
            <w:vAlign w:val="center"/>
          </w:tcPr>
          <w:p>
            <w:pPr>
              <w:pStyle w:val="3238"/>
              <w:rPr>
                <w:b/>
                <w:snapToGrid w:val="0"/>
              </w:rPr>
            </w:pPr>
            <w:r>
              <w:rPr>
                <w:snapToGrid w:val="0"/>
              </w:rPr>
              <w:t>人口数（城市选项时）</w:t>
            </w:r>
          </w:p>
        </w:tc>
        <w:tc>
          <w:tcPr>
            <w:tcW w:w="1645" w:type="pct"/>
            <w:shd w:val="clear" w:color="auto" w:fill="auto"/>
            <w:noWrap/>
            <w:vAlign w:val="center"/>
          </w:tcPr>
          <w:p>
            <w:pPr>
              <w:pStyle w:val="3238"/>
              <w:rPr>
                <w:snapToGrid w:val="0"/>
              </w:rPr>
            </w:pPr>
            <w:r>
              <w:rPr>
                <w:snapToGrid w:val="0"/>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3355" w:type="pct"/>
            <w:gridSpan w:val="2"/>
            <w:shd w:val="clear" w:color="auto" w:fill="auto"/>
            <w:vAlign w:val="center"/>
          </w:tcPr>
          <w:p>
            <w:pPr>
              <w:pStyle w:val="3238"/>
              <w:rPr>
                <w:b/>
                <w:snapToGrid w:val="0"/>
              </w:rPr>
            </w:pPr>
            <w:r>
              <w:rPr>
                <w:snapToGrid w:val="0"/>
              </w:rPr>
              <w:t>最高环境温度/℃</w:t>
            </w:r>
          </w:p>
        </w:tc>
        <w:tc>
          <w:tcPr>
            <w:tcW w:w="1645" w:type="pct"/>
            <w:shd w:val="clear" w:color="auto" w:fill="auto"/>
            <w:noWrap/>
            <w:vAlign w:val="center"/>
          </w:tcPr>
          <w:p>
            <w:pPr>
              <w:pStyle w:val="3238"/>
              <w:rPr>
                <w:b/>
                <w:snapToGrid w:val="0"/>
              </w:rPr>
            </w:pPr>
            <w:r>
              <w:t>42.7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3355" w:type="pct"/>
            <w:gridSpan w:val="2"/>
            <w:shd w:val="clear" w:color="auto" w:fill="auto"/>
            <w:vAlign w:val="center"/>
          </w:tcPr>
          <w:p>
            <w:pPr>
              <w:pStyle w:val="3238"/>
              <w:rPr>
                <w:b/>
                <w:snapToGrid w:val="0"/>
              </w:rPr>
            </w:pPr>
            <w:r>
              <w:rPr>
                <w:snapToGrid w:val="0"/>
              </w:rPr>
              <w:t>最低环境温度/℃</w:t>
            </w:r>
          </w:p>
        </w:tc>
        <w:tc>
          <w:tcPr>
            <w:tcW w:w="1645" w:type="pct"/>
            <w:shd w:val="clear" w:color="auto" w:fill="auto"/>
            <w:noWrap/>
            <w:vAlign w:val="center"/>
          </w:tcPr>
          <w:p>
            <w:pPr>
              <w:pStyle w:val="3238"/>
              <w:rPr>
                <w:b/>
                <w:snapToGrid w:val="0"/>
              </w:rPr>
            </w:pPr>
            <w:r>
              <w:t>-1.9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3355" w:type="pct"/>
            <w:gridSpan w:val="2"/>
            <w:shd w:val="clear" w:color="auto" w:fill="auto"/>
            <w:vAlign w:val="center"/>
          </w:tcPr>
          <w:p>
            <w:pPr>
              <w:pStyle w:val="3238"/>
              <w:rPr>
                <w:b/>
                <w:snapToGrid w:val="0"/>
              </w:rPr>
            </w:pPr>
            <w:r>
              <w:rPr>
                <w:snapToGrid w:val="0"/>
              </w:rPr>
              <w:t>土地利用类型</w:t>
            </w:r>
          </w:p>
        </w:tc>
        <w:tc>
          <w:tcPr>
            <w:tcW w:w="1645" w:type="pct"/>
            <w:shd w:val="clear" w:color="auto" w:fill="auto"/>
            <w:noWrap/>
            <w:vAlign w:val="center"/>
          </w:tcPr>
          <w:p>
            <w:pPr>
              <w:pStyle w:val="3238"/>
              <w:rPr>
                <w:b/>
                <w:snapToGrid w:val="0"/>
              </w:rPr>
            </w:pPr>
            <w:r>
              <w:t>落叶林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3355" w:type="pct"/>
            <w:gridSpan w:val="2"/>
            <w:shd w:val="clear" w:color="auto" w:fill="auto"/>
            <w:vAlign w:val="center"/>
          </w:tcPr>
          <w:p>
            <w:pPr>
              <w:pStyle w:val="3238"/>
              <w:rPr>
                <w:b/>
                <w:snapToGrid w:val="0"/>
              </w:rPr>
            </w:pPr>
            <w:r>
              <w:rPr>
                <w:snapToGrid w:val="0"/>
              </w:rPr>
              <w:t>区域湿度条件</w:t>
            </w:r>
          </w:p>
        </w:tc>
        <w:tc>
          <w:tcPr>
            <w:tcW w:w="1645" w:type="pct"/>
            <w:shd w:val="clear" w:color="auto" w:fill="auto"/>
            <w:noWrap/>
            <w:vAlign w:val="center"/>
          </w:tcPr>
          <w:p>
            <w:pPr>
              <w:pStyle w:val="3238"/>
              <w:rPr>
                <w:b/>
                <w:snapToGrid w:val="0"/>
              </w:rPr>
            </w:pPr>
            <w:r>
              <w:t>潮湿</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restart"/>
            <w:shd w:val="clear" w:color="auto" w:fill="auto"/>
            <w:vAlign w:val="center"/>
          </w:tcPr>
          <w:p>
            <w:pPr>
              <w:pStyle w:val="3238"/>
              <w:rPr>
                <w:b/>
                <w:snapToGrid w:val="0"/>
              </w:rPr>
            </w:pPr>
            <w:r>
              <w:rPr>
                <w:snapToGrid w:val="0"/>
              </w:rPr>
              <w:t>是否考虑地形</w:t>
            </w:r>
          </w:p>
        </w:tc>
        <w:tc>
          <w:tcPr>
            <w:tcW w:w="2333" w:type="pct"/>
            <w:shd w:val="clear" w:color="auto" w:fill="auto"/>
            <w:noWrap/>
            <w:vAlign w:val="center"/>
          </w:tcPr>
          <w:p>
            <w:pPr>
              <w:pStyle w:val="3238"/>
              <w:rPr>
                <w:b/>
                <w:snapToGrid w:val="0"/>
              </w:rPr>
            </w:pPr>
            <w:r>
              <w:rPr>
                <w:snapToGrid w:val="0"/>
              </w:rPr>
              <w:t>考虑地形</w:t>
            </w:r>
          </w:p>
        </w:tc>
        <w:tc>
          <w:tcPr>
            <w:tcW w:w="1645" w:type="pct"/>
            <w:shd w:val="clear" w:color="auto" w:fill="auto"/>
            <w:noWrap/>
            <w:vAlign w:val="center"/>
          </w:tcPr>
          <w:p>
            <w:pPr>
              <w:pStyle w:val="3238"/>
              <w:rPr>
                <w:b/>
                <w:snapToGrid w:val="0"/>
              </w:rPr>
            </w:pPr>
            <w:r>
              <w:rPr>
                <w:snapToGrid w:val="0"/>
              </w:rPr>
              <w:t>■是   □否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continue"/>
            <w:vAlign w:val="center"/>
          </w:tcPr>
          <w:p>
            <w:pPr>
              <w:pStyle w:val="3238"/>
              <w:rPr>
                <w:snapToGrid w:val="0"/>
              </w:rPr>
            </w:pPr>
          </w:p>
        </w:tc>
        <w:tc>
          <w:tcPr>
            <w:tcW w:w="2333" w:type="pct"/>
            <w:shd w:val="clear" w:color="auto" w:fill="auto"/>
            <w:noWrap/>
            <w:vAlign w:val="center"/>
          </w:tcPr>
          <w:p>
            <w:pPr>
              <w:pStyle w:val="3238"/>
              <w:rPr>
                <w:b/>
                <w:snapToGrid w:val="0"/>
              </w:rPr>
            </w:pPr>
            <w:r>
              <w:rPr>
                <w:snapToGrid w:val="0"/>
              </w:rPr>
              <w:t>地形数据分辨率/m</w:t>
            </w:r>
          </w:p>
        </w:tc>
        <w:tc>
          <w:tcPr>
            <w:tcW w:w="1645" w:type="pct"/>
            <w:shd w:val="clear" w:color="auto" w:fill="auto"/>
            <w:noWrap/>
            <w:vAlign w:val="center"/>
          </w:tcPr>
          <w:p>
            <w:pPr>
              <w:pStyle w:val="3238"/>
              <w:rPr>
                <w:b/>
                <w:snapToGrid w:val="0"/>
              </w:rPr>
            </w:pPr>
            <w:r>
              <w:rPr>
                <w:snapToGrid w:val="0"/>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restart"/>
            <w:shd w:val="clear" w:color="auto" w:fill="auto"/>
            <w:vAlign w:val="center"/>
          </w:tcPr>
          <w:p>
            <w:pPr>
              <w:pStyle w:val="3238"/>
              <w:rPr>
                <w:b/>
                <w:snapToGrid w:val="0"/>
              </w:rPr>
            </w:pPr>
            <w:r>
              <w:rPr>
                <w:snapToGrid w:val="0"/>
              </w:rPr>
              <w:t>是否考虑岸线熏烟</w:t>
            </w:r>
          </w:p>
        </w:tc>
        <w:tc>
          <w:tcPr>
            <w:tcW w:w="2333" w:type="pct"/>
            <w:shd w:val="clear" w:color="auto" w:fill="auto"/>
            <w:noWrap/>
            <w:vAlign w:val="center"/>
          </w:tcPr>
          <w:p>
            <w:pPr>
              <w:pStyle w:val="3238"/>
              <w:rPr>
                <w:b/>
                <w:snapToGrid w:val="0"/>
              </w:rPr>
            </w:pPr>
            <w:r>
              <w:rPr>
                <w:snapToGrid w:val="0"/>
              </w:rPr>
              <w:t>考虑海岸线熏烟</w:t>
            </w:r>
          </w:p>
        </w:tc>
        <w:tc>
          <w:tcPr>
            <w:tcW w:w="1645" w:type="pct"/>
            <w:shd w:val="clear" w:color="auto" w:fill="auto"/>
            <w:noWrap/>
            <w:vAlign w:val="center"/>
          </w:tcPr>
          <w:p>
            <w:pPr>
              <w:pStyle w:val="3238"/>
              <w:rPr>
                <w:b/>
                <w:snapToGrid w:val="0"/>
              </w:rPr>
            </w:pPr>
            <w:r>
              <w:rPr>
                <w:snapToGrid w:val="0"/>
              </w:rPr>
              <w:t>□是   ■否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continue"/>
            <w:vAlign w:val="center"/>
          </w:tcPr>
          <w:p>
            <w:pPr>
              <w:pStyle w:val="3238"/>
              <w:rPr>
                <w:snapToGrid w:val="0"/>
              </w:rPr>
            </w:pPr>
          </w:p>
        </w:tc>
        <w:tc>
          <w:tcPr>
            <w:tcW w:w="2333" w:type="pct"/>
            <w:shd w:val="clear" w:color="auto" w:fill="auto"/>
            <w:noWrap/>
            <w:vAlign w:val="center"/>
          </w:tcPr>
          <w:p>
            <w:pPr>
              <w:pStyle w:val="3238"/>
              <w:rPr>
                <w:b/>
                <w:snapToGrid w:val="0"/>
              </w:rPr>
            </w:pPr>
            <w:r>
              <w:rPr>
                <w:snapToGrid w:val="0"/>
              </w:rPr>
              <w:t>岸线距离/km</w:t>
            </w:r>
          </w:p>
        </w:tc>
        <w:tc>
          <w:tcPr>
            <w:tcW w:w="1645" w:type="pct"/>
            <w:shd w:val="clear" w:color="auto" w:fill="auto"/>
            <w:noWrap/>
            <w:vAlign w:val="center"/>
          </w:tcPr>
          <w:p>
            <w:pPr>
              <w:pStyle w:val="3238"/>
              <w:rPr>
                <w:snapToGrid w:val="0"/>
              </w:rPr>
            </w:pPr>
            <w:r>
              <w:rPr>
                <w:snapToGrid w:val="0"/>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4" w:hRule="atLeast"/>
          <w:jc w:val="center"/>
        </w:trPr>
        <w:tc>
          <w:tcPr>
            <w:tcW w:w="1022" w:type="pct"/>
            <w:vMerge w:val="continue"/>
            <w:vAlign w:val="center"/>
          </w:tcPr>
          <w:p>
            <w:pPr>
              <w:pStyle w:val="3238"/>
              <w:rPr>
                <w:snapToGrid w:val="0"/>
              </w:rPr>
            </w:pPr>
          </w:p>
        </w:tc>
        <w:tc>
          <w:tcPr>
            <w:tcW w:w="2333" w:type="pct"/>
            <w:shd w:val="clear" w:color="auto" w:fill="auto"/>
            <w:noWrap/>
            <w:vAlign w:val="center"/>
          </w:tcPr>
          <w:p>
            <w:pPr>
              <w:pStyle w:val="3238"/>
              <w:rPr>
                <w:b/>
                <w:snapToGrid w:val="0"/>
              </w:rPr>
            </w:pPr>
            <w:r>
              <w:rPr>
                <w:snapToGrid w:val="0"/>
              </w:rPr>
              <w:t>岸线方向/°</w:t>
            </w:r>
          </w:p>
        </w:tc>
        <w:tc>
          <w:tcPr>
            <w:tcW w:w="1645" w:type="pct"/>
            <w:shd w:val="clear" w:color="auto" w:fill="auto"/>
            <w:noWrap/>
            <w:vAlign w:val="center"/>
          </w:tcPr>
          <w:p>
            <w:pPr>
              <w:pStyle w:val="3238"/>
              <w:rPr>
                <w:snapToGrid w:val="0"/>
              </w:rPr>
            </w:pPr>
            <w:r>
              <w:rPr>
                <w:snapToGrid w:val="0"/>
              </w:rPr>
              <w:t>/</w:t>
            </w:r>
          </w:p>
        </w:tc>
      </w:tr>
    </w:tbl>
    <w:p>
      <w:pPr>
        <w:spacing w:line="320" w:lineRule="exact"/>
        <w:ind w:firstLine="0" w:firstLineChars="0"/>
        <w:jc w:val="both"/>
        <w:rPr>
          <w:sz w:val="21"/>
          <w:szCs w:val="21"/>
        </w:rPr>
      </w:pPr>
    </w:p>
    <w:p>
      <w:pPr>
        <w:spacing w:line="360" w:lineRule="auto"/>
        <w:ind w:firstLine="480"/>
        <w:jc w:val="both"/>
        <w:rPr>
          <w:sz w:val="24"/>
          <w:szCs w:val="26"/>
        </w:rPr>
      </w:pPr>
      <w:r>
        <w:rPr>
          <w:sz w:val="24"/>
          <w:szCs w:val="26"/>
        </w:rPr>
        <w:t>（3）污染源参数</w:t>
      </w:r>
    </w:p>
    <w:p>
      <w:pPr>
        <w:pStyle w:val="222"/>
      </w:pPr>
      <w:r>
        <w:t>项目将采区和工业场地分别作为一个面源进行预测。</w:t>
      </w:r>
      <w:r>
        <w:rPr>
          <w:bCs/>
        </w:rPr>
        <w:t>本项目点源参数、矩形面源参数见下表</w:t>
      </w:r>
      <w:r>
        <w:t>。</w:t>
      </w:r>
    </w:p>
    <w:p>
      <w:pPr>
        <w:spacing w:line="460" w:lineRule="exact"/>
        <w:ind w:firstLine="520"/>
        <w:jc w:val="both"/>
        <w:rPr>
          <w:szCs w:val="26"/>
        </w:rPr>
      </w:pPr>
    </w:p>
    <w:p>
      <w:pPr>
        <w:spacing w:line="460" w:lineRule="exact"/>
        <w:ind w:firstLine="520"/>
        <w:jc w:val="both"/>
        <w:rPr>
          <w:szCs w:val="26"/>
        </w:rPr>
        <w:sectPr>
          <w:headerReference r:id="rId15" w:type="first"/>
          <w:footerReference r:id="rId17" w:type="first"/>
          <w:headerReference r:id="rId13" w:type="default"/>
          <w:headerReference r:id="rId14" w:type="even"/>
          <w:footerReference r:id="rId16" w:type="even"/>
          <w:endnotePr>
            <w:numFmt w:val="decimal"/>
          </w:endnotePr>
          <w:pgSz w:w="11907" w:h="16840"/>
          <w:pgMar w:top="1588" w:right="1418" w:bottom="1366" w:left="1418" w:header="1134" w:footer="907" w:gutter="0"/>
          <w:cols w:space="720" w:num="1"/>
          <w:docGrid w:linePitch="354" w:charSpace="0"/>
        </w:sectPr>
      </w:pPr>
    </w:p>
    <w:p>
      <w:pPr>
        <w:spacing w:line="460" w:lineRule="atLeast"/>
        <w:ind w:firstLine="480"/>
        <w:jc w:val="center"/>
        <w:rPr>
          <w:bCs/>
          <w:sz w:val="22"/>
          <w:szCs w:val="21"/>
          <w:lang w:bidi="en-US"/>
        </w:rPr>
      </w:pPr>
      <w:r>
        <w:rPr>
          <w:bCs/>
          <w:snapToGrid w:val="0"/>
          <w:kern w:val="0"/>
          <w:sz w:val="24"/>
          <w:szCs w:val="26"/>
          <w:lang w:val="ru-RU"/>
        </w:rPr>
        <w:t>表1.6-4</w:t>
      </w:r>
      <w:r>
        <w:rPr>
          <w:bCs/>
          <w:snapToGrid w:val="0"/>
          <w:kern w:val="0"/>
          <w:sz w:val="24"/>
          <w:szCs w:val="26"/>
        </w:rPr>
        <w:t xml:space="preserve"> </w:t>
      </w:r>
      <w:r>
        <w:rPr>
          <w:bCs/>
          <w:sz w:val="24"/>
        </w:rPr>
        <w:t xml:space="preserve">   点源参数表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1458"/>
        <w:gridCol w:w="1609"/>
        <w:gridCol w:w="1066"/>
        <w:gridCol w:w="933"/>
        <w:gridCol w:w="1001"/>
        <w:gridCol w:w="1783"/>
        <w:gridCol w:w="1156"/>
        <w:gridCol w:w="1519"/>
        <w:gridCol w:w="995"/>
        <w:gridCol w:w="1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49" w:type="pct"/>
            <w:vMerge w:val="restart"/>
            <w:shd w:val="clear" w:color="auto" w:fill="D8D8D8" w:themeFill="background1" w:themeFillShade="D9"/>
            <w:vAlign w:val="center"/>
          </w:tcPr>
          <w:p>
            <w:pPr>
              <w:pStyle w:val="3238"/>
            </w:pPr>
            <w:r>
              <w:t>排气筒编号</w:t>
            </w:r>
          </w:p>
        </w:tc>
        <w:tc>
          <w:tcPr>
            <w:tcW w:w="1079" w:type="pct"/>
            <w:gridSpan w:val="2"/>
            <w:shd w:val="clear" w:color="auto" w:fill="D8D8D8" w:themeFill="background1" w:themeFillShade="D9"/>
            <w:vAlign w:val="center"/>
          </w:tcPr>
          <w:p>
            <w:pPr>
              <w:pStyle w:val="3238"/>
            </w:pPr>
            <w:r>
              <w:t>排气筒底部中心坐标/m</w:t>
            </w:r>
          </w:p>
        </w:tc>
        <w:tc>
          <w:tcPr>
            <w:tcW w:w="376" w:type="pct"/>
            <w:vMerge w:val="restart"/>
            <w:shd w:val="clear" w:color="auto" w:fill="D8D8D8" w:themeFill="background1" w:themeFillShade="D9"/>
            <w:vAlign w:val="center"/>
          </w:tcPr>
          <w:p>
            <w:pPr>
              <w:pStyle w:val="3238"/>
            </w:pPr>
            <w:r>
              <w:t>排气筒底部海拔高度m</w:t>
            </w:r>
          </w:p>
        </w:tc>
        <w:tc>
          <w:tcPr>
            <w:tcW w:w="329" w:type="pct"/>
            <w:vMerge w:val="restart"/>
            <w:shd w:val="clear" w:color="auto" w:fill="D8D8D8" w:themeFill="background1" w:themeFillShade="D9"/>
            <w:vAlign w:val="center"/>
          </w:tcPr>
          <w:p>
            <w:pPr>
              <w:pStyle w:val="3238"/>
            </w:pPr>
            <w:r>
              <w:t>排气筒高度m</w:t>
            </w:r>
          </w:p>
        </w:tc>
        <w:tc>
          <w:tcPr>
            <w:tcW w:w="353" w:type="pct"/>
            <w:vMerge w:val="restart"/>
            <w:shd w:val="clear" w:color="auto" w:fill="D8D8D8" w:themeFill="background1" w:themeFillShade="D9"/>
            <w:vAlign w:val="center"/>
          </w:tcPr>
          <w:p>
            <w:pPr>
              <w:pStyle w:val="3238"/>
            </w:pPr>
            <w:r>
              <w:t>排气筒出口内径m</w:t>
            </w:r>
          </w:p>
        </w:tc>
        <w:tc>
          <w:tcPr>
            <w:tcW w:w="628" w:type="pct"/>
            <w:vMerge w:val="restart"/>
            <w:shd w:val="clear" w:color="auto" w:fill="D8D8D8" w:themeFill="background1" w:themeFillShade="D9"/>
            <w:vAlign w:val="center"/>
          </w:tcPr>
          <w:p>
            <w:pPr>
              <w:pStyle w:val="3238"/>
            </w:pPr>
            <w:r>
              <w:t>烟气流速m/s</w:t>
            </w:r>
          </w:p>
        </w:tc>
        <w:tc>
          <w:tcPr>
            <w:tcW w:w="408" w:type="pct"/>
            <w:vMerge w:val="restart"/>
            <w:shd w:val="clear" w:color="auto" w:fill="D8D8D8" w:themeFill="background1" w:themeFillShade="D9"/>
            <w:vAlign w:val="center"/>
          </w:tcPr>
          <w:p>
            <w:pPr>
              <w:pStyle w:val="3238"/>
            </w:pPr>
            <w:r>
              <w:t>烟气温度</w:t>
            </w:r>
          </w:p>
          <w:p>
            <w:pPr>
              <w:pStyle w:val="3238"/>
            </w:pPr>
            <w:r>
              <w:t>℃</w:t>
            </w:r>
          </w:p>
        </w:tc>
        <w:tc>
          <w:tcPr>
            <w:tcW w:w="535" w:type="pct"/>
            <w:vMerge w:val="restart"/>
            <w:shd w:val="clear" w:color="auto" w:fill="D8D8D8" w:themeFill="background1" w:themeFillShade="D9"/>
            <w:vAlign w:val="center"/>
          </w:tcPr>
          <w:p>
            <w:pPr>
              <w:pStyle w:val="3238"/>
            </w:pPr>
            <w:r>
              <w:t>年排放小时数h</w:t>
            </w:r>
          </w:p>
        </w:tc>
        <w:tc>
          <w:tcPr>
            <w:tcW w:w="351" w:type="pct"/>
            <w:vMerge w:val="restart"/>
            <w:shd w:val="clear" w:color="auto" w:fill="D8D8D8" w:themeFill="background1" w:themeFillShade="D9"/>
            <w:vAlign w:val="center"/>
          </w:tcPr>
          <w:p>
            <w:pPr>
              <w:pStyle w:val="3238"/>
            </w:pPr>
            <w:r>
              <w:t>排放工况</w:t>
            </w:r>
          </w:p>
        </w:tc>
        <w:tc>
          <w:tcPr>
            <w:tcW w:w="487" w:type="pct"/>
            <w:shd w:val="clear" w:color="auto" w:fill="D8D8D8" w:themeFill="background1" w:themeFillShade="D9"/>
            <w:vAlign w:val="center"/>
          </w:tcPr>
          <w:p>
            <w:pPr>
              <w:pStyle w:val="3238"/>
            </w:pPr>
            <w: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9" w:hRule="atLeast"/>
          <w:jc w:val="center"/>
        </w:trPr>
        <w:tc>
          <w:tcPr>
            <w:tcW w:w="449" w:type="pct"/>
            <w:vMerge w:val="continue"/>
            <w:shd w:val="clear" w:color="auto" w:fill="D8D8D8" w:themeFill="background1" w:themeFillShade="D9"/>
            <w:vAlign w:val="center"/>
          </w:tcPr>
          <w:p>
            <w:pPr>
              <w:pStyle w:val="3238"/>
            </w:pPr>
          </w:p>
        </w:tc>
        <w:tc>
          <w:tcPr>
            <w:tcW w:w="513" w:type="pct"/>
            <w:shd w:val="clear" w:color="auto" w:fill="D8D8D8" w:themeFill="background1" w:themeFillShade="D9"/>
            <w:vAlign w:val="center"/>
          </w:tcPr>
          <w:p>
            <w:pPr>
              <w:pStyle w:val="3238"/>
            </w:pPr>
            <w:r>
              <w:t>X</w:t>
            </w:r>
          </w:p>
        </w:tc>
        <w:tc>
          <w:tcPr>
            <w:tcW w:w="565" w:type="pct"/>
            <w:shd w:val="clear" w:color="auto" w:fill="D8D8D8" w:themeFill="background1" w:themeFillShade="D9"/>
            <w:vAlign w:val="center"/>
          </w:tcPr>
          <w:p>
            <w:pPr>
              <w:pStyle w:val="3238"/>
            </w:pPr>
            <w:r>
              <w:t>Y</w:t>
            </w:r>
          </w:p>
        </w:tc>
        <w:tc>
          <w:tcPr>
            <w:tcW w:w="376" w:type="pct"/>
            <w:vMerge w:val="continue"/>
            <w:shd w:val="clear" w:color="auto" w:fill="D8D8D8" w:themeFill="background1" w:themeFillShade="D9"/>
            <w:vAlign w:val="center"/>
          </w:tcPr>
          <w:p>
            <w:pPr>
              <w:pStyle w:val="3238"/>
            </w:pPr>
          </w:p>
        </w:tc>
        <w:tc>
          <w:tcPr>
            <w:tcW w:w="329" w:type="pct"/>
            <w:vMerge w:val="continue"/>
            <w:shd w:val="clear" w:color="auto" w:fill="D8D8D8" w:themeFill="background1" w:themeFillShade="D9"/>
            <w:vAlign w:val="center"/>
          </w:tcPr>
          <w:p>
            <w:pPr>
              <w:pStyle w:val="3238"/>
            </w:pPr>
          </w:p>
        </w:tc>
        <w:tc>
          <w:tcPr>
            <w:tcW w:w="353" w:type="pct"/>
            <w:vMerge w:val="continue"/>
            <w:shd w:val="clear" w:color="auto" w:fill="D8D8D8" w:themeFill="background1" w:themeFillShade="D9"/>
            <w:vAlign w:val="center"/>
          </w:tcPr>
          <w:p>
            <w:pPr>
              <w:pStyle w:val="3238"/>
            </w:pPr>
          </w:p>
        </w:tc>
        <w:tc>
          <w:tcPr>
            <w:tcW w:w="628" w:type="pct"/>
            <w:vMerge w:val="continue"/>
            <w:shd w:val="clear" w:color="auto" w:fill="D8D8D8" w:themeFill="background1" w:themeFillShade="D9"/>
            <w:vAlign w:val="center"/>
          </w:tcPr>
          <w:p>
            <w:pPr>
              <w:pStyle w:val="3238"/>
            </w:pPr>
          </w:p>
        </w:tc>
        <w:tc>
          <w:tcPr>
            <w:tcW w:w="408" w:type="pct"/>
            <w:vMerge w:val="continue"/>
            <w:shd w:val="clear" w:color="auto" w:fill="D8D8D8" w:themeFill="background1" w:themeFillShade="D9"/>
            <w:vAlign w:val="center"/>
          </w:tcPr>
          <w:p>
            <w:pPr>
              <w:pStyle w:val="3238"/>
            </w:pPr>
          </w:p>
        </w:tc>
        <w:tc>
          <w:tcPr>
            <w:tcW w:w="535" w:type="pct"/>
            <w:vMerge w:val="continue"/>
            <w:shd w:val="clear" w:color="auto" w:fill="D8D8D8" w:themeFill="background1" w:themeFillShade="D9"/>
            <w:vAlign w:val="center"/>
          </w:tcPr>
          <w:p>
            <w:pPr>
              <w:pStyle w:val="3238"/>
            </w:pPr>
          </w:p>
        </w:tc>
        <w:tc>
          <w:tcPr>
            <w:tcW w:w="351" w:type="pct"/>
            <w:vMerge w:val="continue"/>
            <w:shd w:val="clear" w:color="auto" w:fill="D8D8D8" w:themeFill="background1" w:themeFillShade="D9"/>
            <w:vAlign w:val="center"/>
          </w:tcPr>
          <w:p>
            <w:pPr>
              <w:pStyle w:val="3238"/>
            </w:pPr>
          </w:p>
        </w:tc>
        <w:tc>
          <w:tcPr>
            <w:tcW w:w="487" w:type="pct"/>
            <w:shd w:val="clear" w:color="auto" w:fill="D8D8D8" w:themeFill="background1" w:themeFillShade="D9"/>
            <w:vAlign w:val="center"/>
          </w:tcPr>
          <w:p>
            <w:pPr>
              <w:pStyle w:val="3238"/>
            </w:pPr>
            <w:r>
              <w:t>PM</w:t>
            </w:r>
            <w:r>
              <w:rPr>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49" w:type="pct"/>
            <w:shd w:val="clear" w:color="auto" w:fill="auto"/>
            <w:vAlign w:val="center"/>
          </w:tcPr>
          <w:p>
            <w:pPr>
              <w:pStyle w:val="3238"/>
            </w:pPr>
            <w:r>
              <w:t>DA001</w:t>
            </w:r>
          </w:p>
        </w:tc>
        <w:tc>
          <w:tcPr>
            <w:tcW w:w="513" w:type="pct"/>
            <w:shd w:val="clear" w:color="auto" w:fill="auto"/>
            <w:vAlign w:val="center"/>
          </w:tcPr>
          <w:p>
            <w:pPr>
              <w:pStyle w:val="3238"/>
            </w:pPr>
            <w:r>
              <w:t>940</w:t>
            </w:r>
          </w:p>
        </w:tc>
        <w:tc>
          <w:tcPr>
            <w:tcW w:w="565" w:type="pct"/>
            <w:shd w:val="clear" w:color="auto" w:fill="auto"/>
            <w:vAlign w:val="center"/>
          </w:tcPr>
          <w:p>
            <w:pPr>
              <w:pStyle w:val="3238"/>
            </w:pPr>
            <w:r>
              <w:t>527</w:t>
            </w:r>
          </w:p>
        </w:tc>
        <w:tc>
          <w:tcPr>
            <w:tcW w:w="376" w:type="pct"/>
            <w:shd w:val="clear" w:color="auto" w:fill="auto"/>
            <w:vAlign w:val="center"/>
          </w:tcPr>
          <w:p>
            <w:pPr>
              <w:pStyle w:val="3238"/>
            </w:pPr>
            <w:r>
              <w:t>310</w:t>
            </w:r>
          </w:p>
        </w:tc>
        <w:tc>
          <w:tcPr>
            <w:tcW w:w="329" w:type="pct"/>
            <w:shd w:val="clear" w:color="auto" w:fill="auto"/>
            <w:vAlign w:val="center"/>
          </w:tcPr>
          <w:p>
            <w:pPr>
              <w:pStyle w:val="3238"/>
            </w:pPr>
            <w:r>
              <w:t>15</w:t>
            </w:r>
          </w:p>
        </w:tc>
        <w:tc>
          <w:tcPr>
            <w:tcW w:w="353" w:type="pct"/>
            <w:vAlign w:val="center"/>
          </w:tcPr>
          <w:p>
            <w:pPr>
              <w:pStyle w:val="3238"/>
            </w:pPr>
            <w:r>
              <w:t>0.3</w:t>
            </w:r>
          </w:p>
        </w:tc>
        <w:tc>
          <w:tcPr>
            <w:tcW w:w="628" w:type="pct"/>
            <w:shd w:val="clear" w:color="auto" w:fill="auto"/>
            <w:vAlign w:val="center"/>
          </w:tcPr>
          <w:p>
            <w:pPr>
              <w:pStyle w:val="3238"/>
            </w:pPr>
            <w:r>
              <w:t>19.6/5000</w:t>
            </w:r>
          </w:p>
        </w:tc>
        <w:tc>
          <w:tcPr>
            <w:tcW w:w="408" w:type="pct"/>
            <w:shd w:val="clear" w:color="auto" w:fill="auto"/>
            <w:vAlign w:val="center"/>
          </w:tcPr>
          <w:p>
            <w:pPr>
              <w:pStyle w:val="3238"/>
            </w:pPr>
            <w:r>
              <w:t>常温</w:t>
            </w:r>
          </w:p>
        </w:tc>
        <w:tc>
          <w:tcPr>
            <w:tcW w:w="535" w:type="pct"/>
            <w:shd w:val="clear" w:color="auto" w:fill="auto"/>
          </w:tcPr>
          <w:p>
            <w:pPr>
              <w:pStyle w:val="3238"/>
            </w:pPr>
            <w:r>
              <w:t>4000</w:t>
            </w:r>
          </w:p>
        </w:tc>
        <w:tc>
          <w:tcPr>
            <w:tcW w:w="351" w:type="pct"/>
            <w:shd w:val="clear" w:color="auto" w:fill="auto"/>
            <w:vAlign w:val="center"/>
          </w:tcPr>
          <w:p>
            <w:pPr>
              <w:pStyle w:val="3238"/>
            </w:pPr>
            <w:r>
              <w:t>正常</w:t>
            </w:r>
          </w:p>
        </w:tc>
        <w:tc>
          <w:tcPr>
            <w:tcW w:w="487" w:type="pct"/>
            <w:shd w:val="clear" w:color="auto" w:fill="auto"/>
            <w:vAlign w:val="center"/>
          </w:tcPr>
          <w:p>
            <w:pPr>
              <w:pStyle w:val="3238"/>
            </w:pPr>
            <w:r>
              <w:t>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49" w:type="pct"/>
            <w:shd w:val="clear" w:color="auto" w:fill="auto"/>
          </w:tcPr>
          <w:p>
            <w:pPr>
              <w:pStyle w:val="3238"/>
            </w:pPr>
            <w:r>
              <w:t>DA002</w:t>
            </w:r>
          </w:p>
        </w:tc>
        <w:tc>
          <w:tcPr>
            <w:tcW w:w="513" w:type="pct"/>
            <w:shd w:val="clear" w:color="auto" w:fill="auto"/>
            <w:vAlign w:val="center"/>
          </w:tcPr>
          <w:p>
            <w:pPr>
              <w:pStyle w:val="3238"/>
            </w:pPr>
            <w:r>
              <w:t>905</w:t>
            </w:r>
          </w:p>
        </w:tc>
        <w:tc>
          <w:tcPr>
            <w:tcW w:w="565" w:type="pct"/>
            <w:shd w:val="clear" w:color="auto" w:fill="auto"/>
            <w:vAlign w:val="center"/>
          </w:tcPr>
          <w:p>
            <w:pPr>
              <w:pStyle w:val="3238"/>
            </w:pPr>
            <w:r>
              <w:t>510</w:t>
            </w:r>
          </w:p>
        </w:tc>
        <w:tc>
          <w:tcPr>
            <w:tcW w:w="376" w:type="pct"/>
            <w:shd w:val="clear" w:color="auto" w:fill="auto"/>
            <w:vAlign w:val="center"/>
          </w:tcPr>
          <w:p>
            <w:pPr>
              <w:pStyle w:val="3238"/>
            </w:pPr>
            <w:r>
              <w:t>304</w:t>
            </w:r>
          </w:p>
        </w:tc>
        <w:tc>
          <w:tcPr>
            <w:tcW w:w="329" w:type="pct"/>
            <w:shd w:val="clear" w:color="auto" w:fill="auto"/>
            <w:vAlign w:val="center"/>
          </w:tcPr>
          <w:p>
            <w:pPr>
              <w:pStyle w:val="3238"/>
            </w:pPr>
            <w:r>
              <w:t>15</w:t>
            </w:r>
          </w:p>
        </w:tc>
        <w:tc>
          <w:tcPr>
            <w:tcW w:w="353" w:type="pct"/>
            <w:vAlign w:val="center"/>
          </w:tcPr>
          <w:p>
            <w:pPr>
              <w:pStyle w:val="3238"/>
            </w:pPr>
            <w:r>
              <w:t>0.3</w:t>
            </w:r>
          </w:p>
        </w:tc>
        <w:tc>
          <w:tcPr>
            <w:tcW w:w="628" w:type="pct"/>
            <w:shd w:val="clear" w:color="auto" w:fill="auto"/>
            <w:vAlign w:val="center"/>
          </w:tcPr>
          <w:p>
            <w:pPr>
              <w:pStyle w:val="3238"/>
            </w:pPr>
            <w:r>
              <w:t>19.6/5000</w:t>
            </w:r>
          </w:p>
        </w:tc>
        <w:tc>
          <w:tcPr>
            <w:tcW w:w="408" w:type="pct"/>
            <w:shd w:val="clear" w:color="auto" w:fill="auto"/>
            <w:vAlign w:val="center"/>
          </w:tcPr>
          <w:p>
            <w:pPr>
              <w:pStyle w:val="3238"/>
            </w:pPr>
            <w:r>
              <w:t>常温</w:t>
            </w:r>
          </w:p>
        </w:tc>
        <w:tc>
          <w:tcPr>
            <w:tcW w:w="535" w:type="pct"/>
            <w:shd w:val="clear" w:color="auto" w:fill="auto"/>
          </w:tcPr>
          <w:p>
            <w:pPr>
              <w:spacing w:line="240" w:lineRule="auto"/>
              <w:ind w:firstLine="0" w:firstLineChars="0"/>
              <w:jc w:val="center"/>
              <w:rPr>
                <w:sz w:val="21"/>
              </w:rPr>
            </w:pPr>
            <w:r>
              <w:rPr>
                <w:sz w:val="21"/>
              </w:rPr>
              <w:t>4000</w:t>
            </w:r>
          </w:p>
        </w:tc>
        <w:tc>
          <w:tcPr>
            <w:tcW w:w="351" w:type="pct"/>
            <w:shd w:val="clear" w:color="auto" w:fill="auto"/>
            <w:vAlign w:val="center"/>
          </w:tcPr>
          <w:p>
            <w:pPr>
              <w:pStyle w:val="3238"/>
            </w:pPr>
            <w:r>
              <w:t>正常</w:t>
            </w:r>
          </w:p>
        </w:tc>
        <w:tc>
          <w:tcPr>
            <w:tcW w:w="487" w:type="pct"/>
            <w:shd w:val="clear" w:color="auto" w:fill="auto"/>
            <w:vAlign w:val="center"/>
          </w:tcPr>
          <w:p>
            <w:pPr>
              <w:pStyle w:val="3238"/>
            </w:pPr>
            <w:r>
              <w:t>0.053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49" w:type="pct"/>
            <w:shd w:val="clear" w:color="auto" w:fill="auto"/>
          </w:tcPr>
          <w:p>
            <w:pPr>
              <w:pStyle w:val="3238"/>
            </w:pPr>
            <w:r>
              <w:t>DA003</w:t>
            </w:r>
          </w:p>
        </w:tc>
        <w:tc>
          <w:tcPr>
            <w:tcW w:w="513" w:type="pct"/>
            <w:shd w:val="clear" w:color="auto" w:fill="auto"/>
            <w:vAlign w:val="center"/>
          </w:tcPr>
          <w:p>
            <w:pPr>
              <w:pStyle w:val="3238"/>
              <w:rPr>
                <w:snapToGrid w:val="0"/>
              </w:rPr>
            </w:pPr>
            <w:r>
              <w:rPr>
                <w:snapToGrid w:val="0"/>
              </w:rPr>
              <w:t>910</w:t>
            </w:r>
          </w:p>
        </w:tc>
        <w:tc>
          <w:tcPr>
            <w:tcW w:w="565" w:type="pct"/>
            <w:shd w:val="clear" w:color="auto" w:fill="auto"/>
            <w:vAlign w:val="center"/>
          </w:tcPr>
          <w:p>
            <w:pPr>
              <w:pStyle w:val="3238"/>
              <w:rPr>
                <w:snapToGrid w:val="0"/>
              </w:rPr>
            </w:pPr>
            <w:r>
              <w:rPr>
                <w:snapToGrid w:val="0"/>
              </w:rPr>
              <w:t>548</w:t>
            </w:r>
          </w:p>
        </w:tc>
        <w:tc>
          <w:tcPr>
            <w:tcW w:w="376" w:type="pct"/>
            <w:shd w:val="clear" w:color="auto" w:fill="auto"/>
            <w:vAlign w:val="center"/>
          </w:tcPr>
          <w:p>
            <w:pPr>
              <w:pStyle w:val="3238"/>
            </w:pPr>
            <w:r>
              <w:t>297</w:t>
            </w:r>
          </w:p>
        </w:tc>
        <w:tc>
          <w:tcPr>
            <w:tcW w:w="329" w:type="pct"/>
            <w:shd w:val="clear" w:color="auto" w:fill="auto"/>
            <w:vAlign w:val="center"/>
          </w:tcPr>
          <w:p>
            <w:pPr>
              <w:pStyle w:val="3238"/>
            </w:pPr>
            <w:r>
              <w:t>15</w:t>
            </w:r>
          </w:p>
        </w:tc>
        <w:tc>
          <w:tcPr>
            <w:tcW w:w="353" w:type="pct"/>
            <w:vAlign w:val="center"/>
          </w:tcPr>
          <w:p>
            <w:pPr>
              <w:pStyle w:val="3238"/>
            </w:pPr>
            <w:r>
              <w:t>0.75</w:t>
            </w:r>
          </w:p>
        </w:tc>
        <w:tc>
          <w:tcPr>
            <w:tcW w:w="628" w:type="pct"/>
            <w:shd w:val="clear" w:color="auto" w:fill="auto"/>
            <w:vAlign w:val="center"/>
          </w:tcPr>
          <w:p>
            <w:pPr>
              <w:pStyle w:val="3238"/>
            </w:pPr>
            <w:r>
              <w:t>15.7/25000</w:t>
            </w:r>
          </w:p>
        </w:tc>
        <w:tc>
          <w:tcPr>
            <w:tcW w:w="408" w:type="pct"/>
            <w:shd w:val="clear" w:color="auto" w:fill="auto"/>
            <w:vAlign w:val="center"/>
          </w:tcPr>
          <w:p>
            <w:pPr>
              <w:pStyle w:val="3238"/>
            </w:pPr>
            <w:r>
              <w:t>常温</w:t>
            </w:r>
          </w:p>
        </w:tc>
        <w:tc>
          <w:tcPr>
            <w:tcW w:w="535" w:type="pct"/>
            <w:shd w:val="clear" w:color="auto" w:fill="auto"/>
          </w:tcPr>
          <w:p>
            <w:pPr>
              <w:spacing w:line="240" w:lineRule="auto"/>
              <w:ind w:firstLine="0" w:firstLineChars="0"/>
              <w:jc w:val="center"/>
              <w:rPr>
                <w:sz w:val="21"/>
              </w:rPr>
            </w:pPr>
            <w:r>
              <w:rPr>
                <w:sz w:val="21"/>
              </w:rPr>
              <w:t>4000</w:t>
            </w:r>
          </w:p>
        </w:tc>
        <w:tc>
          <w:tcPr>
            <w:tcW w:w="351" w:type="pct"/>
            <w:shd w:val="clear" w:color="auto" w:fill="auto"/>
            <w:vAlign w:val="center"/>
          </w:tcPr>
          <w:p>
            <w:pPr>
              <w:pStyle w:val="3238"/>
            </w:pPr>
            <w:r>
              <w:t>正常</w:t>
            </w:r>
          </w:p>
        </w:tc>
        <w:tc>
          <w:tcPr>
            <w:tcW w:w="487" w:type="pct"/>
            <w:shd w:val="clear" w:color="auto" w:fill="auto"/>
            <w:vAlign w:val="center"/>
          </w:tcPr>
          <w:p>
            <w:pPr>
              <w:pStyle w:val="3238"/>
            </w:pPr>
            <w:r>
              <w:t>0.092</w:t>
            </w:r>
          </w:p>
        </w:tc>
      </w:tr>
    </w:tbl>
    <w:p>
      <w:pPr>
        <w:pStyle w:val="84"/>
      </w:pPr>
      <w:r>
        <w:t>表1.6-5   面源参数表</w:t>
      </w:r>
    </w:p>
    <w:tbl>
      <w:tblPr>
        <w:tblStyle w:val="319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997"/>
        <w:gridCol w:w="1269"/>
        <w:gridCol w:w="898"/>
        <w:gridCol w:w="1377"/>
        <w:gridCol w:w="1377"/>
        <w:gridCol w:w="1377"/>
        <w:gridCol w:w="1377"/>
        <w:gridCol w:w="1377"/>
        <w:gridCol w:w="1176"/>
        <w:gridCol w:w="1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485"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名称</w:t>
            </w:r>
          </w:p>
        </w:tc>
        <w:tc>
          <w:tcPr>
            <w:tcW w:w="1117" w:type="pct"/>
            <w:gridSpan w:val="3"/>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矩形面源中心坐标/m</w:t>
            </w:r>
          </w:p>
        </w:tc>
        <w:tc>
          <w:tcPr>
            <w:tcW w:w="486"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面源长度/m</w:t>
            </w:r>
          </w:p>
        </w:tc>
        <w:tc>
          <w:tcPr>
            <w:tcW w:w="486"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面源宽度/m</w:t>
            </w:r>
          </w:p>
        </w:tc>
        <w:tc>
          <w:tcPr>
            <w:tcW w:w="486"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与正北向夹角/°</w:t>
            </w:r>
          </w:p>
        </w:tc>
        <w:tc>
          <w:tcPr>
            <w:tcW w:w="486"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面源有效排放高度/m</w:t>
            </w:r>
          </w:p>
        </w:tc>
        <w:tc>
          <w:tcPr>
            <w:tcW w:w="486"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年排放小时数/h</w:t>
            </w:r>
          </w:p>
        </w:tc>
        <w:tc>
          <w:tcPr>
            <w:tcW w:w="415"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排放工况</w:t>
            </w:r>
          </w:p>
        </w:tc>
        <w:tc>
          <w:tcPr>
            <w:tcW w:w="553"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48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352" w:type="pc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X</w:t>
            </w:r>
          </w:p>
        </w:tc>
        <w:tc>
          <w:tcPr>
            <w:tcW w:w="448" w:type="pc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Y</w:t>
            </w:r>
          </w:p>
        </w:tc>
        <w:tc>
          <w:tcPr>
            <w:tcW w:w="317" w:type="pc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Z</w:t>
            </w:r>
          </w:p>
        </w:tc>
        <w:tc>
          <w:tcPr>
            <w:tcW w:w="4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1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553"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85" w:type="pct"/>
            <w:vAlign w:val="center"/>
          </w:tcPr>
          <w:p>
            <w:pPr>
              <w:widowControl/>
              <w:adjustRightInd/>
              <w:snapToGrid/>
              <w:spacing w:line="240" w:lineRule="auto"/>
              <w:ind w:firstLine="0" w:firstLineChars="0"/>
              <w:jc w:val="center"/>
              <w:rPr>
                <w:kern w:val="0"/>
                <w:sz w:val="21"/>
                <w:szCs w:val="21"/>
              </w:rPr>
            </w:pPr>
            <w:r>
              <w:rPr>
                <w:kern w:val="0"/>
                <w:sz w:val="21"/>
                <w:szCs w:val="21"/>
              </w:rPr>
              <w:t>采区</w:t>
            </w:r>
          </w:p>
        </w:tc>
        <w:tc>
          <w:tcPr>
            <w:tcW w:w="352" w:type="pct"/>
            <w:vAlign w:val="center"/>
          </w:tcPr>
          <w:p>
            <w:pPr>
              <w:widowControl/>
              <w:adjustRightInd/>
              <w:snapToGrid/>
              <w:spacing w:line="240" w:lineRule="auto"/>
              <w:ind w:firstLine="0" w:firstLineChars="0"/>
              <w:jc w:val="center"/>
              <w:rPr>
                <w:kern w:val="0"/>
                <w:sz w:val="21"/>
                <w:szCs w:val="21"/>
              </w:rPr>
            </w:pPr>
            <w:r>
              <w:rPr>
                <w:kern w:val="0"/>
                <w:sz w:val="21"/>
                <w:szCs w:val="21"/>
              </w:rPr>
              <w:t>12</w:t>
            </w:r>
          </w:p>
        </w:tc>
        <w:tc>
          <w:tcPr>
            <w:tcW w:w="448" w:type="pct"/>
            <w:vAlign w:val="center"/>
          </w:tcPr>
          <w:p>
            <w:pPr>
              <w:widowControl/>
              <w:adjustRightInd/>
              <w:snapToGrid/>
              <w:spacing w:line="240" w:lineRule="auto"/>
              <w:ind w:firstLine="0" w:firstLineChars="0"/>
              <w:jc w:val="center"/>
              <w:rPr>
                <w:kern w:val="0"/>
                <w:sz w:val="21"/>
                <w:szCs w:val="21"/>
              </w:rPr>
            </w:pPr>
            <w:r>
              <w:rPr>
                <w:kern w:val="0"/>
                <w:sz w:val="21"/>
                <w:szCs w:val="21"/>
              </w:rPr>
              <w:t>-27</w:t>
            </w:r>
          </w:p>
        </w:tc>
        <w:tc>
          <w:tcPr>
            <w:tcW w:w="317" w:type="pct"/>
            <w:vAlign w:val="center"/>
          </w:tcPr>
          <w:p>
            <w:pPr>
              <w:widowControl/>
              <w:adjustRightInd/>
              <w:snapToGrid/>
              <w:spacing w:line="240" w:lineRule="auto"/>
              <w:ind w:firstLine="0" w:firstLineChars="0"/>
              <w:jc w:val="center"/>
              <w:rPr>
                <w:sz w:val="21"/>
                <w:szCs w:val="21"/>
              </w:rPr>
            </w:pPr>
            <w:r>
              <w:rPr>
                <w:sz w:val="21"/>
                <w:szCs w:val="21"/>
              </w:rPr>
              <w:t>333</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350</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180</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30</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10</w:t>
            </w:r>
          </w:p>
        </w:tc>
        <w:tc>
          <w:tcPr>
            <w:tcW w:w="486" w:type="pct"/>
            <w:vAlign w:val="center"/>
          </w:tcPr>
          <w:p>
            <w:pPr>
              <w:widowControl/>
              <w:adjustRightInd/>
              <w:snapToGrid/>
              <w:spacing w:line="240" w:lineRule="auto"/>
              <w:ind w:firstLine="420"/>
              <w:jc w:val="center"/>
              <w:rPr>
                <w:kern w:val="0"/>
                <w:sz w:val="21"/>
                <w:szCs w:val="21"/>
              </w:rPr>
            </w:pPr>
            <w:r>
              <w:rPr>
                <w:sz w:val="21"/>
              </w:rPr>
              <w:t>4000</w:t>
            </w:r>
          </w:p>
        </w:tc>
        <w:tc>
          <w:tcPr>
            <w:tcW w:w="415" w:type="pct"/>
            <w:vAlign w:val="center"/>
          </w:tcPr>
          <w:p>
            <w:pPr>
              <w:widowControl/>
              <w:adjustRightInd/>
              <w:snapToGrid/>
              <w:spacing w:line="240" w:lineRule="auto"/>
              <w:ind w:firstLine="0" w:firstLineChars="0"/>
              <w:jc w:val="center"/>
              <w:rPr>
                <w:kern w:val="0"/>
                <w:sz w:val="21"/>
                <w:szCs w:val="21"/>
              </w:rPr>
            </w:pPr>
            <w:r>
              <w:rPr>
                <w:kern w:val="0"/>
                <w:sz w:val="21"/>
                <w:szCs w:val="21"/>
              </w:rPr>
              <w:t>正常</w:t>
            </w:r>
          </w:p>
        </w:tc>
        <w:tc>
          <w:tcPr>
            <w:tcW w:w="553" w:type="pct"/>
            <w:vAlign w:val="center"/>
          </w:tcPr>
          <w:p>
            <w:pPr>
              <w:widowControl/>
              <w:adjustRightInd/>
              <w:snapToGrid/>
              <w:spacing w:line="240" w:lineRule="auto"/>
              <w:ind w:firstLine="0" w:firstLineChars="0"/>
              <w:jc w:val="center"/>
              <w:rPr>
                <w:sz w:val="21"/>
                <w:szCs w:val="21"/>
              </w:rPr>
            </w:pPr>
            <w:r>
              <w:rPr>
                <w:sz w:val="21"/>
                <w:szCs w:val="21"/>
              </w:rPr>
              <w:t>0.810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85" w:type="pct"/>
            <w:vAlign w:val="center"/>
          </w:tcPr>
          <w:p>
            <w:pPr>
              <w:widowControl/>
              <w:adjustRightInd/>
              <w:snapToGrid/>
              <w:spacing w:line="240" w:lineRule="auto"/>
              <w:ind w:firstLine="0" w:firstLineChars="0"/>
              <w:jc w:val="center"/>
              <w:rPr>
                <w:kern w:val="0"/>
                <w:sz w:val="21"/>
                <w:szCs w:val="21"/>
              </w:rPr>
            </w:pPr>
            <w:r>
              <w:rPr>
                <w:kern w:val="0"/>
                <w:sz w:val="21"/>
                <w:szCs w:val="21"/>
              </w:rPr>
              <w:t>工业场地</w:t>
            </w:r>
          </w:p>
        </w:tc>
        <w:tc>
          <w:tcPr>
            <w:tcW w:w="352" w:type="pct"/>
            <w:vAlign w:val="center"/>
          </w:tcPr>
          <w:p>
            <w:pPr>
              <w:widowControl/>
              <w:adjustRightInd/>
              <w:snapToGrid/>
              <w:spacing w:line="240" w:lineRule="auto"/>
              <w:ind w:firstLine="0" w:firstLineChars="0"/>
              <w:jc w:val="center"/>
              <w:rPr>
                <w:kern w:val="0"/>
                <w:sz w:val="21"/>
                <w:szCs w:val="21"/>
              </w:rPr>
            </w:pPr>
            <w:r>
              <w:rPr>
                <w:kern w:val="0"/>
                <w:sz w:val="21"/>
                <w:szCs w:val="21"/>
              </w:rPr>
              <w:t>912</w:t>
            </w:r>
          </w:p>
        </w:tc>
        <w:tc>
          <w:tcPr>
            <w:tcW w:w="448" w:type="pct"/>
            <w:vAlign w:val="center"/>
          </w:tcPr>
          <w:p>
            <w:pPr>
              <w:widowControl/>
              <w:adjustRightInd/>
              <w:snapToGrid/>
              <w:spacing w:line="240" w:lineRule="auto"/>
              <w:ind w:firstLine="0" w:firstLineChars="0"/>
              <w:jc w:val="center"/>
              <w:rPr>
                <w:kern w:val="0"/>
                <w:sz w:val="21"/>
                <w:szCs w:val="21"/>
              </w:rPr>
            </w:pPr>
            <w:r>
              <w:rPr>
                <w:kern w:val="0"/>
                <w:sz w:val="21"/>
                <w:szCs w:val="21"/>
              </w:rPr>
              <w:t>540</w:t>
            </w:r>
          </w:p>
        </w:tc>
        <w:tc>
          <w:tcPr>
            <w:tcW w:w="317" w:type="pct"/>
            <w:vAlign w:val="center"/>
          </w:tcPr>
          <w:p>
            <w:pPr>
              <w:widowControl/>
              <w:adjustRightInd/>
              <w:snapToGrid/>
              <w:spacing w:line="240" w:lineRule="auto"/>
              <w:ind w:firstLine="0" w:firstLineChars="0"/>
              <w:jc w:val="center"/>
              <w:rPr>
                <w:kern w:val="0"/>
                <w:sz w:val="21"/>
                <w:szCs w:val="21"/>
              </w:rPr>
            </w:pPr>
            <w:r>
              <w:rPr>
                <w:kern w:val="0"/>
                <w:sz w:val="21"/>
                <w:szCs w:val="21"/>
              </w:rPr>
              <w:t>299</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170</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45</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36</w:t>
            </w:r>
          </w:p>
        </w:tc>
        <w:tc>
          <w:tcPr>
            <w:tcW w:w="486" w:type="pct"/>
            <w:vAlign w:val="center"/>
          </w:tcPr>
          <w:p>
            <w:pPr>
              <w:widowControl/>
              <w:adjustRightInd/>
              <w:snapToGrid/>
              <w:spacing w:line="240" w:lineRule="auto"/>
              <w:ind w:firstLine="0" w:firstLineChars="0"/>
              <w:jc w:val="center"/>
              <w:rPr>
                <w:kern w:val="0"/>
                <w:sz w:val="21"/>
                <w:szCs w:val="21"/>
              </w:rPr>
            </w:pPr>
            <w:r>
              <w:rPr>
                <w:sz w:val="21"/>
                <w:szCs w:val="21"/>
              </w:rPr>
              <w:t>10</w:t>
            </w:r>
          </w:p>
        </w:tc>
        <w:tc>
          <w:tcPr>
            <w:tcW w:w="486" w:type="pct"/>
            <w:vAlign w:val="center"/>
          </w:tcPr>
          <w:p>
            <w:pPr>
              <w:widowControl/>
              <w:adjustRightInd/>
              <w:snapToGrid/>
              <w:spacing w:line="240" w:lineRule="auto"/>
              <w:ind w:firstLine="420"/>
              <w:jc w:val="center"/>
              <w:rPr>
                <w:kern w:val="0"/>
                <w:sz w:val="21"/>
                <w:szCs w:val="21"/>
              </w:rPr>
            </w:pPr>
            <w:r>
              <w:rPr>
                <w:sz w:val="21"/>
              </w:rPr>
              <w:t>4000</w:t>
            </w:r>
          </w:p>
        </w:tc>
        <w:tc>
          <w:tcPr>
            <w:tcW w:w="415" w:type="pct"/>
            <w:vAlign w:val="center"/>
          </w:tcPr>
          <w:p>
            <w:pPr>
              <w:widowControl/>
              <w:adjustRightInd/>
              <w:snapToGrid/>
              <w:spacing w:line="240" w:lineRule="auto"/>
              <w:ind w:firstLine="0" w:firstLineChars="0"/>
              <w:jc w:val="center"/>
              <w:rPr>
                <w:kern w:val="0"/>
                <w:sz w:val="21"/>
                <w:szCs w:val="21"/>
              </w:rPr>
            </w:pPr>
            <w:r>
              <w:rPr>
                <w:kern w:val="0"/>
                <w:sz w:val="21"/>
                <w:szCs w:val="21"/>
              </w:rPr>
              <w:t>正常</w:t>
            </w:r>
          </w:p>
        </w:tc>
        <w:tc>
          <w:tcPr>
            <w:tcW w:w="553" w:type="pct"/>
            <w:vAlign w:val="center"/>
          </w:tcPr>
          <w:p>
            <w:pPr>
              <w:widowControl/>
              <w:adjustRightInd/>
              <w:snapToGrid/>
              <w:spacing w:line="240" w:lineRule="auto"/>
              <w:ind w:firstLine="0" w:firstLineChars="0"/>
              <w:jc w:val="center"/>
              <w:rPr>
                <w:sz w:val="21"/>
                <w:szCs w:val="21"/>
              </w:rPr>
            </w:pPr>
            <w:r>
              <w:rPr>
                <w:sz w:val="21"/>
                <w:szCs w:val="21"/>
              </w:rPr>
              <w:t>0.095</w:t>
            </w:r>
          </w:p>
        </w:tc>
      </w:tr>
    </w:tbl>
    <w:p>
      <w:pPr>
        <w:ind w:firstLine="0" w:firstLineChars="0"/>
        <w:jc w:val="both"/>
        <w:rPr>
          <w:sz w:val="22"/>
        </w:rPr>
      </w:pPr>
      <w:r>
        <w:t>注：</w:t>
      </w:r>
      <w:r>
        <w:rPr>
          <w:sz w:val="22"/>
        </w:rPr>
        <w:t>本项目选择矿区拐点3坐标作为相对坐标原点（0，0），2000国家大地坐标X：3311401.26，Y：35626645.46。</w:t>
      </w:r>
    </w:p>
    <w:p>
      <w:pPr>
        <w:ind w:firstLine="0" w:firstLineChars="0"/>
        <w:jc w:val="both"/>
        <w:rPr>
          <w:sz w:val="22"/>
        </w:rPr>
      </w:pPr>
    </w:p>
    <w:p>
      <w:pPr>
        <w:ind w:firstLine="0" w:firstLineChars="0"/>
        <w:jc w:val="both"/>
        <w:rPr>
          <w:sz w:val="22"/>
        </w:rPr>
        <w:sectPr>
          <w:endnotePr>
            <w:numFmt w:val="decimal"/>
          </w:endnotePr>
          <w:pgSz w:w="16840" w:h="11907" w:orient="landscape"/>
          <w:pgMar w:top="1797" w:right="1440" w:bottom="1797" w:left="1440" w:header="1134" w:footer="907" w:gutter="0"/>
          <w:cols w:space="720" w:num="1"/>
          <w:docGrid w:linePitch="354" w:charSpace="0"/>
        </w:sectPr>
      </w:pPr>
    </w:p>
    <w:p>
      <w:pPr>
        <w:spacing w:line="460" w:lineRule="exact"/>
        <w:ind w:firstLine="480"/>
        <w:jc w:val="both"/>
        <w:rPr>
          <w:sz w:val="24"/>
          <w:szCs w:val="26"/>
        </w:rPr>
      </w:pPr>
      <w:r>
        <w:rPr>
          <w:sz w:val="24"/>
          <w:szCs w:val="26"/>
        </w:rPr>
        <w:t>（4）主要污染物估算模型计算结果</w:t>
      </w:r>
    </w:p>
    <w:p>
      <w:pPr>
        <w:spacing w:line="460" w:lineRule="exact"/>
        <w:ind w:firstLine="480"/>
        <w:jc w:val="both"/>
        <w:rPr>
          <w:sz w:val="24"/>
          <w:szCs w:val="26"/>
        </w:rPr>
      </w:pPr>
      <w:r>
        <w:rPr>
          <w:sz w:val="24"/>
          <w:szCs w:val="26"/>
        </w:rPr>
        <w:t>主要污染物估算模型计算结果见下表。</w:t>
      </w:r>
    </w:p>
    <w:p>
      <w:pPr>
        <w:pStyle w:val="84"/>
      </w:pPr>
      <w:r>
        <w:t>表1.6-6  主要污染物估算模型计算结果表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997"/>
        <w:gridCol w:w="1843"/>
        <w:gridCol w:w="1605"/>
        <w:gridCol w:w="1885"/>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blHeader/>
        </w:trPr>
        <w:tc>
          <w:tcPr>
            <w:tcW w:w="1432" w:type="pct"/>
            <w:gridSpan w:val="2"/>
            <w:shd w:val="clear" w:color="auto" w:fill="D8D8D8" w:themeFill="background1" w:themeFillShade="D9"/>
            <w:vAlign w:val="center"/>
          </w:tcPr>
          <w:p>
            <w:pPr>
              <w:pStyle w:val="3238"/>
              <w:rPr>
                <w:b/>
              </w:rPr>
            </w:pPr>
            <w:r>
              <w:rPr>
                <w:b/>
              </w:rPr>
              <w:t>污染源</w:t>
            </w:r>
          </w:p>
        </w:tc>
        <w:tc>
          <w:tcPr>
            <w:tcW w:w="992" w:type="pct"/>
            <w:shd w:val="clear" w:color="auto" w:fill="D8D8D8" w:themeFill="background1" w:themeFillShade="D9"/>
            <w:vAlign w:val="center"/>
          </w:tcPr>
          <w:p>
            <w:pPr>
              <w:pStyle w:val="3238"/>
              <w:rPr>
                <w:b/>
              </w:rPr>
            </w:pPr>
            <w:r>
              <w:rPr>
                <w:b/>
              </w:rPr>
              <w:t>下风向最大落地浓度（μg/m</w:t>
            </w:r>
            <w:r>
              <w:rPr>
                <w:b/>
                <w:vertAlign w:val="superscript"/>
              </w:rPr>
              <w:t>3</w:t>
            </w:r>
            <w:r>
              <w:rPr>
                <w:b/>
              </w:rPr>
              <w:t>）</w:t>
            </w:r>
          </w:p>
        </w:tc>
        <w:tc>
          <w:tcPr>
            <w:tcW w:w="864" w:type="pct"/>
            <w:shd w:val="clear" w:color="auto" w:fill="D8D8D8" w:themeFill="background1" w:themeFillShade="D9"/>
            <w:vAlign w:val="center"/>
          </w:tcPr>
          <w:p>
            <w:pPr>
              <w:pStyle w:val="3238"/>
              <w:rPr>
                <w:b/>
              </w:rPr>
            </w:pPr>
            <w:r>
              <w:rPr>
                <w:b/>
              </w:rPr>
              <w:t>最大地面浓度占标率（%）</w:t>
            </w:r>
          </w:p>
        </w:tc>
        <w:tc>
          <w:tcPr>
            <w:tcW w:w="1015" w:type="pct"/>
            <w:shd w:val="clear" w:color="auto" w:fill="D8D8D8" w:themeFill="background1" w:themeFillShade="D9"/>
            <w:vAlign w:val="center"/>
          </w:tcPr>
          <w:p>
            <w:pPr>
              <w:pStyle w:val="3238"/>
              <w:rPr>
                <w:b/>
              </w:rPr>
            </w:pPr>
            <w:r>
              <w:rPr>
                <w:b/>
              </w:rPr>
              <w:t>最大地面浓度出现的距离（m）</w:t>
            </w:r>
          </w:p>
        </w:tc>
        <w:tc>
          <w:tcPr>
            <w:tcW w:w="697" w:type="pct"/>
            <w:shd w:val="clear" w:color="auto" w:fill="D8D8D8" w:themeFill="background1" w:themeFillShade="D9"/>
            <w:vAlign w:val="center"/>
          </w:tcPr>
          <w:p>
            <w:pPr>
              <w:pStyle w:val="3238"/>
              <w:rPr>
                <w:b/>
              </w:rPr>
            </w:pPr>
            <w:r>
              <w:rPr>
                <w:b/>
              </w:rPr>
              <w:t>D</w:t>
            </w:r>
            <w:r>
              <w:rPr>
                <w:b/>
                <w:vertAlign w:val="subscript"/>
              </w:rPr>
              <w:t>10%</w:t>
            </w:r>
            <w:r>
              <w:rPr>
                <w:b/>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blHeader/>
        </w:trPr>
        <w:tc>
          <w:tcPr>
            <w:tcW w:w="895" w:type="pct"/>
            <w:vAlign w:val="center"/>
          </w:tcPr>
          <w:p>
            <w:pPr>
              <w:pStyle w:val="3238"/>
              <w:rPr>
                <w:b/>
              </w:rPr>
            </w:pPr>
            <w:r>
              <w:t>DA001排气筒</w:t>
            </w:r>
          </w:p>
        </w:tc>
        <w:tc>
          <w:tcPr>
            <w:tcW w:w="537" w:type="pct"/>
            <w:vAlign w:val="center"/>
          </w:tcPr>
          <w:p>
            <w:pPr>
              <w:pStyle w:val="3238"/>
              <w:rPr>
                <w:b/>
              </w:rPr>
            </w:pPr>
            <w:r>
              <w:t>PM</w:t>
            </w:r>
            <w:r>
              <w:rPr>
                <w:vertAlign w:val="subscript"/>
              </w:rPr>
              <w:t>10</w:t>
            </w:r>
          </w:p>
        </w:tc>
        <w:tc>
          <w:tcPr>
            <w:tcW w:w="992" w:type="pct"/>
          </w:tcPr>
          <w:p>
            <w:pPr>
              <w:pStyle w:val="3238"/>
              <w:rPr>
                <w:b/>
              </w:rPr>
            </w:pPr>
            <w:r>
              <w:t>114.04</w:t>
            </w:r>
          </w:p>
        </w:tc>
        <w:tc>
          <w:tcPr>
            <w:tcW w:w="864" w:type="pct"/>
          </w:tcPr>
          <w:p>
            <w:pPr>
              <w:pStyle w:val="3238"/>
              <w:rPr>
                <w:b/>
              </w:rPr>
            </w:pPr>
            <w:r>
              <w:t>76.03</w:t>
            </w:r>
          </w:p>
        </w:tc>
        <w:tc>
          <w:tcPr>
            <w:tcW w:w="1015" w:type="pct"/>
            <w:vAlign w:val="center"/>
          </w:tcPr>
          <w:p>
            <w:pPr>
              <w:pStyle w:val="3238"/>
              <w:rPr>
                <w:b/>
              </w:rPr>
            </w:pPr>
            <w:r>
              <w:t>48</w:t>
            </w:r>
          </w:p>
        </w:tc>
        <w:tc>
          <w:tcPr>
            <w:tcW w:w="697" w:type="pct"/>
            <w:vAlign w:val="center"/>
          </w:tcPr>
          <w:p>
            <w:pPr>
              <w:pStyle w:val="3238"/>
              <w:rPr>
                <w:b/>
              </w:rPr>
            </w:pPr>
            <w: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blHeader/>
        </w:trPr>
        <w:tc>
          <w:tcPr>
            <w:tcW w:w="895" w:type="pct"/>
            <w:vAlign w:val="center"/>
          </w:tcPr>
          <w:p>
            <w:pPr>
              <w:pStyle w:val="3238"/>
              <w:rPr>
                <w:b/>
              </w:rPr>
            </w:pPr>
            <w:r>
              <w:t>DA002排气筒</w:t>
            </w:r>
          </w:p>
        </w:tc>
        <w:tc>
          <w:tcPr>
            <w:tcW w:w="537" w:type="pct"/>
            <w:vAlign w:val="center"/>
          </w:tcPr>
          <w:p>
            <w:pPr>
              <w:pStyle w:val="3238"/>
              <w:rPr>
                <w:b/>
              </w:rPr>
            </w:pPr>
            <w:r>
              <w:t>PM</w:t>
            </w:r>
            <w:r>
              <w:rPr>
                <w:vertAlign w:val="subscript"/>
              </w:rPr>
              <w:t>10</w:t>
            </w:r>
          </w:p>
        </w:tc>
        <w:tc>
          <w:tcPr>
            <w:tcW w:w="992" w:type="pct"/>
          </w:tcPr>
          <w:p>
            <w:pPr>
              <w:pStyle w:val="3238"/>
              <w:rPr>
                <w:b/>
              </w:rPr>
            </w:pPr>
            <w:r>
              <w:t>72.93</w:t>
            </w:r>
          </w:p>
        </w:tc>
        <w:tc>
          <w:tcPr>
            <w:tcW w:w="864" w:type="pct"/>
          </w:tcPr>
          <w:p>
            <w:pPr>
              <w:pStyle w:val="3238"/>
              <w:rPr>
                <w:b/>
              </w:rPr>
            </w:pPr>
            <w:r>
              <w:t>48.62</w:t>
            </w:r>
          </w:p>
        </w:tc>
        <w:tc>
          <w:tcPr>
            <w:tcW w:w="1015" w:type="pct"/>
            <w:vAlign w:val="center"/>
          </w:tcPr>
          <w:p>
            <w:pPr>
              <w:pStyle w:val="3238"/>
              <w:rPr>
                <w:b/>
              </w:rPr>
            </w:pPr>
            <w:r>
              <w:t>45</w:t>
            </w:r>
          </w:p>
        </w:tc>
        <w:tc>
          <w:tcPr>
            <w:tcW w:w="697" w:type="pct"/>
            <w:vAlign w:val="center"/>
          </w:tcPr>
          <w:p>
            <w:pPr>
              <w:pStyle w:val="3238"/>
              <w:rPr>
                <w:b/>
              </w:rPr>
            </w:pPr>
            <w: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blHeader/>
        </w:trPr>
        <w:tc>
          <w:tcPr>
            <w:tcW w:w="895" w:type="pct"/>
            <w:vAlign w:val="center"/>
          </w:tcPr>
          <w:p>
            <w:pPr>
              <w:pStyle w:val="3238"/>
              <w:rPr>
                <w:b/>
              </w:rPr>
            </w:pPr>
            <w:r>
              <w:t>DA003排气筒</w:t>
            </w:r>
          </w:p>
        </w:tc>
        <w:tc>
          <w:tcPr>
            <w:tcW w:w="537" w:type="pct"/>
            <w:vAlign w:val="center"/>
          </w:tcPr>
          <w:p>
            <w:pPr>
              <w:pStyle w:val="3238"/>
              <w:rPr>
                <w:b/>
              </w:rPr>
            </w:pPr>
            <w:r>
              <w:t>PM</w:t>
            </w:r>
            <w:r>
              <w:rPr>
                <w:vertAlign w:val="subscript"/>
              </w:rPr>
              <w:t>10</w:t>
            </w:r>
          </w:p>
        </w:tc>
        <w:tc>
          <w:tcPr>
            <w:tcW w:w="992" w:type="pct"/>
          </w:tcPr>
          <w:p>
            <w:pPr>
              <w:pStyle w:val="3238"/>
              <w:rPr>
                <w:b/>
              </w:rPr>
            </w:pPr>
            <w:r>
              <w:t>109.32</w:t>
            </w:r>
          </w:p>
        </w:tc>
        <w:tc>
          <w:tcPr>
            <w:tcW w:w="864" w:type="pct"/>
          </w:tcPr>
          <w:p>
            <w:pPr>
              <w:pStyle w:val="3238"/>
              <w:rPr>
                <w:b/>
              </w:rPr>
            </w:pPr>
            <w:r>
              <w:t>72.88</w:t>
            </w:r>
          </w:p>
        </w:tc>
        <w:tc>
          <w:tcPr>
            <w:tcW w:w="1015" w:type="pct"/>
            <w:vAlign w:val="center"/>
          </w:tcPr>
          <w:p>
            <w:pPr>
              <w:pStyle w:val="3238"/>
              <w:rPr>
                <w:b/>
              </w:rPr>
            </w:pPr>
            <w:r>
              <w:t>49</w:t>
            </w:r>
          </w:p>
        </w:tc>
        <w:tc>
          <w:tcPr>
            <w:tcW w:w="697" w:type="pct"/>
            <w:vAlign w:val="center"/>
          </w:tcPr>
          <w:p>
            <w:pPr>
              <w:pStyle w:val="3238"/>
              <w:rPr>
                <w:b/>
              </w:rPr>
            </w:pPr>
            <w: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3" w:hRule="atLeast"/>
          <w:tblHeader/>
        </w:trPr>
        <w:tc>
          <w:tcPr>
            <w:tcW w:w="895" w:type="pct"/>
            <w:vAlign w:val="center"/>
          </w:tcPr>
          <w:p>
            <w:pPr>
              <w:pStyle w:val="3238"/>
              <w:rPr>
                <w:b/>
              </w:rPr>
            </w:pPr>
            <w:r>
              <w:t>采区</w:t>
            </w:r>
          </w:p>
        </w:tc>
        <w:tc>
          <w:tcPr>
            <w:tcW w:w="537" w:type="pct"/>
            <w:vAlign w:val="center"/>
          </w:tcPr>
          <w:p>
            <w:pPr>
              <w:pStyle w:val="3238"/>
              <w:rPr>
                <w:b/>
              </w:rPr>
            </w:pPr>
            <w:r>
              <w:t>TSP</w:t>
            </w:r>
          </w:p>
        </w:tc>
        <w:tc>
          <w:tcPr>
            <w:tcW w:w="992" w:type="pct"/>
          </w:tcPr>
          <w:p>
            <w:pPr>
              <w:pStyle w:val="3238"/>
              <w:rPr>
                <w:b/>
              </w:rPr>
            </w:pPr>
            <w:r>
              <w:t>106.27</w:t>
            </w:r>
          </w:p>
        </w:tc>
        <w:tc>
          <w:tcPr>
            <w:tcW w:w="864" w:type="pct"/>
          </w:tcPr>
          <w:p>
            <w:pPr>
              <w:pStyle w:val="3238"/>
              <w:rPr>
                <w:b/>
              </w:rPr>
            </w:pPr>
            <w:r>
              <w:t>29.52</w:t>
            </w:r>
          </w:p>
        </w:tc>
        <w:tc>
          <w:tcPr>
            <w:tcW w:w="1015" w:type="pct"/>
            <w:vAlign w:val="center"/>
          </w:tcPr>
          <w:p>
            <w:pPr>
              <w:pStyle w:val="3238"/>
              <w:rPr>
                <w:b/>
              </w:rPr>
            </w:pPr>
            <w:r>
              <w:t>183</w:t>
            </w:r>
          </w:p>
        </w:tc>
        <w:tc>
          <w:tcPr>
            <w:tcW w:w="697" w:type="pct"/>
            <w:vAlign w:val="center"/>
          </w:tcPr>
          <w:p>
            <w:pPr>
              <w:pStyle w:val="3238"/>
              <w:rPr>
                <w:b/>
              </w:rPr>
            </w:pPr>
            <w:r>
              <w:t>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7" w:hRule="atLeast"/>
          <w:tblHeader/>
        </w:trPr>
        <w:tc>
          <w:tcPr>
            <w:tcW w:w="895" w:type="pct"/>
            <w:vAlign w:val="center"/>
          </w:tcPr>
          <w:p>
            <w:pPr>
              <w:pStyle w:val="3238"/>
              <w:rPr>
                <w:b/>
              </w:rPr>
            </w:pPr>
            <w:r>
              <w:t>工业场地</w:t>
            </w:r>
          </w:p>
        </w:tc>
        <w:tc>
          <w:tcPr>
            <w:tcW w:w="537" w:type="pct"/>
            <w:vAlign w:val="center"/>
          </w:tcPr>
          <w:p>
            <w:pPr>
              <w:pStyle w:val="3238"/>
              <w:rPr>
                <w:b/>
              </w:rPr>
            </w:pPr>
            <w:r>
              <w:t>TSP</w:t>
            </w:r>
          </w:p>
        </w:tc>
        <w:tc>
          <w:tcPr>
            <w:tcW w:w="992" w:type="pct"/>
          </w:tcPr>
          <w:p>
            <w:pPr>
              <w:pStyle w:val="3238"/>
              <w:rPr>
                <w:b/>
              </w:rPr>
            </w:pPr>
            <w:r>
              <w:t>58.90</w:t>
            </w:r>
          </w:p>
        </w:tc>
        <w:tc>
          <w:tcPr>
            <w:tcW w:w="864" w:type="pct"/>
          </w:tcPr>
          <w:p>
            <w:pPr>
              <w:pStyle w:val="3238"/>
              <w:rPr>
                <w:b/>
              </w:rPr>
            </w:pPr>
            <w:r>
              <w:t>16.36</w:t>
            </w:r>
          </w:p>
        </w:tc>
        <w:tc>
          <w:tcPr>
            <w:tcW w:w="1015" w:type="pct"/>
            <w:vAlign w:val="center"/>
          </w:tcPr>
          <w:p>
            <w:pPr>
              <w:pStyle w:val="3238"/>
              <w:rPr>
                <w:b/>
              </w:rPr>
            </w:pPr>
            <w:r>
              <w:t>86</w:t>
            </w:r>
          </w:p>
        </w:tc>
        <w:tc>
          <w:tcPr>
            <w:tcW w:w="697" w:type="pct"/>
            <w:vAlign w:val="center"/>
          </w:tcPr>
          <w:p>
            <w:pPr>
              <w:pStyle w:val="3238"/>
              <w:rPr>
                <w:b/>
              </w:rPr>
            </w:pPr>
            <w:r>
              <w:t>225</w:t>
            </w:r>
          </w:p>
        </w:tc>
      </w:tr>
    </w:tbl>
    <w:p>
      <w:pPr>
        <w:spacing w:line="360" w:lineRule="auto"/>
        <w:ind w:firstLine="480"/>
        <w:jc w:val="both"/>
        <w:rPr>
          <w:sz w:val="24"/>
          <w:szCs w:val="26"/>
        </w:rPr>
      </w:pPr>
      <w:r>
        <w:rPr>
          <w:sz w:val="24"/>
          <w:szCs w:val="26"/>
        </w:rPr>
        <w:t>经估算模型计算，本项目矿区TSP最大地面浓度占标率Pmax=76.03%＞10%，D</w:t>
      </w:r>
      <w:r>
        <w:rPr>
          <w:sz w:val="24"/>
          <w:szCs w:val="26"/>
          <w:vertAlign w:val="subscript"/>
        </w:rPr>
        <w:t>10%</w:t>
      </w:r>
      <w:r>
        <w:rPr>
          <w:sz w:val="24"/>
          <w:szCs w:val="26"/>
        </w:rPr>
        <w:t>为150m；工业场地PM</w:t>
      </w:r>
      <w:r>
        <w:rPr>
          <w:sz w:val="24"/>
          <w:szCs w:val="26"/>
          <w:vertAlign w:val="subscript"/>
        </w:rPr>
        <w:t>10</w:t>
      </w:r>
      <w:r>
        <w:rPr>
          <w:sz w:val="24"/>
          <w:szCs w:val="26"/>
        </w:rPr>
        <w:t>最大地面浓度占标率Pmax=29.52%＞10%，D</w:t>
      </w:r>
      <w:r>
        <w:rPr>
          <w:sz w:val="24"/>
          <w:szCs w:val="26"/>
          <w:vertAlign w:val="subscript"/>
        </w:rPr>
        <w:t>10%</w:t>
      </w:r>
      <w:r>
        <w:rPr>
          <w:sz w:val="24"/>
          <w:szCs w:val="26"/>
        </w:rPr>
        <w:t>为575m；因此，本项目大气环境影响评价等级为一级。</w:t>
      </w:r>
    </w:p>
    <w:p>
      <w:pPr>
        <w:pStyle w:val="6"/>
        <w:numPr>
          <w:ilvl w:val="3"/>
          <w:numId w:val="0"/>
        </w:numPr>
      </w:pPr>
      <w:r>
        <w:t>1.6.2.2评价范围</w:t>
      </w:r>
    </w:p>
    <w:p>
      <w:pPr>
        <w:pStyle w:val="215"/>
        <w:spacing w:line="360" w:lineRule="auto"/>
        <w:ind w:firstLine="480"/>
        <w:rPr>
          <w:sz w:val="24"/>
        </w:rPr>
      </w:pPr>
      <w:r>
        <w:rPr>
          <w:sz w:val="24"/>
        </w:rPr>
        <w:t>根据《环境影响评价技术导则 大气环境》（HJ 2.2-2018），项目大气环境影响评价范围以项目厂址为中心区域，以开采区和工业场地分别划定5km的矩形区域，其中评价范围之间有重叠部分，故评价范围以两个范围包络线作为本项目大气评价范围。详见下图。</w:t>
      </w:r>
    </w:p>
    <w:p>
      <w:pPr>
        <w:pStyle w:val="215"/>
        <w:spacing w:line="360" w:lineRule="auto"/>
        <w:ind w:firstLine="0" w:firstLineChars="0"/>
        <w:rPr>
          <w:sz w:val="24"/>
        </w:rPr>
      </w:pPr>
      <w:r>
        <w:drawing>
          <wp:inline distT="0" distB="0" distL="0" distR="0">
            <wp:extent cx="5760085" cy="4654550"/>
            <wp:effectExtent l="0" t="0" r="0" b="0"/>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pic:cNvPicPr>
                  </pic:nvPicPr>
                  <pic:blipFill>
                    <a:blip r:embed="rId47"/>
                    <a:stretch>
                      <a:fillRect/>
                    </a:stretch>
                  </pic:blipFill>
                  <pic:spPr>
                    <a:xfrm>
                      <a:off x="0" y="0"/>
                      <a:ext cx="5760085" cy="4654550"/>
                    </a:xfrm>
                    <a:prstGeom prst="rect">
                      <a:avLst/>
                    </a:prstGeom>
                  </pic:spPr>
                </pic:pic>
              </a:graphicData>
            </a:graphic>
          </wp:inline>
        </w:drawing>
      </w:r>
    </w:p>
    <w:p>
      <w:pPr>
        <w:pStyle w:val="215"/>
        <w:spacing w:line="360" w:lineRule="auto"/>
        <w:ind w:firstLine="0" w:firstLineChars="0"/>
        <w:jc w:val="center"/>
        <w:rPr>
          <w:sz w:val="24"/>
        </w:rPr>
      </w:pPr>
      <w:r>
        <w:rPr>
          <w:sz w:val="24"/>
        </w:rPr>
        <w:t>图1-2  大气评价范围图</w:t>
      </w:r>
    </w:p>
    <w:p>
      <w:pPr>
        <w:pStyle w:val="5"/>
        <w:rPr>
          <w:color w:val="auto"/>
        </w:rPr>
      </w:pPr>
      <w:r>
        <w:rPr>
          <w:color w:val="auto"/>
        </w:rPr>
        <w:t>1.6.3地表水环境评价等级及评价范围</w:t>
      </w:r>
    </w:p>
    <w:p>
      <w:pPr>
        <w:pStyle w:val="222"/>
      </w:pPr>
      <w:bookmarkStart w:id="103" w:name="_Hlk50649689"/>
      <w:r>
        <w:rPr>
          <w:lang w:bidi="en-US"/>
        </w:rPr>
        <w:t>根据《环境影响评价技术导则 地表水环境》（HJ 2.3-2018），本项目无涉水工程内容，不属于水文要素影响型项目，属于水污染影响型，根据排放方式和废水排放量划分评价等级，评价工作等级判定见下表。</w:t>
      </w:r>
    </w:p>
    <w:bookmarkEnd w:id="103"/>
    <w:p>
      <w:pPr>
        <w:pStyle w:val="84"/>
      </w:pPr>
      <w:r>
        <w:t>表1.6-7  水污染影响型建设项目评价等级判定表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1701"/>
        <w:gridCol w:w="5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974" w:type="pct"/>
            <w:vMerge w:val="restart"/>
            <w:shd w:val="clear" w:color="auto" w:fill="D8D8D8" w:themeFill="background1" w:themeFillShade="D9"/>
            <w:vAlign w:val="center"/>
          </w:tcPr>
          <w:p>
            <w:pPr>
              <w:pStyle w:val="3238"/>
              <w:rPr>
                <w:lang w:bidi="en-US"/>
              </w:rPr>
            </w:pPr>
            <w:r>
              <w:rPr>
                <w:lang w:bidi="en-US"/>
              </w:rPr>
              <w:t>评价等级</w:t>
            </w:r>
          </w:p>
        </w:tc>
        <w:tc>
          <w:tcPr>
            <w:tcW w:w="4026" w:type="pct"/>
            <w:gridSpan w:val="2"/>
            <w:shd w:val="clear" w:color="auto" w:fill="D8D8D8" w:themeFill="background1" w:themeFillShade="D9"/>
            <w:vAlign w:val="center"/>
          </w:tcPr>
          <w:p>
            <w:pPr>
              <w:pStyle w:val="3238"/>
              <w:rPr>
                <w:lang w:bidi="en-US"/>
              </w:rPr>
            </w:pPr>
            <w:r>
              <w:rPr>
                <w:lang w:bidi="en-US"/>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974" w:type="pct"/>
            <w:vMerge w:val="continue"/>
            <w:shd w:val="clear" w:color="auto" w:fill="D8D8D8" w:themeFill="background1" w:themeFillShade="D9"/>
            <w:vAlign w:val="center"/>
          </w:tcPr>
          <w:p>
            <w:pPr>
              <w:pStyle w:val="3238"/>
              <w:rPr>
                <w:lang w:bidi="en-US"/>
              </w:rPr>
            </w:pPr>
          </w:p>
        </w:tc>
        <w:tc>
          <w:tcPr>
            <w:tcW w:w="916" w:type="pct"/>
            <w:shd w:val="clear" w:color="auto" w:fill="D8D8D8" w:themeFill="background1" w:themeFillShade="D9"/>
            <w:vAlign w:val="center"/>
          </w:tcPr>
          <w:p>
            <w:pPr>
              <w:pStyle w:val="3238"/>
              <w:rPr>
                <w:lang w:bidi="en-US"/>
              </w:rPr>
            </w:pPr>
            <w:r>
              <w:rPr>
                <w:lang w:bidi="en-US"/>
              </w:rPr>
              <w:t>排放方式</w:t>
            </w:r>
          </w:p>
        </w:tc>
        <w:tc>
          <w:tcPr>
            <w:tcW w:w="3110" w:type="pct"/>
            <w:shd w:val="clear" w:color="auto" w:fill="D8D8D8" w:themeFill="background1" w:themeFillShade="D9"/>
            <w:vAlign w:val="center"/>
          </w:tcPr>
          <w:p>
            <w:pPr>
              <w:pStyle w:val="3238"/>
              <w:rPr>
                <w:lang w:bidi="en-US"/>
              </w:rPr>
            </w:pPr>
            <w:r>
              <w:rPr>
                <w:lang w:bidi="en-US"/>
              </w:rPr>
              <w:t>废水排放量Q/（m</w:t>
            </w:r>
            <w:r>
              <w:rPr>
                <w:vertAlign w:val="superscript"/>
                <w:lang w:bidi="en-US"/>
              </w:rPr>
              <w:t>3</w:t>
            </w:r>
            <w:r>
              <w:rPr>
                <w:lang w:bidi="en-US"/>
              </w:rPr>
              <w:t>/d）</w:t>
            </w:r>
            <w:r>
              <w:t>；</w:t>
            </w:r>
            <w:r>
              <w:rPr>
                <w:lang w:bidi="en-US"/>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974" w:type="pct"/>
            <w:vAlign w:val="center"/>
          </w:tcPr>
          <w:p>
            <w:pPr>
              <w:pStyle w:val="3238"/>
              <w:rPr>
                <w:b/>
                <w:lang w:bidi="en-US"/>
              </w:rPr>
            </w:pPr>
            <w:r>
              <w:rPr>
                <w:lang w:bidi="en-US"/>
              </w:rPr>
              <w:t>一级</w:t>
            </w:r>
          </w:p>
        </w:tc>
        <w:tc>
          <w:tcPr>
            <w:tcW w:w="916" w:type="pct"/>
            <w:vAlign w:val="center"/>
          </w:tcPr>
          <w:p>
            <w:pPr>
              <w:pStyle w:val="3238"/>
              <w:rPr>
                <w:b/>
                <w:lang w:bidi="en-US"/>
              </w:rPr>
            </w:pPr>
            <w:r>
              <w:rPr>
                <w:lang w:bidi="en-US"/>
              </w:rPr>
              <w:t>直接排放</w:t>
            </w:r>
          </w:p>
        </w:tc>
        <w:tc>
          <w:tcPr>
            <w:tcW w:w="3110" w:type="pct"/>
            <w:vAlign w:val="center"/>
          </w:tcPr>
          <w:p>
            <w:pPr>
              <w:pStyle w:val="3238"/>
              <w:rPr>
                <w:b/>
                <w:lang w:bidi="en-US"/>
              </w:rPr>
            </w:pPr>
            <w:r>
              <w:rPr>
                <w:lang w:bidi="en-US"/>
              </w:rPr>
              <w:t>Q≥</w:t>
            </w:r>
            <w:r>
              <w:t>20000</w:t>
            </w:r>
            <w:r>
              <w:rPr>
                <w:lang w:bidi="en-US"/>
              </w:rPr>
              <w:t>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974" w:type="pct"/>
            <w:vAlign w:val="center"/>
          </w:tcPr>
          <w:p>
            <w:pPr>
              <w:pStyle w:val="3238"/>
              <w:rPr>
                <w:b/>
                <w:lang w:bidi="en-US"/>
              </w:rPr>
            </w:pPr>
            <w:r>
              <w:rPr>
                <w:lang w:bidi="en-US"/>
              </w:rPr>
              <w:t>二级</w:t>
            </w:r>
          </w:p>
        </w:tc>
        <w:tc>
          <w:tcPr>
            <w:tcW w:w="916" w:type="pct"/>
            <w:vAlign w:val="center"/>
          </w:tcPr>
          <w:p>
            <w:pPr>
              <w:pStyle w:val="3238"/>
              <w:rPr>
                <w:b/>
                <w:lang w:bidi="en-US"/>
              </w:rPr>
            </w:pPr>
            <w:r>
              <w:rPr>
                <w:lang w:bidi="en-US"/>
              </w:rPr>
              <w:t>直接排放</w:t>
            </w:r>
          </w:p>
        </w:tc>
        <w:tc>
          <w:tcPr>
            <w:tcW w:w="3110" w:type="pct"/>
            <w:vAlign w:val="center"/>
          </w:tcPr>
          <w:p>
            <w:pPr>
              <w:pStyle w:val="3238"/>
              <w:rPr>
                <w:b/>
                <w:lang w:bidi="en-US"/>
              </w:rPr>
            </w:pPr>
            <w:r>
              <w:rPr>
                <w:lang w:bidi="en-U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974" w:type="pct"/>
            <w:vAlign w:val="center"/>
          </w:tcPr>
          <w:p>
            <w:pPr>
              <w:pStyle w:val="3238"/>
              <w:rPr>
                <w:b/>
                <w:lang w:bidi="en-US"/>
              </w:rPr>
            </w:pPr>
            <w:r>
              <w:rPr>
                <w:lang w:bidi="en-US"/>
              </w:rPr>
              <w:t>三级A</w:t>
            </w:r>
          </w:p>
        </w:tc>
        <w:tc>
          <w:tcPr>
            <w:tcW w:w="916" w:type="pct"/>
            <w:vAlign w:val="center"/>
          </w:tcPr>
          <w:p>
            <w:pPr>
              <w:pStyle w:val="3238"/>
              <w:rPr>
                <w:b/>
                <w:lang w:bidi="en-US"/>
              </w:rPr>
            </w:pPr>
            <w:r>
              <w:rPr>
                <w:lang w:bidi="en-US"/>
              </w:rPr>
              <w:t>直接排放</w:t>
            </w:r>
          </w:p>
        </w:tc>
        <w:tc>
          <w:tcPr>
            <w:tcW w:w="3110" w:type="pct"/>
            <w:vAlign w:val="center"/>
          </w:tcPr>
          <w:p>
            <w:pPr>
              <w:pStyle w:val="3238"/>
              <w:rPr>
                <w:b/>
                <w:lang w:bidi="en-US"/>
              </w:rPr>
            </w:pPr>
            <w:r>
              <w:rPr>
                <w:lang w:bidi="en-US"/>
              </w:rPr>
              <w:t>Q＜</w:t>
            </w:r>
            <w:r>
              <w:t>200</w:t>
            </w:r>
            <w:r>
              <w:rPr>
                <w:lang w:bidi="en-US"/>
              </w:rPr>
              <w:t>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974" w:type="pct"/>
            <w:vAlign w:val="center"/>
          </w:tcPr>
          <w:p>
            <w:pPr>
              <w:pStyle w:val="3238"/>
              <w:rPr>
                <w:b/>
                <w:lang w:bidi="en-US"/>
              </w:rPr>
            </w:pPr>
            <w:r>
              <w:rPr>
                <w:lang w:bidi="en-US"/>
              </w:rPr>
              <w:t>三级B</w:t>
            </w:r>
          </w:p>
        </w:tc>
        <w:tc>
          <w:tcPr>
            <w:tcW w:w="916" w:type="pct"/>
            <w:vAlign w:val="center"/>
          </w:tcPr>
          <w:p>
            <w:pPr>
              <w:pStyle w:val="3238"/>
              <w:rPr>
                <w:b/>
                <w:lang w:bidi="en-US"/>
              </w:rPr>
            </w:pPr>
            <w:r>
              <w:rPr>
                <w:lang w:bidi="en-US"/>
              </w:rPr>
              <w:t>间接排放</w:t>
            </w:r>
          </w:p>
        </w:tc>
        <w:tc>
          <w:tcPr>
            <w:tcW w:w="3110" w:type="pct"/>
            <w:vAlign w:val="center"/>
          </w:tcPr>
          <w:p>
            <w:pPr>
              <w:pStyle w:val="3238"/>
              <w:rPr>
                <w:lang w:bidi="en-US"/>
              </w:rPr>
            </w:pPr>
            <w:r>
              <w:rPr>
                <w:lang w:bidi="en-US"/>
              </w:rPr>
              <w:t>—</w:t>
            </w:r>
          </w:p>
        </w:tc>
      </w:tr>
    </w:tbl>
    <w:p>
      <w:pPr>
        <w:pStyle w:val="222"/>
      </w:pPr>
      <w:r>
        <w:t>本项目生产废水为车辆冲洗废水，经沉淀处理后全部回用，不外排；生活污水经化粪池收集处理后用作农肥，不外排，故项目开采期不排放废水。根据《环境影响评价技术导则 地表水环境》（HJ 2.3-2018），确定</w:t>
      </w:r>
      <w:r>
        <w:rPr>
          <w:bCs/>
        </w:rPr>
        <w:t>本项目</w:t>
      </w:r>
      <w:r>
        <w:t>地表水环境评价工作等级为三级B，</w:t>
      </w:r>
      <w:bookmarkStart w:id="104" w:name="_Hlk50649213"/>
      <w:r>
        <w:t>可不进行水环境影响预测，评价主要对水污染控制和水环境影响减缓措施有效性评价、依托现有污水处理设施的环境可行性评价。</w:t>
      </w:r>
    </w:p>
    <w:bookmarkEnd w:id="104"/>
    <w:p>
      <w:pPr>
        <w:pStyle w:val="5"/>
        <w:rPr>
          <w:color w:val="auto"/>
        </w:rPr>
      </w:pPr>
      <w:r>
        <w:rPr>
          <w:color w:val="auto"/>
        </w:rPr>
        <w:t>1.6.4地下水环境影响评价等级及评价范围</w:t>
      </w:r>
    </w:p>
    <w:p>
      <w:pPr>
        <w:pStyle w:val="222"/>
      </w:pPr>
      <w:r>
        <w:t>根据《环境影响评价技术导则 地下水环境》（HJ 610-2016）附录A，本项目属于“54、土砂石开采”，地下水环境影响评价项目类别为Ⅳ类。因此，</w:t>
      </w:r>
      <w:r>
        <w:rPr>
          <w:bCs/>
        </w:rPr>
        <w:t>本次</w:t>
      </w:r>
      <w:r>
        <w:t>不开展地下水环境影响评价。</w:t>
      </w:r>
    </w:p>
    <w:p>
      <w:pPr>
        <w:pStyle w:val="5"/>
        <w:rPr>
          <w:color w:val="auto"/>
        </w:rPr>
      </w:pPr>
      <w:r>
        <w:rPr>
          <w:color w:val="auto"/>
        </w:rPr>
        <w:t>1.6.5声环境影响评价等级及评价范围</w:t>
      </w:r>
    </w:p>
    <w:p>
      <w:pPr>
        <w:pStyle w:val="6"/>
        <w:numPr>
          <w:ilvl w:val="3"/>
          <w:numId w:val="0"/>
        </w:numPr>
      </w:pPr>
      <w:r>
        <w:t>1.6.5.1评价等级</w:t>
      </w:r>
    </w:p>
    <w:p>
      <w:pPr>
        <w:pStyle w:val="222"/>
        <w:rPr>
          <w:lang w:bidi="en-US"/>
        </w:rPr>
      </w:pPr>
      <w:r>
        <w:t>项目所在地声环境属于《声环境质量标准》（GB3096-2008）中的2类地区，项目扩建后</w:t>
      </w:r>
      <w:r>
        <w:rPr>
          <w:bCs/>
        </w:rPr>
        <w:t>噪声级增高量在3dB（A）~5 dB（A）</w:t>
      </w:r>
      <w:r>
        <w:rPr>
          <w:lang w:bidi="en-US"/>
        </w:rPr>
        <w:t>，</w:t>
      </w:r>
      <w:r>
        <w:t>受影响人口数量变化不大，</w:t>
      </w:r>
      <w:r>
        <w:rPr>
          <w:lang w:bidi="en-US"/>
        </w:rPr>
        <w:t>根据《环境影响评价技术导则 声环境》（HJ2.4-2021），确定</w:t>
      </w:r>
      <w:r>
        <w:rPr>
          <w:bCs/>
          <w:lang w:bidi="en-US"/>
        </w:rPr>
        <w:t>本项目</w:t>
      </w:r>
      <w:r>
        <w:rPr>
          <w:lang w:bidi="en-US"/>
        </w:rPr>
        <w:t>声环境评价工作等级为二级。</w:t>
      </w:r>
    </w:p>
    <w:p>
      <w:pPr>
        <w:pStyle w:val="6"/>
        <w:numPr>
          <w:ilvl w:val="3"/>
          <w:numId w:val="0"/>
        </w:numPr>
      </w:pPr>
      <w:r>
        <w:t>1.6.5.2评价范围</w:t>
      </w:r>
    </w:p>
    <w:p>
      <w:pPr>
        <w:pStyle w:val="215"/>
        <w:spacing w:line="460" w:lineRule="exact"/>
        <w:rPr>
          <w:sz w:val="24"/>
        </w:rPr>
      </w:pPr>
      <w:r>
        <w:drawing>
          <wp:anchor distT="0" distB="0" distL="114300" distR="114300" simplePos="0" relativeHeight="251986944" behindDoc="0" locked="0" layoutInCell="1" allowOverlap="1">
            <wp:simplePos x="0" y="0"/>
            <wp:positionH relativeFrom="column">
              <wp:posOffset>-163195</wp:posOffset>
            </wp:positionH>
            <wp:positionV relativeFrom="paragraph">
              <wp:posOffset>734060</wp:posOffset>
            </wp:positionV>
            <wp:extent cx="5760085" cy="4335780"/>
            <wp:effectExtent l="0" t="0" r="0" b="7620"/>
            <wp:wrapTopAndBottom/>
            <wp:docPr id="2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true"/>
                    </pic:cNvPicPr>
                  </pic:nvPicPr>
                  <pic:blipFill>
                    <a:blip r:embed="rId48">
                      <a:extLst>
                        <a:ext uri="{28A0092B-C50C-407E-A947-70E740481C1C}">
                          <a14:useLocalDpi xmlns:a14="http://schemas.microsoft.com/office/drawing/2010/main" val="false"/>
                        </a:ext>
                      </a:extLst>
                    </a:blip>
                    <a:stretch>
                      <a:fillRect/>
                    </a:stretch>
                  </pic:blipFill>
                  <pic:spPr>
                    <a:xfrm>
                      <a:off x="0" y="0"/>
                      <a:ext cx="5760085" cy="4335780"/>
                    </a:xfrm>
                    <a:prstGeom prst="rect">
                      <a:avLst/>
                    </a:prstGeom>
                  </pic:spPr>
                </pic:pic>
              </a:graphicData>
            </a:graphic>
          </wp:anchor>
        </w:drawing>
      </w:r>
      <w:r>
        <w:rPr>
          <w:sz w:val="24"/>
        </w:rPr>
        <w:t>根据《环境影响评价技术导则 声环境》（HJ2.4-2021），本项目声环境影响评价范围为项目矿界及工业场地厂界外200m范围。</w:t>
      </w:r>
    </w:p>
    <w:p>
      <w:pPr>
        <w:pStyle w:val="215"/>
        <w:spacing w:line="460" w:lineRule="exact"/>
        <w:ind w:firstLine="0" w:firstLineChars="0"/>
        <w:jc w:val="center"/>
        <w:rPr>
          <w:sz w:val="24"/>
        </w:rPr>
      </w:pPr>
      <w:r>
        <w:rPr>
          <w:sz w:val="24"/>
        </w:rPr>
        <w:t>图1-3  声环境评价范围图</w:t>
      </w:r>
    </w:p>
    <w:p>
      <w:pPr>
        <w:pStyle w:val="5"/>
        <w:rPr>
          <w:color w:val="auto"/>
        </w:rPr>
      </w:pPr>
      <w:r>
        <w:rPr>
          <w:color w:val="auto"/>
        </w:rPr>
        <w:t>1.6.6土壤环境影响评价等级及评价范围</w:t>
      </w:r>
    </w:p>
    <w:p>
      <w:pPr>
        <w:pStyle w:val="222"/>
      </w:pPr>
      <w:r>
        <w:t>本项目矿区为石灰岩矿露天开采，属于土壤资源损失型项目，不会对土壤产生“盐化、酸化、碱化”的生态型影响，不属于生态影响型项目。根据《环境影响评价技术导则 土壤环境（试行）》（HJ 964-2018）附录A，项目属于“采矿业中其他”，土壤环境影响评价项目类别为III类。</w:t>
      </w:r>
    </w:p>
    <w:p>
      <w:pPr>
        <w:pStyle w:val="222"/>
      </w:pPr>
      <w:r>
        <w:t>项目生产过程剥离的表土、废石不会对土壤环境造成污染；项目工业场地内矿石加工工艺均为物理过程，不添加任何化学试剂，不会对土壤环境造成污染；矿区面积为0.0466km</w:t>
      </w:r>
      <w:r>
        <w:rPr>
          <w:vertAlign w:val="superscript"/>
        </w:rPr>
        <w:t>2</w:t>
      </w:r>
      <w:r>
        <w:t>＜5公顷，属于小型，工业场地面积为0.018km</w:t>
      </w:r>
      <w:r>
        <w:rPr>
          <w:vertAlign w:val="superscript"/>
        </w:rPr>
        <w:t>2</w:t>
      </w:r>
      <w:r>
        <w:t>＜5公顷，属于小型。</w:t>
      </w:r>
    </w:p>
    <w:p>
      <w:pPr>
        <w:pStyle w:val="84"/>
      </w:pPr>
      <w:r>
        <w:t>表1.6-8  污染影响型敏感程度分级表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4961"/>
        <w:gridCol w:w="2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68" w:type="dxa"/>
            <w:shd w:val="clear" w:color="auto" w:fill="D8D8D8" w:themeFill="background1" w:themeFillShade="D9"/>
            <w:vAlign w:val="center"/>
          </w:tcPr>
          <w:p>
            <w:pPr>
              <w:pStyle w:val="222"/>
              <w:spacing w:line="240" w:lineRule="auto"/>
              <w:ind w:firstLine="0" w:firstLineChars="0"/>
              <w:jc w:val="center"/>
              <w:rPr>
                <w:b/>
              </w:rPr>
            </w:pPr>
            <w:r>
              <w:rPr>
                <w:b/>
              </w:rPr>
              <w:t>敏感程度</w:t>
            </w:r>
          </w:p>
        </w:tc>
        <w:tc>
          <w:tcPr>
            <w:tcW w:w="4961" w:type="dxa"/>
            <w:shd w:val="clear" w:color="auto" w:fill="D8D8D8" w:themeFill="background1" w:themeFillShade="D9"/>
            <w:vAlign w:val="center"/>
          </w:tcPr>
          <w:p>
            <w:pPr>
              <w:pStyle w:val="222"/>
              <w:spacing w:line="240" w:lineRule="auto"/>
              <w:ind w:firstLine="0" w:firstLineChars="0"/>
              <w:jc w:val="center"/>
              <w:rPr>
                <w:b/>
              </w:rPr>
            </w:pPr>
            <w:r>
              <w:rPr>
                <w:b/>
              </w:rPr>
              <w:t>判别依据</w:t>
            </w:r>
          </w:p>
        </w:tc>
        <w:tc>
          <w:tcPr>
            <w:tcW w:w="2658" w:type="dxa"/>
            <w:shd w:val="clear" w:color="auto" w:fill="D8D8D8" w:themeFill="background1" w:themeFillShade="D9"/>
            <w:vAlign w:val="center"/>
          </w:tcPr>
          <w:p>
            <w:pPr>
              <w:pStyle w:val="222"/>
              <w:spacing w:line="240" w:lineRule="auto"/>
              <w:ind w:firstLine="0" w:firstLineChars="0"/>
              <w:jc w:val="center"/>
              <w:rPr>
                <w:b/>
              </w:rPr>
            </w:pPr>
            <w:r>
              <w:rPr>
                <w:b/>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68" w:type="dxa"/>
            <w:vAlign w:val="center"/>
          </w:tcPr>
          <w:p>
            <w:pPr>
              <w:pStyle w:val="222"/>
              <w:spacing w:line="240" w:lineRule="auto"/>
              <w:ind w:firstLine="0" w:firstLineChars="0"/>
              <w:jc w:val="center"/>
            </w:pPr>
            <w:r>
              <w:t>敏感</w:t>
            </w:r>
          </w:p>
        </w:tc>
        <w:tc>
          <w:tcPr>
            <w:tcW w:w="4961" w:type="dxa"/>
            <w:vAlign w:val="center"/>
          </w:tcPr>
          <w:p>
            <w:pPr>
              <w:pStyle w:val="222"/>
              <w:spacing w:line="240" w:lineRule="auto"/>
              <w:ind w:firstLine="0" w:firstLineChars="0"/>
            </w:pPr>
            <w:r>
              <w:t>建设项目周边存在耕地、园地、牧草地、饮用水水源地或居民区、学校、医院、养老院等土壤环境敏感目标的</w:t>
            </w:r>
          </w:p>
        </w:tc>
        <w:tc>
          <w:tcPr>
            <w:tcW w:w="2658" w:type="dxa"/>
            <w:vAlign w:val="center"/>
          </w:tcPr>
          <w:p>
            <w:pPr>
              <w:pStyle w:val="222"/>
              <w:spacing w:line="240" w:lineRule="auto"/>
              <w:ind w:firstLine="0" w:firstLineChars="0"/>
            </w:pPr>
            <w:r>
              <w:t>本项目周边不涉及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68" w:type="dxa"/>
            <w:vAlign w:val="center"/>
          </w:tcPr>
          <w:p>
            <w:pPr>
              <w:pStyle w:val="222"/>
              <w:spacing w:line="240" w:lineRule="auto"/>
              <w:ind w:firstLine="0" w:firstLineChars="0"/>
              <w:jc w:val="center"/>
            </w:pPr>
            <w:r>
              <w:t>较敏感</w:t>
            </w:r>
          </w:p>
        </w:tc>
        <w:tc>
          <w:tcPr>
            <w:tcW w:w="4961" w:type="dxa"/>
            <w:vAlign w:val="center"/>
          </w:tcPr>
          <w:p>
            <w:pPr>
              <w:pStyle w:val="222"/>
              <w:spacing w:line="240" w:lineRule="auto"/>
              <w:ind w:firstLine="0" w:firstLineChars="0"/>
            </w:pPr>
            <w:r>
              <w:t>建设项目周边存在其他土壤环境敏感目标的</w:t>
            </w:r>
          </w:p>
        </w:tc>
        <w:tc>
          <w:tcPr>
            <w:tcW w:w="2658" w:type="dxa"/>
            <w:vAlign w:val="center"/>
          </w:tcPr>
          <w:p>
            <w:pPr>
              <w:pStyle w:val="222"/>
              <w:spacing w:line="240" w:lineRule="auto"/>
              <w:ind w:firstLine="0" w:firstLineChars="0"/>
            </w:pPr>
            <w:r>
              <w:t>周边存在林地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68" w:type="dxa"/>
            <w:vAlign w:val="center"/>
          </w:tcPr>
          <w:p>
            <w:pPr>
              <w:pStyle w:val="222"/>
              <w:spacing w:line="240" w:lineRule="auto"/>
              <w:ind w:firstLine="0" w:firstLineChars="0"/>
              <w:jc w:val="center"/>
            </w:pPr>
            <w:r>
              <w:t>不敏感</w:t>
            </w:r>
          </w:p>
        </w:tc>
        <w:tc>
          <w:tcPr>
            <w:tcW w:w="4961" w:type="dxa"/>
            <w:vAlign w:val="center"/>
          </w:tcPr>
          <w:p>
            <w:pPr>
              <w:pStyle w:val="222"/>
              <w:spacing w:line="240" w:lineRule="auto"/>
              <w:ind w:firstLine="0" w:firstLineChars="0"/>
            </w:pPr>
            <w:r>
              <w:t>其他情况</w:t>
            </w:r>
          </w:p>
        </w:tc>
        <w:tc>
          <w:tcPr>
            <w:tcW w:w="2658" w:type="dxa"/>
            <w:vAlign w:val="center"/>
          </w:tcPr>
          <w:p>
            <w:pPr>
              <w:pStyle w:val="222"/>
              <w:spacing w:line="240" w:lineRule="auto"/>
              <w:ind w:firstLine="0" w:firstLineChars="0"/>
            </w:pPr>
            <w:r>
              <w:t>/</w:t>
            </w:r>
          </w:p>
        </w:tc>
      </w:tr>
    </w:tbl>
    <w:p>
      <w:pPr>
        <w:pStyle w:val="84"/>
      </w:pPr>
      <w:r>
        <w:t>表1.6-9   土壤评价等级判据及结果</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3"/>
        <w:gridCol w:w="854"/>
        <w:gridCol w:w="854"/>
        <w:gridCol w:w="856"/>
        <w:gridCol w:w="854"/>
        <w:gridCol w:w="854"/>
        <w:gridCol w:w="856"/>
        <w:gridCol w:w="854"/>
        <w:gridCol w:w="855"/>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tblHeader/>
          <w:jc w:val="center"/>
        </w:trPr>
        <w:tc>
          <w:tcPr>
            <w:tcW w:w="852" w:type="pct"/>
            <w:vMerge w:val="restart"/>
            <w:tcBorders>
              <w:tl2br w:val="single" w:color="auto" w:sz="4" w:space="0"/>
            </w:tcBorders>
            <w:shd w:val="clear" w:color="auto" w:fill="D8D8D8" w:themeFill="background1" w:themeFillShade="D9"/>
            <w:vAlign w:val="center"/>
          </w:tcPr>
          <w:p>
            <w:pPr>
              <w:spacing w:line="240" w:lineRule="auto"/>
              <w:ind w:firstLine="0" w:firstLineChars="0"/>
              <w:jc w:val="right"/>
              <w:rPr>
                <w:b/>
                <w:sz w:val="21"/>
                <w:szCs w:val="21"/>
              </w:rPr>
            </w:pPr>
            <w:r>
              <w:rPr>
                <w:b/>
                <w:sz w:val="21"/>
                <w:szCs w:val="21"/>
              </w:rPr>
              <w:t>占地规模</w:t>
            </w:r>
          </w:p>
          <w:p>
            <w:pPr>
              <w:spacing w:line="240" w:lineRule="auto"/>
              <w:ind w:firstLine="0" w:firstLineChars="0"/>
              <w:jc w:val="both"/>
              <w:textAlignment w:val="center"/>
              <w:rPr>
                <w:b/>
                <w:sz w:val="21"/>
                <w:szCs w:val="21"/>
              </w:rPr>
            </w:pPr>
            <w:r>
              <w:rPr>
                <w:b/>
                <w:sz w:val="21"/>
                <w:szCs w:val="21"/>
              </w:rPr>
              <w:t>敏感程度</w:t>
            </w:r>
          </w:p>
        </w:tc>
        <w:tc>
          <w:tcPr>
            <w:tcW w:w="1381" w:type="pct"/>
            <w:gridSpan w:val="3"/>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Ⅰ类</w:t>
            </w:r>
          </w:p>
        </w:tc>
        <w:tc>
          <w:tcPr>
            <w:tcW w:w="1381" w:type="pct"/>
            <w:gridSpan w:val="3"/>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Ⅱ类</w:t>
            </w:r>
          </w:p>
        </w:tc>
        <w:tc>
          <w:tcPr>
            <w:tcW w:w="1385" w:type="pct"/>
            <w:gridSpan w:val="3"/>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tblHeader/>
          <w:jc w:val="center"/>
        </w:trPr>
        <w:tc>
          <w:tcPr>
            <w:tcW w:w="852" w:type="pct"/>
            <w:vMerge w:val="continue"/>
            <w:shd w:val="clear" w:color="auto" w:fill="D8D8D8" w:themeFill="background1" w:themeFillShade="D9"/>
            <w:vAlign w:val="center"/>
          </w:tcPr>
          <w:p>
            <w:pPr>
              <w:spacing w:line="240" w:lineRule="auto"/>
              <w:ind w:firstLine="0" w:firstLineChars="0"/>
              <w:jc w:val="center"/>
              <w:textAlignment w:val="center"/>
              <w:rPr>
                <w:b/>
                <w:sz w:val="21"/>
                <w:szCs w:val="21"/>
              </w:rPr>
            </w:pPr>
          </w:p>
        </w:tc>
        <w:tc>
          <w:tcPr>
            <w:tcW w:w="460"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大</w:t>
            </w:r>
          </w:p>
        </w:tc>
        <w:tc>
          <w:tcPr>
            <w:tcW w:w="460"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中</w:t>
            </w:r>
          </w:p>
        </w:tc>
        <w:tc>
          <w:tcPr>
            <w:tcW w:w="461"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小</w:t>
            </w:r>
          </w:p>
        </w:tc>
        <w:tc>
          <w:tcPr>
            <w:tcW w:w="460"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大</w:t>
            </w:r>
          </w:p>
        </w:tc>
        <w:tc>
          <w:tcPr>
            <w:tcW w:w="460"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中</w:t>
            </w:r>
          </w:p>
        </w:tc>
        <w:tc>
          <w:tcPr>
            <w:tcW w:w="461"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小</w:t>
            </w:r>
          </w:p>
        </w:tc>
        <w:tc>
          <w:tcPr>
            <w:tcW w:w="460"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大</w:t>
            </w:r>
          </w:p>
        </w:tc>
        <w:tc>
          <w:tcPr>
            <w:tcW w:w="460"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中</w:t>
            </w:r>
          </w:p>
        </w:tc>
        <w:tc>
          <w:tcPr>
            <w:tcW w:w="465" w:type="pct"/>
            <w:shd w:val="clear" w:color="auto" w:fill="D8D8D8" w:themeFill="background1" w:themeFillShade="D9"/>
            <w:vAlign w:val="center"/>
          </w:tcPr>
          <w:p>
            <w:pPr>
              <w:spacing w:line="240" w:lineRule="auto"/>
              <w:ind w:firstLine="0" w:firstLineChars="0"/>
              <w:jc w:val="center"/>
              <w:textAlignment w:val="center"/>
              <w:rPr>
                <w:b/>
                <w:sz w:val="21"/>
                <w:szCs w:val="21"/>
              </w:rPr>
            </w:pPr>
            <w:r>
              <w:rPr>
                <w:b/>
                <w:sz w:val="21"/>
                <w:szCs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tblHeader/>
          <w:jc w:val="center"/>
        </w:trPr>
        <w:tc>
          <w:tcPr>
            <w:tcW w:w="852" w:type="pct"/>
            <w:vAlign w:val="center"/>
          </w:tcPr>
          <w:p>
            <w:pPr>
              <w:spacing w:line="240" w:lineRule="auto"/>
              <w:ind w:firstLine="0" w:firstLineChars="0"/>
              <w:jc w:val="center"/>
              <w:textAlignment w:val="center"/>
              <w:rPr>
                <w:sz w:val="21"/>
                <w:szCs w:val="21"/>
              </w:rPr>
            </w:pPr>
            <w:r>
              <w:rPr>
                <w:sz w:val="21"/>
                <w:szCs w:val="21"/>
              </w:rPr>
              <w:t>敏感</w:t>
            </w:r>
          </w:p>
        </w:tc>
        <w:tc>
          <w:tcPr>
            <w:tcW w:w="460" w:type="pct"/>
            <w:vAlign w:val="center"/>
          </w:tcPr>
          <w:p>
            <w:pPr>
              <w:spacing w:line="240" w:lineRule="auto"/>
              <w:ind w:firstLine="0" w:firstLineChars="0"/>
              <w:jc w:val="center"/>
              <w:textAlignment w:val="center"/>
              <w:rPr>
                <w:sz w:val="21"/>
                <w:szCs w:val="21"/>
              </w:rPr>
            </w:pPr>
            <w:r>
              <w:rPr>
                <w:sz w:val="21"/>
                <w:szCs w:val="21"/>
              </w:rPr>
              <w:t>一级</w:t>
            </w:r>
          </w:p>
        </w:tc>
        <w:tc>
          <w:tcPr>
            <w:tcW w:w="460" w:type="pct"/>
            <w:shd w:val="clear" w:color="auto" w:fill="auto"/>
            <w:vAlign w:val="center"/>
          </w:tcPr>
          <w:p>
            <w:pPr>
              <w:spacing w:line="240" w:lineRule="auto"/>
              <w:ind w:firstLine="0" w:firstLineChars="0"/>
              <w:jc w:val="center"/>
              <w:textAlignment w:val="center"/>
              <w:rPr>
                <w:sz w:val="21"/>
                <w:szCs w:val="21"/>
              </w:rPr>
            </w:pPr>
            <w:r>
              <w:rPr>
                <w:sz w:val="21"/>
                <w:szCs w:val="21"/>
              </w:rPr>
              <w:t>一级</w:t>
            </w:r>
          </w:p>
        </w:tc>
        <w:tc>
          <w:tcPr>
            <w:tcW w:w="461" w:type="pct"/>
            <w:shd w:val="clear" w:color="auto" w:fill="auto"/>
            <w:vAlign w:val="center"/>
          </w:tcPr>
          <w:p>
            <w:pPr>
              <w:spacing w:line="240" w:lineRule="auto"/>
              <w:ind w:firstLine="0" w:firstLineChars="0"/>
              <w:jc w:val="center"/>
              <w:textAlignment w:val="center"/>
              <w:rPr>
                <w:sz w:val="21"/>
                <w:szCs w:val="21"/>
              </w:rPr>
            </w:pPr>
            <w:r>
              <w:rPr>
                <w:sz w:val="21"/>
                <w:szCs w:val="21"/>
              </w:rPr>
              <w:t>一级</w:t>
            </w:r>
          </w:p>
        </w:tc>
        <w:tc>
          <w:tcPr>
            <w:tcW w:w="460" w:type="pct"/>
            <w:vAlign w:val="center"/>
          </w:tcPr>
          <w:p>
            <w:pPr>
              <w:spacing w:line="240" w:lineRule="auto"/>
              <w:ind w:firstLine="0" w:firstLineChars="0"/>
              <w:jc w:val="center"/>
              <w:textAlignment w:val="center"/>
              <w:rPr>
                <w:sz w:val="21"/>
                <w:szCs w:val="21"/>
              </w:rPr>
            </w:pPr>
            <w:r>
              <w:rPr>
                <w:sz w:val="21"/>
                <w:szCs w:val="21"/>
              </w:rPr>
              <w:t>二级</w:t>
            </w:r>
          </w:p>
        </w:tc>
        <w:tc>
          <w:tcPr>
            <w:tcW w:w="460" w:type="pct"/>
            <w:vAlign w:val="center"/>
          </w:tcPr>
          <w:p>
            <w:pPr>
              <w:spacing w:line="240" w:lineRule="auto"/>
              <w:ind w:firstLine="0" w:firstLineChars="0"/>
              <w:jc w:val="center"/>
              <w:textAlignment w:val="center"/>
              <w:rPr>
                <w:sz w:val="21"/>
                <w:szCs w:val="21"/>
              </w:rPr>
            </w:pPr>
            <w:r>
              <w:rPr>
                <w:sz w:val="21"/>
                <w:szCs w:val="21"/>
              </w:rPr>
              <w:t>二级</w:t>
            </w:r>
          </w:p>
        </w:tc>
        <w:tc>
          <w:tcPr>
            <w:tcW w:w="461" w:type="pct"/>
            <w:vAlign w:val="center"/>
          </w:tcPr>
          <w:p>
            <w:pPr>
              <w:spacing w:line="240" w:lineRule="auto"/>
              <w:ind w:firstLine="0" w:firstLineChars="0"/>
              <w:jc w:val="center"/>
              <w:textAlignment w:val="center"/>
              <w:rPr>
                <w:b/>
                <w:bCs/>
                <w:sz w:val="21"/>
                <w:szCs w:val="21"/>
              </w:rPr>
            </w:pPr>
            <w:r>
              <w:rPr>
                <w:b/>
                <w:bCs/>
                <w:sz w:val="21"/>
                <w:szCs w:val="21"/>
              </w:rPr>
              <w:t>二级</w:t>
            </w:r>
          </w:p>
        </w:tc>
        <w:tc>
          <w:tcPr>
            <w:tcW w:w="460" w:type="pct"/>
            <w:vAlign w:val="center"/>
          </w:tcPr>
          <w:p>
            <w:pPr>
              <w:spacing w:line="240" w:lineRule="auto"/>
              <w:ind w:firstLine="0" w:firstLineChars="0"/>
              <w:jc w:val="center"/>
              <w:textAlignment w:val="center"/>
              <w:rPr>
                <w:sz w:val="21"/>
                <w:szCs w:val="21"/>
              </w:rPr>
            </w:pPr>
            <w:r>
              <w:rPr>
                <w:sz w:val="21"/>
                <w:szCs w:val="21"/>
              </w:rPr>
              <w:t>三级</w:t>
            </w:r>
          </w:p>
        </w:tc>
        <w:tc>
          <w:tcPr>
            <w:tcW w:w="460" w:type="pct"/>
            <w:vAlign w:val="center"/>
          </w:tcPr>
          <w:p>
            <w:pPr>
              <w:spacing w:line="240" w:lineRule="auto"/>
              <w:ind w:firstLine="0" w:firstLineChars="0"/>
              <w:jc w:val="center"/>
              <w:textAlignment w:val="center"/>
              <w:rPr>
                <w:sz w:val="21"/>
                <w:szCs w:val="21"/>
              </w:rPr>
            </w:pPr>
            <w:r>
              <w:rPr>
                <w:sz w:val="21"/>
                <w:szCs w:val="21"/>
              </w:rPr>
              <w:t>三级</w:t>
            </w:r>
          </w:p>
        </w:tc>
        <w:tc>
          <w:tcPr>
            <w:tcW w:w="465" w:type="pct"/>
            <w:vAlign w:val="center"/>
          </w:tcPr>
          <w:p>
            <w:pPr>
              <w:spacing w:line="240" w:lineRule="auto"/>
              <w:ind w:firstLine="0" w:firstLineChars="0"/>
              <w:jc w:val="center"/>
              <w:rPr>
                <w:sz w:val="21"/>
                <w:szCs w:val="21"/>
              </w:rPr>
            </w:pPr>
            <w:r>
              <w:rPr>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tblHeader/>
          <w:jc w:val="center"/>
        </w:trPr>
        <w:tc>
          <w:tcPr>
            <w:tcW w:w="852" w:type="pct"/>
            <w:vAlign w:val="center"/>
          </w:tcPr>
          <w:p>
            <w:pPr>
              <w:spacing w:line="240" w:lineRule="auto"/>
              <w:ind w:firstLine="0" w:firstLineChars="0"/>
              <w:jc w:val="center"/>
              <w:textAlignment w:val="center"/>
              <w:rPr>
                <w:sz w:val="21"/>
                <w:szCs w:val="21"/>
              </w:rPr>
            </w:pPr>
            <w:r>
              <w:rPr>
                <w:sz w:val="21"/>
                <w:szCs w:val="21"/>
              </w:rPr>
              <w:t>较敏感</w:t>
            </w:r>
          </w:p>
        </w:tc>
        <w:tc>
          <w:tcPr>
            <w:tcW w:w="460" w:type="pct"/>
            <w:vAlign w:val="center"/>
          </w:tcPr>
          <w:p>
            <w:pPr>
              <w:spacing w:line="240" w:lineRule="auto"/>
              <w:ind w:firstLine="0" w:firstLineChars="0"/>
              <w:jc w:val="center"/>
              <w:textAlignment w:val="center"/>
              <w:rPr>
                <w:sz w:val="21"/>
                <w:szCs w:val="21"/>
              </w:rPr>
            </w:pPr>
            <w:r>
              <w:rPr>
                <w:sz w:val="21"/>
                <w:szCs w:val="21"/>
              </w:rPr>
              <w:t>一级</w:t>
            </w:r>
          </w:p>
        </w:tc>
        <w:tc>
          <w:tcPr>
            <w:tcW w:w="460" w:type="pct"/>
            <w:vAlign w:val="center"/>
          </w:tcPr>
          <w:p>
            <w:pPr>
              <w:spacing w:line="240" w:lineRule="auto"/>
              <w:ind w:firstLine="0" w:firstLineChars="0"/>
              <w:jc w:val="center"/>
              <w:textAlignment w:val="center"/>
              <w:rPr>
                <w:sz w:val="21"/>
                <w:szCs w:val="21"/>
              </w:rPr>
            </w:pPr>
            <w:r>
              <w:rPr>
                <w:sz w:val="21"/>
                <w:szCs w:val="21"/>
              </w:rPr>
              <w:t>一级</w:t>
            </w:r>
          </w:p>
        </w:tc>
        <w:tc>
          <w:tcPr>
            <w:tcW w:w="461" w:type="pct"/>
            <w:vAlign w:val="center"/>
          </w:tcPr>
          <w:p>
            <w:pPr>
              <w:spacing w:line="240" w:lineRule="auto"/>
              <w:ind w:firstLine="0" w:firstLineChars="0"/>
              <w:jc w:val="center"/>
              <w:textAlignment w:val="center"/>
              <w:rPr>
                <w:sz w:val="21"/>
                <w:szCs w:val="21"/>
              </w:rPr>
            </w:pPr>
            <w:r>
              <w:rPr>
                <w:sz w:val="21"/>
                <w:szCs w:val="21"/>
              </w:rPr>
              <w:t>二级</w:t>
            </w:r>
          </w:p>
        </w:tc>
        <w:tc>
          <w:tcPr>
            <w:tcW w:w="460" w:type="pct"/>
            <w:vAlign w:val="center"/>
          </w:tcPr>
          <w:p>
            <w:pPr>
              <w:spacing w:line="240" w:lineRule="auto"/>
              <w:ind w:firstLine="0" w:firstLineChars="0"/>
              <w:jc w:val="center"/>
              <w:textAlignment w:val="center"/>
              <w:rPr>
                <w:sz w:val="21"/>
                <w:szCs w:val="21"/>
              </w:rPr>
            </w:pPr>
            <w:r>
              <w:rPr>
                <w:sz w:val="21"/>
                <w:szCs w:val="21"/>
              </w:rPr>
              <w:t>二级</w:t>
            </w:r>
          </w:p>
        </w:tc>
        <w:tc>
          <w:tcPr>
            <w:tcW w:w="460" w:type="pct"/>
            <w:vAlign w:val="center"/>
          </w:tcPr>
          <w:p>
            <w:pPr>
              <w:spacing w:line="240" w:lineRule="auto"/>
              <w:ind w:firstLine="0" w:firstLineChars="0"/>
              <w:jc w:val="center"/>
              <w:textAlignment w:val="center"/>
              <w:rPr>
                <w:sz w:val="21"/>
                <w:szCs w:val="21"/>
              </w:rPr>
            </w:pPr>
            <w:r>
              <w:rPr>
                <w:sz w:val="21"/>
                <w:szCs w:val="21"/>
              </w:rPr>
              <w:t>二级</w:t>
            </w:r>
          </w:p>
        </w:tc>
        <w:tc>
          <w:tcPr>
            <w:tcW w:w="461" w:type="pct"/>
            <w:vAlign w:val="center"/>
          </w:tcPr>
          <w:p>
            <w:pPr>
              <w:spacing w:line="240" w:lineRule="auto"/>
              <w:ind w:firstLine="0" w:firstLineChars="0"/>
              <w:jc w:val="center"/>
              <w:textAlignment w:val="center"/>
              <w:rPr>
                <w:sz w:val="21"/>
                <w:szCs w:val="21"/>
              </w:rPr>
            </w:pPr>
            <w:r>
              <w:rPr>
                <w:sz w:val="21"/>
                <w:szCs w:val="21"/>
              </w:rPr>
              <w:t>三级</w:t>
            </w:r>
          </w:p>
        </w:tc>
        <w:tc>
          <w:tcPr>
            <w:tcW w:w="460" w:type="pct"/>
            <w:vAlign w:val="center"/>
          </w:tcPr>
          <w:p>
            <w:pPr>
              <w:spacing w:line="240" w:lineRule="auto"/>
              <w:ind w:firstLine="0" w:firstLineChars="0"/>
              <w:jc w:val="center"/>
              <w:textAlignment w:val="center"/>
              <w:rPr>
                <w:sz w:val="21"/>
                <w:szCs w:val="21"/>
              </w:rPr>
            </w:pPr>
            <w:r>
              <w:rPr>
                <w:sz w:val="21"/>
                <w:szCs w:val="21"/>
              </w:rPr>
              <w:t>三级</w:t>
            </w:r>
          </w:p>
        </w:tc>
        <w:tc>
          <w:tcPr>
            <w:tcW w:w="460" w:type="pct"/>
            <w:vAlign w:val="center"/>
          </w:tcPr>
          <w:p>
            <w:pPr>
              <w:spacing w:line="240" w:lineRule="auto"/>
              <w:ind w:firstLine="0" w:firstLineChars="0"/>
              <w:jc w:val="center"/>
              <w:textAlignment w:val="center"/>
              <w:rPr>
                <w:sz w:val="21"/>
                <w:szCs w:val="21"/>
              </w:rPr>
            </w:pPr>
            <w:r>
              <w:rPr>
                <w:sz w:val="21"/>
                <w:szCs w:val="21"/>
              </w:rPr>
              <w:t>三级</w:t>
            </w:r>
          </w:p>
        </w:tc>
        <w:tc>
          <w:tcPr>
            <w:tcW w:w="465" w:type="pct"/>
            <w:vAlign w:val="center"/>
          </w:tcPr>
          <w:p>
            <w:pPr>
              <w:spacing w:line="240" w:lineRule="auto"/>
              <w:ind w:firstLine="0" w:firstLineChars="0"/>
              <w:jc w:val="center"/>
              <w:rPr>
                <w:sz w:val="21"/>
                <w:szCs w:val="21"/>
              </w:rPr>
            </w:pPr>
            <w:r>
              <w:rPr>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tblHeader/>
          <w:jc w:val="center"/>
        </w:trPr>
        <w:tc>
          <w:tcPr>
            <w:tcW w:w="852" w:type="pct"/>
            <w:shd w:val="clear" w:color="auto" w:fill="auto"/>
            <w:vAlign w:val="center"/>
          </w:tcPr>
          <w:p>
            <w:pPr>
              <w:spacing w:line="240" w:lineRule="auto"/>
              <w:ind w:firstLine="0" w:firstLineChars="0"/>
              <w:jc w:val="center"/>
              <w:textAlignment w:val="center"/>
              <w:rPr>
                <w:sz w:val="21"/>
                <w:szCs w:val="21"/>
              </w:rPr>
            </w:pPr>
            <w:r>
              <w:rPr>
                <w:sz w:val="21"/>
                <w:szCs w:val="21"/>
              </w:rPr>
              <w:t>不敏感</w:t>
            </w:r>
          </w:p>
        </w:tc>
        <w:tc>
          <w:tcPr>
            <w:tcW w:w="460" w:type="pct"/>
            <w:shd w:val="clear" w:color="auto" w:fill="auto"/>
            <w:vAlign w:val="center"/>
          </w:tcPr>
          <w:p>
            <w:pPr>
              <w:spacing w:line="240" w:lineRule="auto"/>
              <w:ind w:firstLine="0" w:firstLineChars="0"/>
              <w:jc w:val="center"/>
              <w:textAlignment w:val="center"/>
              <w:rPr>
                <w:sz w:val="21"/>
                <w:szCs w:val="21"/>
              </w:rPr>
            </w:pPr>
            <w:r>
              <w:rPr>
                <w:sz w:val="21"/>
                <w:szCs w:val="21"/>
              </w:rPr>
              <w:t>一级</w:t>
            </w:r>
          </w:p>
        </w:tc>
        <w:tc>
          <w:tcPr>
            <w:tcW w:w="460" w:type="pct"/>
            <w:shd w:val="clear" w:color="auto" w:fill="auto"/>
            <w:vAlign w:val="center"/>
          </w:tcPr>
          <w:p>
            <w:pPr>
              <w:spacing w:line="240" w:lineRule="auto"/>
              <w:ind w:firstLine="0" w:firstLineChars="0"/>
              <w:jc w:val="center"/>
              <w:textAlignment w:val="center"/>
              <w:rPr>
                <w:sz w:val="21"/>
                <w:szCs w:val="21"/>
              </w:rPr>
            </w:pPr>
            <w:r>
              <w:rPr>
                <w:sz w:val="21"/>
                <w:szCs w:val="21"/>
              </w:rPr>
              <w:t>二级</w:t>
            </w:r>
          </w:p>
        </w:tc>
        <w:tc>
          <w:tcPr>
            <w:tcW w:w="461" w:type="pct"/>
            <w:shd w:val="clear" w:color="auto" w:fill="auto"/>
            <w:vAlign w:val="center"/>
          </w:tcPr>
          <w:p>
            <w:pPr>
              <w:spacing w:line="240" w:lineRule="auto"/>
              <w:ind w:firstLine="0" w:firstLineChars="0"/>
              <w:jc w:val="center"/>
              <w:textAlignment w:val="center"/>
              <w:rPr>
                <w:sz w:val="21"/>
                <w:szCs w:val="21"/>
              </w:rPr>
            </w:pPr>
            <w:r>
              <w:rPr>
                <w:sz w:val="21"/>
                <w:szCs w:val="21"/>
              </w:rPr>
              <w:t>二级</w:t>
            </w:r>
          </w:p>
        </w:tc>
        <w:tc>
          <w:tcPr>
            <w:tcW w:w="460" w:type="pct"/>
            <w:shd w:val="clear" w:color="auto" w:fill="auto"/>
            <w:vAlign w:val="center"/>
          </w:tcPr>
          <w:p>
            <w:pPr>
              <w:spacing w:line="240" w:lineRule="auto"/>
              <w:ind w:firstLine="0" w:firstLineChars="0"/>
              <w:jc w:val="center"/>
              <w:textAlignment w:val="center"/>
              <w:rPr>
                <w:sz w:val="21"/>
                <w:szCs w:val="21"/>
              </w:rPr>
            </w:pPr>
            <w:r>
              <w:rPr>
                <w:sz w:val="21"/>
                <w:szCs w:val="21"/>
              </w:rPr>
              <w:t>二级</w:t>
            </w:r>
          </w:p>
        </w:tc>
        <w:tc>
          <w:tcPr>
            <w:tcW w:w="460" w:type="pct"/>
            <w:shd w:val="clear" w:color="auto" w:fill="auto"/>
            <w:vAlign w:val="center"/>
          </w:tcPr>
          <w:p>
            <w:pPr>
              <w:spacing w:line="240" w:lineRule="auto"/>
              <w:ind w:firstLine="0" w:firstLineChars="0"/>
              <w:jc w:val="center"/>
              <w:textAlignment w:val="center"/>
              <w:rPr>
                <w:sz w:val="21"/>
                <w:szCs w:val="21"/>
              </w:rPr>
            </w:pPr>
            <w:r>
              <w:rPr>
                <w:sz w:val="21"/>
                <w:szCs w:val="21"/>
              </w:rPr>
              <w:t>三级</w:t>
            </w:r>
          </w:p>
        </w:tc>
        <w:tc>
          <w:tcPr>
            <w:tcW w:w="461" w:type="pct"/>
            <w:shd w:val="clear" w:color="auto" w:fill="auto"/>
            <w:vAlign w:val="center"/>
          </w:tcPr>
          <w:p>
            <w:pPr>
              <w:spacing w:line="240" w:lineRule="auto"/>
              <w:ind w:firstLine="0" w:firstLineChars="0"/>
              <w:jc w:val="center"/>
              <w:textAlignment w:val="center"/>
              <w:rPr>
                <w:sz w:val="21"/>
                <w:szCs w:val="21"/>
              </w:rPr>
            </w:pPr>
            <w:r>
              <w:rPr>
                <w:sz w:val="21"/>
                <w:szCs w:val="21"/>
              </w:rPr>
              <w:t>三级</w:t>
            </w:r>
          </w:p>
        </w:tc>
        <w:tc>
          <w:tcPr>
            <w:tcW w:w="460" w:type="pct"/>
            <w:shd w:val="clear" w:color="auto" w:fill="auto"/>
            <w:vAlign w:val="center"/>
          </w:tcPr>
          <w:p>
            <w:pPr>
              <w:spacing w:line="240" w:lineRule="auto"/>
              <w:ind w:firstLine="0" w:firstLineChars="0"/>
              <w:jc w:val="center"/>
              <w:textAlignment w:val="center"/>
              <w:rPr>
                <w:sz w:val="21"/>
                <w:szCs w:val="21"/>
              </w:rPr>
            </w:pPr>
            <w:r>
              <w:rPr>
                <w:sz w:val="21"/>
                <w:szCs w:val="21"/>
              </w:rPr>
              <w:t>三级</w:t>
            </w:r>
          </w:p>
        </w:tc>
        <w:tc>
          <w:tcPr>
            <w:tcW w:w="460" w:type="pct"/>
            <w:vAlign w:val="center"/>
          </w:tcPr>
          <w:p>
            <w:pPr>
              <w:spacing w:line="240" w:lineRule="auto"/>
              <w:ind w:firstLine="0" w:firstLineChars="0"/>
              <w:jc w:val="center"/>
              <w:textAlignment w:val="center"/>
              <w:rPr>
                <w:sz w:val="21"/>
                <w:szCs w:val="21"/>
              </w:rPr>
            </w:pPr>
            <w:r>
              <w:rPr>
                <w:sz w:val="21"/>
                <w:szCs w:val="21"/>
              </w:rPr>
              <w:t>-</w:t>
            </w:r>
          </w:p>
        </w:tc>
        <w:tc>
          <w:tcPr>
            <w:tcW w:w="465" w:type="pct"/>
            <w:vAlign w:val="center"/>
          </w:tcPr>
          <w:p>
            <w:pPr>
              <w:spacing w:line="240" w:lineRule="auto"/>
              <w:ind w:firstLine="0" w:firstLineChars="0"/>
              <w:jc w:val="center"/>
              <w:textAlignment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blHeader/>
          <w:jc w:val="center"/>
        </w:trPr>
        <w:tc>
          <w:tcPr>
            <w:tcW w:w="5000" w:type="pct"/>
            <w:gridSpan w:val="10"/>
            <w:vAlign w:val="center"/>
          </w:tcPr>
          <w:p>
            <w:pPr>
              <w:spacing w:line="240" w:lineRule="auto"/>
              <w:ind w:firstLine="0" w:firstLineChars="0"/>
              <w:textAlignment w:val="center"/>
              <w:rPr>
                <w:sz w:val="21"/>
                <w:szCs w:val="21"/>
              </w:rPr>
            </w:pPr>
            <w:r>
              <w:rPr>
                <w:sz w:val="21"/>
                <w:szCs w:val="21"/>
              </w:rPr>
              <w:t>注：“-”表示可不开展土壤环境影响评价工作。</w:t>
            </w:r>
          </w:p>
        </w:tc>
      </w:tr>
    </w:tbl>
    <w:p>
      <w:pPr>
        <w:pStyle w:val="222"/>
      </w:pPr>
      <w:r>
        <w:t>综上，本项目可不开展土壤环境影响评价工作。</w:t>
      </w:r>
    </w:p>
    <w:p>
      <w:pPr>
        <w:pStyle w:val="5"/>
        <w:rPr>
          <w:color w:val="auto"/>
        </w:rPr>
      </w:pPr>
      <w:r>
        <w:rPr>
          <w:color w:val="auto"/>
        </w:rPr>
        <w:t>1.6.7环境风险评价等级及评价范围</w:t>
      </w:r>
    </w:p>
    <w:p>
      <w:pPr>
        <w:adjustRightInd/>
        <w:spacing w:line="360" w:lineRule="auto"/>
        <w:ind w:firstLine="480"/>
        <w:rPr>
          <w:sz w:val="24"/>
          <w:szCs w:val="24"/>
        </w:rPr>
      </w:pPr>
      <w:r>
        <w:rPr>
          <w:sz w:val="24"/>
          <w:szCs w:val="24"/>
        </w:rPr>
        <w:t>根据《建设项目环境风险评价技术导则》（HJ169－2018）附录C，危险物质数量与临界量比值（Q）的计算方法如下所示。</w:t>
      </w:r>
    </w:p>
    <w:p>
      <w:pPr>
        <w:adjustRightInd/>
        <w:spacing w:line="360" w:lineRule="auto"/>
        <w:ind w:firstLine="480"/>
        <w:rPr>
          <w:sz w:val="24"/>
          <w:szCs w:val="24"/>
        </w:rPr>
      </w:pPr>
      <w:r>
        <w:rPr>
          <w:sz w:val="24"/>
          <w:szCs w:val="24"/>
        </w:rPr>
        <w:t>当只涉及一种污染物时，计算该物质的总量与临界量比值，即为Q；</w:t>
      </w:r>
    </w:p>
    <w:p>
      <w:pPr>
        <w:adjustRightInd/>
        <w:spacing w:line="360" w:lineRule="auto"/>
        <w:ind w:firstLine="480"/>
        <w:rPr>
          <w:sz w:val="24"/>
          <w:szCs w:val="24"/>
        </w:rPr>
      </w:pPr>
      <w:r>
        <w:rPr>
          <w:sz w:val="24"/>
          <w:szCs w:val="24"/>
        </w:rPr>
        <w:t>当存在多种危险物质时，则按下式计算物质总量与其临界量比值（Q）：</w:t>
      </w:r>
    </w:p>
    <w:p>
      <w:pPr>
        <w:pStyle w:val="34"/>
      </w:pPr>
      <w:r>
        <w:object>
          <v:shape id="_x0000_i1025" o:spt="75" type="#_x0000_t75" style="height:32.25pt;width:111.75pt;" o:ole="t" filled="f" o:preferrelative="t" stroked="f" coordsize="21600,21600">
            <v:path/>
            <v:fill on="f" focussize="0,0"/>
            <v:stroke on="f" joinstyle="miter"/>
            <v:imagedata r:id="rId50" o:title=""/>
            <o:lock v:ext="edit" aspectratio="t"/>
            <w10:wrap type="none"/>
            <w10:anchorlock/>
          </v:shape>
          <o:OLEObject Type="Embed" ProgID="Equation.DSMT4" ShapeID="_x0000_i1025" DrawAspect="Content" ObjectID="_1468075725" r:id="rId49">
            <o:LockedField>false</o:LockedField>
          </o:OLEObject>
        </w:object>
      </w:r>
    </w:p>
    <w:p>
      <w:pPr>
        <w:adjustRightInd/>
        <w:spacing w:line="360" w:lineRule="auto"/>
        <w:ind w:firstLine="480"/>
        <w:rPr>
          <w:sz w:val="24"/>
          <w:szCs w:val="24"/>
        </w:rPr>
      </w:pPr>
      <w:r>
        <w:rPr>
          <w:sz w:val="24"/>
          <w:szCs w:val="24"/>
        </w:rPr>
        <w:t>式中：q</w:t>
      </w:r>
      <w:r>
        <w:rPr>
          <w:sz w:val="24"/>
          <w:szCs w:val="24"/>
          <w:vertAlign w:val="subscript"/>
        </w:rPr>
        <w:t>1</w:t>
      </w:r>
      <w:r>
        <w:rPr>
          <w:sz w:val="24"/>
          <w:szCs w:val="24"/>
        </w:rPr>
        <w:t>，q</w:t>
      </w:r>
      <w:r>
        <w:rPr>
          <w:sz w:val="24"/>
          <w:szCs w:val="24"/>
          <w:vertAlign w:val="subscript"/>
        </w:rPr>
        <w:t>2</w:t>
      </w:r>
      <w:r>
        <w:rPr>
          <w:sz w:val="24"/>
          <w:szCs w:val="24"/>
        </w:rPr>
        <w:t>，…，q</w:t>
      </w:r>
      <w:r>
        <w:rPr>
          <w:sz w:val="24"/>
          <w:szCs w:val="24"/>
          <w:vertAlign w:val="subscript"/>
        </w:rPr>
        <w:t>n</w:t>
      </w:r>
      <w:r>
        <w:rPr>
          <w:sz w:val="24"/>
          <w:szCs w:val="24"/>
        </w:rPr>
        <w:t>——每种危险物质的最大存在总量，t；</w:t>
      </w:r>
    </w:p>
    <w:p>
      <w:pPr>
        <w:adjustRightInd/>
        <w:spacing w:line="360" w:lineRule="auto"/>
        <w:ind w:firstLine="1200" w:firstLineChars="500"/>
        <w:rPr>
          <w:sz w:val="24"/>
          <w:szCs w:val="24"/>
        </w:rPr>
      </w:pPr>
      <w:r>
        <w:rPr>
          <w:sz w:val="24"/>
          <w:szCs w:val="24"/>
        </w:rPr>
        <w:t>Q</w:t>
      </w:r>
      <w:r>
        <w:rPr>
          <w:sz w:val="24"/>
          <w:szCs w:val="24"/>
          <w:vertAlign w:val="subscript"/>
        </w:rPr>
        <w:t>1</w:t>
      </w:r>
      <w:r>
        <w:rPr>
          <w:sz w:val="24"/>
          <w:szCs w:val="24"/>
        </w:rPr>
        <w:t>，Q</w:t>
      </w:r>
      <w:r>
        <w:rPr>
          <w:sz w:val="24"/>
          <w:szCs w:val="24"/>
          <w:vertAlign w:val="subscript"/>
        </w:rPr>
        <w:t>2</w:t>
      </w:r>
      <w:r>
        <w:rPr>
          <w:sz w:val="24"/>
          <w:szCs w:val="24"/>
        </w:rPr>
        <w:t>，…，Q</w:t>
      </w:r>
      <w:r>
        <w:rPr>
          <w:sz w:val="24"/>
          <w:szCs w:val="24"/>
          <w:vertAlign w:val="subscript"/>
        </w:rPr>
        <w:t>n</w:t>
      </w:r>
      <w:r>
        <w:rPr>
          <w:sz w:val="24"/>
          <w:szCs w:val="24"/>
        </w:rPr>
        <w:t>——每种危险物质的临界量，t。</w:t>
      </w:r>
    </w:p>
    <w:p>
      <w:pPr>
        <w:adjustRightInd/>
        <w:spacing w:line="360" w:lineRule="auto"/>
        <w:ind w:firstLine="1200" w:firstLineChars="500"/>
        <w:rPr>
          <w:sz w:val="24"/>
          <w:szCs w:val="24"/>
        </w:rPr>
      </w:pPr>
      <w:r>
        <w:rPr>
          <w:sz w:val="24"/>
          <w:szCs w:val="24"/>
        </w:rPr>
        <w:t>当Q&lt;1时，该项目环境风险潜势为I。</w:t>
      </w:r>
    </w:p>
    <w:p>
      <w:pPr>
        <w:adjustRightInd/>
        <w:spacing w:line="360" w:lineRule="auto"/>
        <w:ind w:firstLine="1200" w:firstLineChars="500"/>
        <w:rPr>
          <w:sz w:val="24"/>
          <w:szCs w:val="24"/>
        </w:rPr>
      </w:pPr>
      <w:r>
        <w:rPr>
          <w:sz w:val="24"/>
          <w:szCs w:val="24"/>
        </w:rPr>
        <w:t>当Q≥1时，将Q值划分为：（1）1≤Q&lt;10；（2）10≤Q&lt;100；（3）Q≥100。</w:t>
      </w:r>
    </w:p>
    <w:p>
      <w:pPr>
        <w:spacing w:line="360" w:lineRule="auto"/>
        <w:ind w:firstLine="480"/>
        <w:rPr>
          <w:sz w:val="24"/>
          <w:szCs w:val="24"/>
        </w:rPr>
      </w:pPr>
      <w:r>
        <w:rPr>
          <w:position w:val="2"/>
          <w:sz w:val="24"/>
          <w:szCs w:val="24"/>
        </w:rPr>
        <w:t>本项目涉及的危险物是锂电池电解液，</w:t>
      </w:r>
      <w:r>
        <w:rPr>
          <w:sz w:val="24"/>
          <w:szCs w:val="24"/>
        </w:rPr>
        <w:t>涉及的主要化学物质存储量见下表；</w:t>
      </w:r>
    </w:p>
    <w:p>
      <w:pPr>
        <w:pStyle w:val="84"/>
      </w:pPr>
      <w:r>
        <w:t>表1.6-10  危险物质临界量及本项目存储量</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6"/>
        <w:gridCol w:w="1841"/>
        <w:gridCol w:w="2844"/>
        <w:gridCol w:w="1296"/>
        <w:gridCol w:w="1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81" w:type="pct"/>
            <w:shd w:val="clear" w:color="auto" w:fill="D8D8D8" w:themeFill="background1" w:themeFillShade="D9"/>
            <w:vAlign w:val="center"/>
          </w:tcPr>
          <w:p>
            <w:pPr>
              <w:pStyle w:val="52"/>
              <w:rPr>
                <w:b/>
                <w:color w:val="auto"/>
              </w:rPr>
            </w:pPr>
            <w:r>
              <w:rPr>
                <w:b/>
                <w:color w:val="auto"/>
              </w:rPr>
              <w:t>物质名称</w:t>
            </w:r>
          </w:p>
        </w:tc>
        <w:tc>
          <w:tcPr>
            <w:tcW w:w="991" w:type="pct"/>
            <w:shd w:val="clear" w:color="auto" w:fill="D8D8D8" w:themeFill="background1" w:themeFillShade="D9"/>
            <w:vAlign w:val="center"/>
          </w:tcPr>
          <w:p>
            <w:pPr>
              <w:pStyle w:val="52"/>
              <w:rPr>
                <w:b/>
                <w:color w:val="auto"/>
              </w:rPr>
            </w:pPr>
            <w:r>
              <w:rPr>
                <w:b/>
                <w:color w:val="auto"/>
              </w:rPr>
              <w:t>最大储存量</w:t>
            </w:r>
          </w:p>
        </w:tc>
        <w:tc>
          <w:tcPr>
            <w:tcW w:w="1531" w:type="pct"/>
            <w:shd w:val="clear" w:color="auto" w:fill="D8D8D8" w:themeFill="background1" w:themeFillShade="D9"/>
            <w:vAlign w:val="center"/>
          </w:tcPr>
          <w:p>
            <w:pPr>
              <w:pStyle w:val="52"/>
              <w:rPr>
                <w:b/>
                <w:color w:val="auto"/>
              </w:rPr>
            </w:pPr>
            <w:r>
              <w:rPr>
                <w:b/>
                <w:color w:val="auto"/>
              </w:rPr>
              <w:t>物质</w:t>
            </w:r>
          </w:p>
        </w:tc>
        <w:tc>
          <w:tcPr>
            <w:tcW w:w="698" w:type="pct"/>
            <w:shd w:val="clear" w:color="auto" w:fill="D8D8D8" w:themeFill="background1" w:themeFillShade="D9"/>
            <w:vAlign w:val="center"/>
          </w:tcPr>
          <w:p>
            <w:pPr>
              <w:pStyle w:val="52"/>
              <w:rPr>
                <w:b/>
                <w:color w:val="auto"/>
              </w:rPr>
            </w:pPr>
            <w:r>
              <w:rPr>
                <w:b/>
                <w:color w:val="auto"/>
              </w:rPr>
              <w:t>临界量</w:t>
            </w:r>
          </w:p>
        </w:tc>
        <w:tc>
          <w:tcPr>
            <w:tcW w:w="899" w:type="pct"/>
            <w:shd w:val="clear" w:color="auto" w:fill="D8D8D8" w:themeFill="background1" w:themeFillShade="D9"/>
            <w:vAlign w:val="center"/>
          </w:tcPr>
          <w:p>
            <w:pPr>
              <w:pStyle w:val="52"/>
              <w:rPr>
                <w:b/>
                <w:color w:val="auto"/>
              </w:rPr>
            </w:pPr>
            <w:r>
              <w:rPr>
                <w:b/>
                <w:color w:val="auto"/>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81" w:type="pct"/>
            <w:vAlign w:val="center"/>
          </w:tcPr>
          <w:p>
            <w:pPr>
              <w:pStyle w:val="52"/>
              <w:rPr>
                <w:color w:val="auto"/>
              </w:rPr>
            </w:pPr>
            <w:r>
              <w:rPr>
                <w:color w:val="auto"/>
              </w:rPr>
              <w:t>柴油</w:t>
            </w:r>
          </w:p>
        </w:tc>
        <w:tc>
          <w:tcPr>
            <w:tcW w:w="991" w:type="pct"/>
            <w:vAlign w:val="center"/>
          </w:tcPr>
          <w:p>
            <w:pPr>
              <w:pStyle w:val="52"/>
              <w:rPr>
                <w:color w:val="auto"/>
              </w:rPr>
            </w:pPr>
            <w:r>
              <w:rPr>
                <w:color w:val="auto"/>
              </w:rPr>
              <w:t>30</w:t>
            </w:r>
            <w:r>
              <w:rPr>
                <w:b/>
                <w:color w:val="auto"/>
              </w:rPr>
              <w:t>t</w:t>
            </w:r>
          </w:p>
        </w:tc>
        <w:tc>
          <w:tcPr>
            <w:tcW w:w="1531" w:type="pct"/>
            <w:vMerge w:val="restart"/>
            <w:vAlign w:val="center"/>
          </w:tcPr>
          <w:p>
            <w:pPr>
              <w:spacing w:line="240" w:lineRule="auto"/>
              <w:ind w:firstLine="0" w:firstLineChars="0"/>
              <w:jc w:val="center"/>
              <w:rPr>
                <w:sz w:val="21"/>
                <w:szCs w:val="21"/>
              </w:rPr>
            </w:pPr>
            <w:r>
              <w:rPr>
                <w:sz w:val="21"/>
                <w:szCs w:val="21"/>
              </w:rPr>
              <w:t>健康危险急性毒性物质（类别2，类别3）</w:t>
            </w:r>
          </w:p>
        </w:tc>
        <w:tc>
          <w:tcPr>
            <w:tcW w:w="698" w:type="pct"/>
            <w:vAlign w:val="center"/>
          </w:tcPr>
          <w:p>
            <w:pPr>
              <w:pStyle w:val="52"/>
              <w:rPr>
                <w:color w:val="auto"/>
              </w:rPr>
            </w:pPr>
            <w:r>
              <w:rPr>
                <w:color w:val="auto"/>
              </w:rPr>
              <w:t>2500t</w:t>
            </w:r>
          </w:p>
        </w:tc>
        <w:tc>
          <w:tcPr>
            <w:tcW w:w="899" w:type="pct"/>
            <w:vAlign w:val="center"/>
          </w:tcPr>
          <w:p>
            <w:pPr>
              <w:pStyle w:val="52"/>
              <w:rPr>
                <w:color w:val="auto"/>
              </w:rPr>
            </w:pPr>
            <w:r>
              <w:rPr>
                <w:color w:val="auto"/>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81" w:type="pct"/>
            <w:vAlign w:val="center"/>
          </w:tcPr>
          <w:p>
            <w:pPr>
              <w:pStyle w:val="52"/>
              <w:rPr>
                <w:color w:val="auto"/>
              </w:rPr>
            </w:pPr>
            <w:r>
              <w:rPr>
                <w:color w:val="auto"/>
              </w:rPr>
              <w:t>润滑油</w:t>
            </w:r>
          </w:p>
        </w:tc>
        <w:tc>
          <w:tcPr>
            <w:tcW w:w="991" w:type="pct"/>
            <w:vAlign w:val="center"/>
          </w:tcPr>
          <w:p>
            <w:pPr>
              <w:pStyle w:val="52"/>
              <w:rPr>
                <w:color w:val="auto"/>
              </w:rPr>
            </w:pPr>
            <w:r>
              <w:rPr>
                <w:color w:val="auto"/>
              </w:rPr>
              <w:t>0.05t</w:t>
            </w:r>
          </w:p>
        </w:tc>
        <w:tc>
          <w:tcPr>
            <w:tcW w:w="1531" w:type="pct"/>
            <w:vMerge w:val="continue"/>
            <w:vAlign w:val="center"/>
          </w:tcPr>
          <w:p>
            <w:pPr>
              <w:spacing w:line="240" w:lineRule="auto"/>
              <w:ind w:firstLine="0" w:firstLineChars="0"/>
              <w:jc w:val="center"/>
              <w:rPr>
                <w:sz w:val="21"/>
                <w:szCs w:val="21"/>
              </w:rPr>
            </w:pPr>
          </w:p>
        </w:tc>
        <w:tc>
          <w:tcPr>
            <w:tcW w:w="698" w:type="pct"/>
            <w:vAlign w:val="center"/>
          </w:tcPr>
          <w:p>
            <w:pPr>
              <w:pStyle w:val="52"/>
              <w:rPr>
                <w:color w:val="auto"/>
              </w:rPr>
            </w:pPr>
            <w:r>
              <w:rPr>
                <w:color w:val="auto"/>
              </w:rPr>
              <w:t>2500t</w:t>
            </w:r>
          </w:p>
        </w:tc>
        <w:tc>
          <w:tcPr>
            <w:tcW w:w="899" w:type="pct"/>
            <w:vAlign w:val="center"/>
          </w:tcPr>
          <w:p>
            <w:pPr>
              <w:pStyle w:val="52"/>
              <w:rPr>
                <w:color w:val="auto"/>
              </w:rPr>
            </w:pPr>
            <w:r>
              <w:rPr>
                <w:color w:val="auto"/>
              </w:rPr>
              <w:t>0.00002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81" w:type="pct"/>
            <w:vAlign w:val="center"/>
          </w:tcPr>
          <w:p>
            <w:pPr>
              <w:pStyle w:val="52"/>
              <w:rPr>
                <w:color w:val="auto"/>
              </w:rPr>
            </w:pPr>
            <w:r>
              <w:rPr>
                <w:color w:val="auto"/>
              </w:rPr>
              <w:t>废润滑油</w:t>
            </w:r>
          </w:p>
        </w:tc>
        <w:tc>
          <w:tcPr>
            <w:tcW w:w="991" w:type="pct"/>
            <w:vAlign w:val="center"/>
          </w:tcPr>
          <w:p>
            <w:pPr>
              <w:pStyle w:val="52"/>
              <w:rPr>
                <w:color w:val="auto"/>
              </w:rPr>
            </w:pPr>
            <w:r>
              <w:rPr>
                <w:color w:val="auto"/>
              </w:rPr>
              <w:t>0.2t</w:t>
            </w:r>
          </w:p>
        </w:tc>
        <w:tc>
          <w:tcPr>
            <w:tcW w:w="1531" w:type="pct"/>
            <w:vMerge w:val="continue"/>
            <w:vAlign w:val="center"/>
          </w:tcPr>
          <w:p>
            <w:pPr>
              <w:spacing w:line="240" w:lineRule="auto"/>
              <w:ind w:firstLine="0" w:firstLineChars="0"/>
              <w:jc w:val="center"/>
              <w:rPr>
                <w:sz w:val="21"/>
                <w:szCs w:val="21"/>
              </w:rPr>
            </w:pPr>
          </w:p>
        </w:tc>
        <w:tc>
          <w:tcPr>
            <w:tcW w:w="698" w:type="pct"/>
            <w:vAlign w:val="center"/>
          </w:tcPr>
          <w:p>
            <w:pPr>
              <w:pStyle w:val="52"/>
              <w:rPr>
                <w:color w:val="auto"/>
              </w:rPr>
            </w:pPr>
            <w:r>
              <w:rPr>
                <w:color w:val="auto"/>
              </w:rPr>
              <w:t>2500t</w:t>
            </w:r>
          </w:p>
        </w:tc>
        <w:tc>
          <w:tcPr>
            <w:tcW w:w="899" w:type="pct"/>
            <w:vAlign w:val="center"/>
          </w:tcPr>
          <w:p>
            <w:pPr>
              <w:pStyle w:val="52"/>
              <w:rPr>
                <w:color w:val="auto"/>
              </w:rPr>
            </w:pPr>
            <w:r>
              <w:rPr>
                <w:color w:val="auto"/>
              </w:rPr>
              <w:t>0.00008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01" w:type="pct"/>
            <w:gridSpan w:val="4"/>
            <w:vAlign w:val="center"/>
          </w:tcPr>
          <w:p>
            <w:pPr>
              <w:pStyle w:val="52"/>
              <w:rPr>
                <w:color w:val="auto"/>
              </w:rPr>
            </w:pPr>
            <w:r>
              <w:rPr>
                <w:color w:val="auto"/>
              </w:rPr>
              <w:t>合计</w:t>
            </w:r>
          </w:p>
        </w:tc>
        <w:tc>
          <w:tcPr>
            <w:tcW w:w="899" w:type="pct"/>
            <w:vAlign w:val="center"/>
          </w:tcPr>
          <w:p>
            <w:pPr>
              <w:pStyle w:val="52"/>
              <w:rPr>
                <w:color w:val="auto"/>
              </w:rPr>
            </w:pPr>
            <w:r>
              <w:rPr>
                <w:color w:val="auto"/>
              </w:rPr>
              <w:t>0.0121</w:t>
            </w:r>
          </w:p>
        </w:tc>
      </w:tr>
    </w:tbl>
    <w:p>
      <w:pPr>
        <w:spacing w:line="360" w:lineRule="auto"/>
        <w:ind w:firstLine="480"/>
        <w:jc w:val="both"/>
        <w:rPr>
          <w:b/>
          <w:bCs/>
          <w:sz w:val="24"/>
          <w:szCs w:val="24"/>
        </w:rPr>
      </w:pPr>
      <w:r>
        <w:rPr>
          <w:sz w:val="24"/>
          <w:szCs w:val="24"/>
        </w:rPr>
        <w:t>根据《建设项目环境风险评价技术导则》（HJ169-2018），环境风险评价等级判据、环境风险潜势划分见下表。</w:t>
      </w:r>
    </w:p>
    <w:p>
      <w:pPr>
        <w:pStyle w:val="84"/>
      </w:pPr>
      <w:r>
        <w:t>表1.6-11  环境风险评价等级判据</w:t>
      </w:r>
    </w:p>
    <w:tbl>
      <w:tblPr>
        <w:tblStyle w:val="8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2501"/>
        <w:gridCol w:w="1651"/>
        <w:gridCol w:w="1653"/>
        <w:gridCol w:w="1653"/>
        <w:gridCol w:w="1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57" w:hRule="atLeast"/>
          <w:jc w:val="center"/>
        </w:trPr>
        <w:tc>
          <w:tcPr>
            <w:tcW w:w="1372" w:type="pct"/>
            <w:shd w:val="clear" w:color="auto" w:fill="D8D8D8" w:themeFill="background1" w:themeFillShade="D9"/>
            <w:vAlign w:val="center"/>
          </w:tcPr>
          <w:p>
            <w:pPr>
              <w:spacing w:line="240" w:lineRule="auto"/>
              <w:ind w:firstLine="422"/>
              <w:jc w:val="center"/>
              <w:textAlignment w:val="center"/>
              <w:rPr>
                <w:b/>
                <w:bCs/>
                <w:sz w:val="21"/>
                <w:szCs w:val="21"/>
              </w:rPr>
            </w:pPr>
            <w:r>
              <w:rPr>
                <w:b/>
                <w:bCs/>
                <w:sz w:val="21"/>
                <w:szCs w:val="21"/>
              </w:rPr>
              <w:t>环境风险潜势</w:t>
            </w:r>
          </w:p>
        </w:tc>
        <w:tc>
          <w:tcPr>
            <w:tcW w:w="906" w:type="pct"/>
            <w:shd w:val="clear" w:color="auto" w:fill="D8D8D8" w:themeFill="background1" w:themeFillShade="D9"/>
            <w:vAlign w:val="center"/>
          </w:tcPr>
          <w:p>
            <w:pPr>
              <w:spacing w:line="240" w:lineRule="auto"/>
              <w:ind w:firstLine="422"/>
              <w:jc w:val="center"/>
              <w:textAlignment w:val="center"/>
              <w:rPr>
                <w:b/>
                <w:bCs/>
                <w:sz w:val="21"/>
                <w:szCs w:val="21"/>
              </w:rPr>
            </w:pPr>
            <w:r>
              <w:rPr>
                <w:b/>
                <w:bCs/>
                <w:sz w:val="21"/>
                <w:szCs w:val="21"/>
              </w:rPr>
              <w:t>Ⅳ、Ⅳ+</w:t>
            </w:r>
          </w:p>
        </w:tc>
        <w:tc>
          <w:tcPr>
            <w:tcW w:w="907" w:type="pct"/>
            <w:shd w:val="clear" w:color="auto" w:fill="D8D8D8" w:themeFill="background1" w:themeFillShade="D9"/>
            <w:vAlign w:val="center"/>
          </w:tcPr>
          <w:p>
            <w:pPr>
              <w:spacing w:line="240" w:lineRule="auto"/>
              <w:ind w:firstLine="422"/>
              <w:jc w:val="center"/>
              <w:textAlignment w:val="center"/>
              <w:rPr>
                <w:b/>
                <w:bCs/>
                <w:sz w:val="21"/>
                <w:szCs w:val="21"/>
              </w:rPr>
            </w:pPr>
            <w:r>
              <w:rPr>
                <w:b/>
                <w:bCs/>
                <w:sz w:val="21"/>
                <w:szCs w:val="21"/>
              </w:rPr>
              <w:t>Ⅲ</w:t>
            </w:r>
          </w:p>
        </w:tc>
        <w:tc>
          <w:tcPr>
            <w:tcW w:w="907" w:type="pct"/>
            <w:shd w:val="clear" w:color="auto" w:fill="D8D8D8" w:themeFill="background1" w:themeFillShade="D9"/>
            <w:vAlign w:val="center"/>
          </w:tcPr>
          <w:p>
            <w:pPr>
              <w:spacing w:line="240" w:lineRule="auto"/>
              <w:ind w:firstLine="422"/>
              <w:jc w:val="center"/>
              <w:textAlignment w:val="center"/>
              <w:rPr>
                <w:b/>
                <w:bCs/>
                <w:sz w:val="21"/>
                <w:szCs w:val="21"/>
              </w:rPr>
            </w:pPr>
            <w:r>
              <w:rPr>
                <w:b/>
                <w:bCs/>
                <w:sz w:val="21"/>
                <w:szCs w:val="21"/>
              </w:rPr>
              <w:t>Ⅱ</w:t>
            </w:r>
          </w:p>
        </w:tc>
        <w:tc>
          <w:tcPr>
            <w:tcW w:w="908" w:type="pct"/>
            <w:shd w:val="clear" w:color="auto" w:fill="D8D8D8" w:themeFill="background1" w:themeFillShade="D9"/>
            <w:vAlign w:val="center"/>
          </w:tcPr>
          <w:p>
            <w:pPr>
              <w:spacing w:line="240" w:lineRule="auto"/>
              <w:ind w:firstLine="422"/>
              <w:jc w:val="center"/>
              <w:textAlignment w:val="center"/>
              <w:rPr>
                <w:b/>
                <w:bCs/>
                <w:sz w:val="21"/>
                <w:szCs w:val="21"/>
              </w:rPr>
            </w:pPr>
            <w:r>
              <w:rPr>
                <w:b/>
                <w:bCs/>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57" w:hRule="atLeast"/>
          <w:jc w:val="center"/>
        </w:trPr>
        <w:tc>
          <w:tcPr>
            <w:tcW w:w="1372" w:type="pct"/>
            <w:vAlign w:val="center"/>
          </w:tcPr>
          <w:p>
            <w:pPr>
              <w:spacing w:line="240" w:lineRule="auto"/>
              <w:ind w:firstLine="420"/>
              <w:jc w:val="center"/>
              <w:textAlignment w:val="center"/>
              <w:rPr>
                <w:sz w:val="21"/>
                <w:szCs w:val="21"/>
              </w:rPr>
            </w:pPr>
            <w:r>
              <w:rPr>
                <w:sz w:val="21"/>
                <w:szCs w:val="21"/>
              </w:rPr>
              <w:t>评价工作等级</w:t>
            </w:r>
          </w:p>
        </w:tc>
        <w:tc>
          <w:tcPr>
            <w:tcW w:w="906" w:type="pct"/>
            <w:vAlign w:val="center"/>
          </w:tcPr>
          <w:p>
            <w:pPr>
              <w:spacing w:line="240" w:lineRule="auto"/>
              <w:ind w:firstLine="420"/>
              <w:jc w:val="center"/>
              <w:textAlignment w:val="center"/>
              <w:rPr>
                <w:sz w:val="21"/>
                <w:szCs w:val="21"/>
              </w:rPr>
            </w:pPr>
            <w:r>
              <w:rPr>
                <w:sz w:val="21"/>
                <w:szCs w:val="21"/>
              </w:rPr>
              <w:t>一</w:t>
            </w:r>
          </w:p>
        </w:tc>
        <w:tc>
          <w:tcPr>
            <w:tcW w:w="907" w:type="pct"/>
            <w:vAlign w:val="center"/>
          </w:tcPr>
          <w:p>
            <w:pPr>
              <w:spacing w:line="240" w:lineRule="auto"/>
              <w:ind w:firstLine="420"/>
              <w:jc w:val="center"/>
              <w:textAlignment w:val="center"/>
              <w:rPr>
                <w:sz w:val="21"/>
                <w:szCs w:val="21"/>
              </w:rPr>
            </w:pPr>
            <w:r>
              <w:rPr>
                <w:sz w:val="21"/>
                <w:szCs w:val="21"/>
              </w:rPr>
              <w:t>二</w:t>
            </w:r>
          </w:p>
        </w:tc>
        <w:tc>
          <w:tcPr>
            <w:tcW w:w="907" w:type="pct"/>
            <w:vAlign w:val="center"/>
          </w:tcPr>
          <w:p>
            <w:pPr>
              <w:spacing w:line="240" w:lineRule="auto"/>
              <w:ind w:firstLine="420"/>
              <w:jc w:val="center"/>
              <w:textAlignment w:val="center"/>
              <w:rPr>
                <w:sz w:val="21"/>
                <w:szCs w:val="21"/>
              </w:rPr>
            </w:pPr>
            <w:r>
              <w:rPr>
                <w:sz w:val="21"/>
                <w:szCs w:val="21"/>
              </w:rPr>
              <w:t>三</w:t>
            </w:r>
          </w:p>
        </w:tc>
        <w:tc>
          <w:tcPr>
            <w:tcW w:w="908" w:type="pct"/>
            <w:vAlign w:val="center"/>
          </w:tcPr>
          <w:p>
            <w:pPr>
              <w:spacing w:line="240" w:lineRule="auto"/>
              <w:ind w:firstLine="422"/>
              <w:jc w:val="center"/>
              <w:textAlignment w:val="center"/>
              <w:rPr>
                <w:b/>
                <w:bCs/>
                <w:sz w:val="21"/>
                <w:szCs w:val="21"/>
              </w:rPr>
            </w:pPr>
            <w:r>
              <w:rPr>
                <w:b/>
                <w:bCs/>
                <w:sz w:val="21"/>
                <w:szCs w:val="21"/>
              </w:rPr>
              <w:t>简单分析</w:t>
            </w:r>
          </w:p>
        </w:tc>
      </w:tr>
    </w:tbl>
    <w:p>
      <w:pPr>
        <w:spacing w:line="360" w:lineRule="auto"/>
        <w:ind w:firstLine="480"/>
        <w:rPr>
          <w:position w:val="2"/>
          <w:sz w:val="24"/>
          <w:szCs w:val="24"/>
        </w:rPr>
      </w:pPr>
      <w:r>
        <w:rPr>
          <w:position w:val="2"/>
          <w:sz w:val="24"/>
          <w:szCs w:val="24"/>
        </w:rPr>
        <w:t>当Q=0.0121&lt;1时，该项目环境风险潜势为I，评价等级为简单分析。</w:t>
      </w:r>
    </w:p>
    <w:p>
      <w:pPr>
        <w:pStyle w:val="5"/>
        <w:rPr>
          <w:color w:val="auto"/>
        </w:rPr>
      </w:pPr>
      <w:r>
        <w:rPr>
          <w:color w:val="auto"/>
        </w:rPr>
        <w:t>1.6.8评价等级及评价范围汇总</w:t>
      </w:r>
    </w:p>
    <w:p>
      <w:pPr>
        <w:spacing w:line="360" w:lineRule="auto"/>
        <w:ind w:firstLine="480"/>
        <w:jc w:val="both"/>
        <w:rPr>
          <w:sz w:val="24"/>
          <w:szCs w:val="26"/>
        </w:rPr>
      </w:pPr>
      <w:r>
        <w:rPr>
          <w:sz w:val="24"/>
        </w:rPr>
        <w:t>按各要素导则</w:t>
      </w:r>
      <w:r>
        <w:rPr>
          <w:sz w:val="24"/>
          <w:szCs w:val="26"/>
        </w:rPr>
        <w:t>中关于评价范围的确定原则，本项目各环境要素评价范围见下表。</w:t>
      </w:r>
    </w:p>
    <w:p>
      <w:pPr>
        <w:pStyle w:val="84"/>
      </w:pPr>
      <w:r>
        <w:t>表1.6-12  项目各环境要素评价等级及评价范围汇总表</w:t>
      </w:r>
    </w:p>
    <w:tbl>
      <w:tblPr>
        <w:tblStyle w:val="88"/>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527"/>
        <w:gridCol w:w="1701"/>
        <w:gridCol w:w="605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tblHeader/>
        </w:trPr>
        <w:tc>
          <w:tcPr>
            <w:tcW w:w="822" w:type="pct"/>
            <w:tcBorders>
              <w:left w:val="single" w:color="auto" w:sz="4" w:space="0"/>
            </w:tcBorders>
            <w:shd w:val="clear" w:color="auto" w:fill="D8D8D8" w:themeFill="background1" w:themeFillShade="D9"/>
            <w:vAlign w:val="center"/>
          </w:tcPr>
          <w:p>
            <w:pPr>
              <w:pStyle w:val="3238"/>
              <w:rPr>
                <w:b/>
              </w:rPr>
            </w:pPr>
            <w:r>
              <w:rPr>
                <w:b/>
              </w:rPr>
              <w:t>环境要素</w:t>
            </w:r>
          </w:p>
        </w:tc>
        <w:tc>
          <w:tcPr>
            <w:tcW w:w="916" w:type="pct"/>
            <w:tcBorders>
              <w:right w:val="single" w:color="auto" w:sz="4" w:space="0"/>
            </w:tcBorders>
            <w:shd w:val="clear" w:color="auto" w:fill="D8D8D8" w:themeFill="background1" w:themeFillShade="D9"/>
            <w:vAlign w:val="center"/>
          </w:tcPr>
          <w:p>
            <w:pPr>
              <w:pStyle w:val="3238"/>
              <w:rPr>
                <w:b/>
              </w:rPr>
            </w:pPr>
            <w:r>
              <w:rPr>
                <w:b/>
              </w:rPr>
              <w:t>评价等级</w:t>
            </w:r>
          </w:p>
        </w:tc>
        <w:tc>
          <w:tcPr>
            <w:tcW w:w="3263" w:type="pct"/>
            <w:tcBorders>
              <w:left w:val="single" w:color="auto" w:sz="4" w:space="0"/>
            </w:tcBorders>
            <w:shd w:val="clear" w:color="auto" w:fill="D8D8D8" w:themeFill="background1" w:themeFillShade="D9"/>
            <w:vAlign w:val="center"/>
          </w:tcPr>
          <w:p>
            <w:pPr>
              <w:pStyle w:val="3238"/>
              <w:rPr>
                <w:b/>
              </w:rPr>
            </w:pPr>
            <w:r>
              <w:rPr>
                <w:b/>
              </w:rPr>
              <w:t>评价范围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84" w:hRule="atLeast"/>
          <w:tblHeader/>
        </w:trPr>
        <w:tc>
          <w:tcPr>
            <w:tcW w:w="822" w:type="pct"/>
            <w:tcBorders>
              <w:left w:val="single" w:color="auto" w:sz="4" w:space="0"/>
            </w:tcBorders>
            <w:vAlign w:val="center"/>
          </w:tcPr>
          <w:p>
            <w:pPr>
              <w:pStyle w:val="3238"/>
              <w:rPr>
                <w:b/>
              </w:rPr>
            </w:pPr>
            <w:r>
              <w:t>生态环境</w:t>
            </w:r>
          </w:p>
        </w:tc>
        <w:tc>
          <w:tcPr>
            <w:tcW w:w="916" w:type="pct"/>
            <w:tcBorders>
              <w:right w:val="single" w:color="auto" w:sz="4" w:space="0"/>
            </w:tcBorders>
            <w:vAlign w:val="center"/>
          </w:tcPr>
          <w:p>
            <w:pPr>
              <w:pStyle w:val="3238"/>
              <w:rPr>
                <w:b/>
              </w:rPr>
            </w:pPr>
            <w:r>
              <w:t>二级</w:t>
            </w:r>
          </w:p>
        </w:tc>
        <w:tc>
          <w:tcPr>
            <w:tcW w:w="3263" w:type="pct"/>
            <w:tcBorders>
              <w:left w:val="single" w:color="auto" w:sz="4" w:space="0"/>
            </w:tcBorders>
            <w:vAlign w:val="center"/>
          </w:tcPr>
          <w:p>
            <w:pPr>
              <w:pStyle w:val="3238"/>
              <w:rPr>
                <w:b/>
              </w:rPr>
            </w:pPr>
            <w:r>
              <w:t>矿区、工业场地边界外扩500m范围，包含九峰山森林公园部分。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tblHeader/>
        </w:trPr>
        <w:tc>
          <w:tcPr>
            <w:tcW w:w="822" w:type="pct"/>
            <w:tcBorders>
              <w:left w:val="single" w:color="auto" w:sz="4" w:space="0"/>
            </w:tcBorders>
            <w:vAlign w:val="center"/>
          </w:tcPr>
          <w:p>
            <w:pPr>
              <w:pStyle w:val="3238"/>
              <w:rPr>
                <w:b/>
              </w:rPr>
            </w:pPr>
            <w:r>
              <w:t>大气环境</w:t>
            </w:r>
          </w:p>
        </w:tc>
        <w:tc>
          <w:tcPr>
            <w:tcW w:w="916" w:type="pct"/>
            <w:tcBorders>
              <w:right w:val="single" w:color="auto" w:sz="4" w:space="0"/>
            </w:tcBorders>
            <w:vAlign w:val="center"/>
          </w:tcPr>
          <w:p>
            <w:pPr>
              <w:pStyle w:val="3238"/>
              <w:rPr>
                <w:b/>
              </w:rPr>
            </w:pPr>
            <w:r>
              <w:t>一级</w:t>
            </w:r>
          </w:p>
        </w:tc>
        <w:tc>
          <w:tcPr>
            <w:tcW w:w="3263" w:type="pct"/>
            <w:tcBorders>
              <w:left w:val="single" w:color="auto" w:sz="4" w:space="0"/>
            </w:tcBorders>
            <w:vAlign w:val="center"/>
          </w:tcPr>
          <w:p>
            <w:pPr>
              <w:pStyle w:val="3238"/>
              <w:rPr>
                <w:b/>
              </w:rPr>
            </w:pPr>
            <w:r>
              <w:t>项目环境空气评价范围分别以开采区和工业场地为中心，边长5km的矩形区域，其中评价范围之间有重叠部分，故评价范围以两个范围包络线作为本项目大气评价范围。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84" w:hRule="atLeast"/>
          <w:tblHeader/>
        </w:trPr>
        <w:tc>
          <w:tcPr>
            <w:tcW w:w="822" w:type="pct"/>
            <w:tcBorders>
              <w:left w:val="single" w:color="auto" w:sz="4" w:space="0"/>
            </w:tcBorders>
            <w:vAlign w:val="center"/>
          </w:tcPr>
          <w:p>
            <w:pPr>
              <w:pStyle w:val="3238"/>
              <w:rPr>
                <w:b/>
              </w:rPr>
            </w:pPr>
            <w:r>
              <w:t>地表水环境</w:t>
            </w:r>
          </w:p>
        </w:tc>
        <w:tc>
          <w:tcPr>
            <w:tcW w:w="916" w:type="pct"/>
            <w:tcBorders>
              <w:right w:val="single" w:color="auto" w:sz="4" w:space="0"/>
            </w:tcBorders>
            <w:vAlign w:val="center"/>
          </w:tcPr>
          <w:p>
            <w:pPr>
              <w:pStyle w:val="3238"/>
              <w:rPr>
                <w:b/>
              </w:rPr>
            </w:pPr>
            <w:r>
              <w:t>三级B</w:t>
            </w:r>
          </w:p>
        </w:tc>
        <w:tc>
          <w:tcPr>
            <w:tcW w:w="3263" w:type="pct"/>
            <w:tcBorders>
              <w:left w:val="single" w:color="auto" w:sz="4" w:space="0"/>
            </w:tcBorders>
            <w:vAlign w:val="center"/>
          </w:tcPr>
          <w:p>
            <w:pPr>
              <w:pStyle w:val="3238"/>
              <w:rPr>
                <w:b/>
              </w:rPr>
            </w:pPr>
            <w:r>
              <w:t>对水污染控制和水环境影响减缓措施有效性评价、依托现有污水处理设施的环境可行性评价。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tblHeader/>
        </w:trPr>
        <w:tc>
          <w:tcPr>
            <w:tcW w:w="822" w:type="pct"/>
            <w:tcBorders>
              <w:left w:val="single" w:color="auto" w:sz="4" w:space="0"/>
            </w:tcBorders>
            <w:vAlign w:val="center"/>
          </w:tcPr>
          <w:p>
            <w:pPr>
              <w:pStyle w:val="3238"/>
              <w:rPr>
                <w:b/>
              </w:rPr>
            </w:pPr>
            <w:r>
              <w:t>地下水</w:t>
            </w:r>
          </w:p>
        </w:tc>
        <w:tc>
          <w:tcPr>
            <w:tcW w:w="916" w:type="pct"/>
            <w:tcBorders>
              <w:right w:val="single" w:color="auto" w:sz="4" w:space="0"/>
            </w:tcBorders>
            <w:vAlign w:val="center"/>
          </w:tcPr>
          <w:p>
            <w:pPr>
              <w:pStyle w:val="3238"/>
              <w:rPr>
                <w:b/>
              </w:rPr>
            </w:pPr>
            <w:r>
              <w:t>不开展</w:t>
            </w:r>
          </w:p>
        </w:tc>
        <w:tc>
          <w:tcPr>
            <w:tcW w:w="3263" w:type="pct"/>
            <w:tcBorders>
              <w:left w:val="single" w:color="auto" w:sz="4" w:space="0"/>
            </w:tcBorders>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84" w:hRule="atLeast"/>
          <w:tblHeader/>
        </w:trPr>
        <w:tc>
          <w:tcPr>
            <w:tcW w:w="822" w:type="pct"/>
            <w:tcBorders>
              <w:left w:val="single" w:color="auto" w:sz="4" w:space="0"/>
            </w:tcBorders>
            <w:vAlign w:val="center"/>
          </w:tcPr>
          <w:p>
            <w:pPr>
              <w:pStyle w:val="3238"/>
              <w:rPr>
                <w:b/>
              </w:rPr>
            </w:pPr>
            <w:r>
              <w:t>声环境</w:t>
            </w:r>
          </w:p>
        </w:tc>
        <w:tc>
          <w:tcPr>
            <w:tcW w:w="916" w:type="pct"/>
            <w:tcBorders>
              <w:right w:val="single" w:color="auto" w:sz="4" w:space="0"/>
            </w:tcBorders>
            <w:vAlign w:val="center"/>
          </w:tcPr>
          <w:p>
            <w:pPr>
              <w:pStyle w:val="3238"/>
              <w:rPr>
                <w:b/>
              </w:rPr>
            </w:pPr>
            <w:r>
              <w:t>二级</w:t>
            </w:r>
          </w:p>
        </w:tc>
        <w:tc>
          <w:tcPr>
            <w:tcW w:w="3263" w:type="pct"/>
            <w:tcBorders>
              <w:left w:val="single" w:color="auto" w:sz="4" w:space="0"/>
            </w:tcBorders>
            <w:vAlign w:val="center"/>
          </w:tcPr>
          <w:p>
            <w:pPr>
              <w:pStyle w:val="3238"/>
              <w:rPr>
                <w:b/>
              </w:rPr>
            </w:pPr>
            <w:r>
              <w:t>矿区及工业场地外200m区域范围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tblHeader/>
        </w:trPr>
        <w:tc>
          <w:tcPr>
            <w:tcW w:w="822" w:type="pct"/>
            <w:tcBorders>
              <w:left w:val="single" w:color="auto" w:sz="4" w:space="0"/>
            </w:tcBorders>
            <w:vAlign w:val="center"/>
          </w:tcPr>
          <w:p>
            <w:pPr>
              <w:pStyle w:val="3238"/>
              <w:rPr>
                <w:b/>
              </w:rPr>
            </w:pPr>
            <w:r>
              <w:t>土壤环境</w:t>
            </w:r>
          </w:p>
        </w:tc>
        <w:tc>
          <w:tcPr>
            <w:tcW w:w="916" w:type="pct"/>
            <w:tcBorders>
              <w:right w:val="single" w:color="auto" w:sz="4" w:space="0"/>
            </w:tcBorders>
            <w:vAlign w:val="center"/>
          </w:tcPr>
          <w:p>
            <w:pPr>
              <w:pStyle w:val="3238"/>
              <w:rPr>
                <w:b/>
              </w:rPr>
            </w:pPr>
            <w:r>
              <w:t>不开展</w:t>
            </w:r>
          </w:p>
        </w:tc>
        <w:tc>
          <w:tcPr>
            <w:tcW w:w="3263" w:type="pct"/>
            <w:tcBorders>
              <w:left w:val="single" w:color="auto" w:sz="4" w:space="0"/>
            </w:tcBorders>
            <w:vAlign w:val="center"/>
          </w:tcPr>
          <w:p>
            <w:pPr>
              <w:pStyle w:val="3238"/>
            </w:pPr>
            <w: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84" w:hRule="atLeast"/>
          <w:tblHeader/>
        </w:trPr>
        <w:tc>
          <w:tcPr>
            <w:tcW w:w="822" w:type="pct"/>
            <w:tcBorders>
              <w:left w:val="single" w:color="auto" w:sz="4" w:space="0"/>
            </w:tcBorders>
            <w:vAlign w:val="center"/>
          </w:tcPr>
          <w:p>
            <w:pPr>
              <w:pStyle w:val="3238"/>
              <w:rPr>
                <w:b/>
              </w:rPr>
            </w:pPr>
            <w:r>
              <w:t>环境风险</w:t>
            </w:r>
          </w:p>
        </w:tc>
        <w:tc>
          <w:tcPr>
            <w:tcW w:w="916" w:type="pct"/>
            <w:tcBorders>
              <w:right w:val="single" w:color="auto" w:sz="4" w:space="0"/>
            </w:tcBorders>
            <w:vAlign w:val="center"/>
          </w:tcPr>
          <w:p>
            <w:pPr>
              <w:pStyle w:val="3238"/>
              <w:rPr>
                <w:b/>
              </w:rPr>
            </w:pPr>
            <w:r>
              <w:t>简单分析</w:t>
            </w:r>
          </w:p>
        </w:tc>
        <w:tc>
          <w:tcPr>
            <w:tcW w:w="3263" w:type="pct"/>
            <w:tcBorders>
              <w:left w:val="single" w:color="auto" w:sz="4" w:space="0"/>
            </w:tcBorders>
            <w:vAlign w:val="center"/>
          </w:tcPr>
          <w:p>
            <w:pPr>
              <w:pStyle w:val="3238"/>
            </w:pPr>
            <w:r>
              <w:t>/</w:t>
            </w:r>
          </w:p>
        </w:tc>
      </w:tr>
    </w:tbl>
    <w:p>
      <w:pPr>
        <w:pStyle w:val="4"/>
      </w:pPr>
      <w:bookmarkStart w:id="105" w:name="_Toc161676089"/>
      <w:bookmarkStart w:id="106" w:name="_Toc500407833"/>
      <w:r>
        <w:t>1.7环境保护目标</w:t>
      </w:r>
      <w:bookmarkEnd w:id="105"/>
      <w:bookmarkEnd w:id="106"/>
    </w:p>
    <w:p>
      <w:pPr>
        <w:numPr>
          <w:ilvl w:val="0"/>
          <w:numId w:val="22"/>
        </w:numPr>
        <w:spacing w:line="460" w:lineRule="exact"/>
        <w:ind w:firstLine="480"/>
        <w:jc w:val="both"/>
        <w:rPr>
          <w:sz w:val="24"/>
          <w:szCs w:val="26"/>
        </w:rPr>
      </w:pPr>
      <w:r>
        <w:rPr>
          <w:sz w:val="24"/>
          <w:szCs w:val="26"/>
        </w:rPr>
        <w:t>外环境关系</w:t>
      </w:r>
    </w:p>
    <w:p>
      <w:pPr>
        <w:numPr>
          <w:ilvl w:val="255"/>
          <w:numId w:val="0"/>
        </w:numPr>
        <w:spacing w:line="460" w:lineRule="exact"/>
        <w:ind w:firstLine="480"/>
        <w:jc w:val="both"/>
        <w:rPr>
          <w:sz w:val="22"/>
          <w:szCs w:val="24"/>
        </w:rPr>
      </w:pPr>
      <w:r>
        <w:rPr>
          <w:sz w:val="24"/>
          <w:szCs w:val="26"/>
        </w:rPr>
        <w:t>本项目位于合川区盐井街道观音村</w:t>
      </w:r>
      <w:r>
        <w:rPr>
          <w:bCs/>
          <w:sz w:val="24"/>
          <w:szCs w:val="26"/>
        </w:rPr>
        <w:t>，根据调查，本项目占地范围内不涉及自然保护区、风景名胜区及文物保护单位等特殊敏感区域，占地范围内不涉及合川区划定的生态保护红线范围（见附图），也不在合川区城镇规划范围内。本项目不占用永久基本农田。本项目矿区距离北侧三环高速（广泸高速）直线距离约1.8km，距离东北侧兰海高速G351约5.2km，西南侧合璧津高速约5km，东北侧铁路2.9km，东北侧国道G212约3.7km，四周主要有自然山体的阻挡，使得不在可视范围内；本项目距离嘉陵江直线距离4.8km，中间有植被阻挡，也不在嘉陵江可视范围内。</w:t>
      </w:r>
    </w:p>
    <w:p>
      <w:pPr>
        <w:spacing w:line="460" w:lineRule="exact"/>
        <w:ind w:firstLine="480"/>
        <w:jc w:val="both"/>
        <w:rPr>
          <w:sz w:val="24"/>
          <w:szCs w:val="24"/>
        </w:rPr>
      </w:pPr>
      <w:r>
        <w:rPr>
          <w:sz w:val="24"/>
          <w:szCs w:val="24"/>
        </w:rPr>
        <w:t>本项目北侧界外隔干沟河为</w:t>
      </w:r>
      <w:bookmarkStart w:id="107" w:name="_Hlk93549507"/>
      <w:r>
        <w:rPr>
          <w:sz w:val="24"/>
          <w:szCs w:val="24"/>
        </w:rPr>
        <w:t>重庆市</w:t>
      </w:r>
      <w:bookmarkEnd w:id="107"/>
      <w:r>
        <w:rPr>
          <w:sz w:val="24"/>
          <w:szCs w:val="24"/>
        </w:rPr>
        <w:t>九峰山森林公园，本项目开采区距离北侧九峰山森林公园边界约59m，工业场地距离北侧九峰山森林公园边界约80m，本项目开采区和工业场地地势低于九峰山森林公园，</w:t>
      </w:r>
      <w:r>
        <w:rPr>
          <w:bCs/>
          <w:sz w:val="24"/>
          <w:szCs w:val="26"/>
        </w:rPr>
        <w:t>本项目不占用</w:t>
      </w:r>
      <w:r>
        <w:rPr>
          <w:sz w:val="24"/>
          <w:szCs w:val="24"/>
        </w:rPr>
        <w:t>九峰山森林公园。</w:t>
      </w:r>
    </w:p>
    <w:p>
      <w:pPr>
        <w:spacing w:line="460" w:lineRule="exact"/>
        <w:ind w:firstLine="480"/>
        <w:jc w:val="both"/>
        <w:rPr>
          <w:bCs/>
          <w:sz w:val="24"/>
          <w:szCs w:val="24"/>
        </w:rPr>
      </w:pPr>
      <w:r>
        <w:rPr>
          <w:bCs/>
          <w:sz w:val="24"/>
          <w:szCs w:val="24"/>
        </w:rPr>
        <w:t>（2）生态环境保护目标</w:t>
      </w:r>
    </w:p>
    <w:p>
      <w:pPr>
        <w:spacing w:line="460" w:lineRule="exact"/>
        <w:ind w:firstLine="480"/>
        <w:jc w:val="both"/>
        <w:rPr>
          <w:sz w:val="24"/>
          <w:szCs w:val="24"/>
        </w:rPr>
      </w:pPr>
      <w:r>
        <w:rPr>
          <w:sz w:val="24"/>
          <w:szCs w:val="24"/>
        </w:rPr>
        <w:t>根据现场调查，项目占地范围内无自然保护区、风景名胜区、饮用水源保护区等生态敏感区，占地范围不涉及</w:t>
      </w:r>
      <w:r>
        <w:rPr>
          <w:bCs/>
          <w:sz w:val="24"/>
          <w:szCs w:val="24"/>
        </w:rPr>
        <w:t>九峰山森林公园和生态保护红线</w:t>
      </w:r>
      <w:r>
        <w:rPr>
          <w:sz w:val="24"/>
          <w:szCs w:val="24"/>
        </w:rPr>
        <w:t>，无珍稀濒危野生动植物天然集中分布区和名木古树，无学校、医院等环境敏感点。</w:t>
      </w:r>
    </w:p>
    <w:p>
      <w:pPr>
        <w:spacing w:line="460" w:lineRule="exact"/>
        <w:ind w:firstLine="480"/>
        <w:jc w:val="both"/>
        <w:rPr>
          <w:bCs/>
          <w:sz w:val="24"/>
          <w:szCs w:val="24"/>
        </w:rPr>
      </w:pPr>
      <w:r>
        <w:rPr>
          <w:bCs/>
          <w:sz w:val="24"/>
          <w:szCs w:val="24"/>
        </w:rPr>
        <w:t>项目评价范围内涉及九峰山森林公园和生态保护红线，矿区西侧</w:t>
      </w:r>
      <w:bookmarkStart w:id="108" w:name="_Hlk93549702"/>
      <w:r>
        <w:rPr>
          <w:sz w:val="24"/>
          <w:szCs w:val="24"/>
        </w:rPr>
        <w:t>干沟河相隔为重庆市九峰山森林公园，九峰山森林公园与项目工业场地、开采区最近距离分别为55m、59m</w:t>
      </w:r>
      <w:bookmarkEnd w:id="108"/>
      <w:r>
        <w:rPr>
          <w:sz w:val="24"/>
          <w:szCs w:val="24"/>
        </w:rPr>
        <w:t>，</w:t>
      </w:r>
      <w:r>
        <w:rPr>
          <w:bCs/>
          <w:sz w:val="24"/>
          <w:szCs w:val="24"/>
        </w:rPr>
        <w:t>九峰山森林公园里涉及</w:t>
      </w:r>
      <w:r>
        <w:rPr>
          <w:sz w:val="24"/>
          <w:szCs w:val="24"/>
        </w:rPr>
        <w:t>红隼、画眉、灰胸竹鸡、杜鹃等属于国家及重庆市重点保护野生动物和甘草等属于国家重点保护野生植物；</w:t>
      </w:r>
      <w:r>
        <w:rPr>
          <w:bCs/>
          <w:sz w:val="24"/>
          <w:szCs w:val="24"/>
        </w:rPr>
        <w:t>评价范围内除九峰山森林公园以外主要以旱地农作物、灌木林地为主，人工干预比较大，动物以鸟类、啮齿类等常见种为主，未发现重点保护野生动植物天然集中分布区和名木古树。</w:t>
      </w:r>
    </w:p>
    <w:p>
      <w:pPr>
        <w:pStyle w:val="222"/>
      </w:pPr>
      <w:r>
        <w:t>重庆市九峰山森林公园位于合川区近郊，距城区10km，距212国道8km，地理坐标为东经106°11′58″—106°20′57″，北纬29°56′34″—29°56′58″。公园总面积1885.9hm</w:t>
      </w:r>
      <w:r>
        <w:rPr>
          <w:vertAlign w:val="superscript"/>
        </w:rPr>
        <w:t>2</w:t>
      </w:r>
      <w:r>
        <w:t>，与铜梁县交界，地跨合川区南津街街道办事处米坊村、大湾村、合川区盐井街道茶园村、回龙村、大坝村、塘坝村、观音村七个村及三汇国有林场部分。</w:t>
      </w:r>
    </w:p>
    <w:p>
      <w:pPr>
        <w:pStyle w:val="222"/>
      </w:pPr>
      <w:r>
        <w:t>九峰山森林公园是经重庆市批准的市级森林公园，最初控制性规划面积1885.9hm</w:t>
      </w:r>
      <w:r>
        <w:rPr>
          <w:vertAlign w:val="superscript"/>
        </w:rPr>
        <w:t>2</w:t>
      </w:r>
      <w:r>
        <w:t>，森林覆盖率达98%。九峰山历史遗迹有“知青农场”、“炼铁炉”、本佛寺、海佛寺等，自然景观遗迹有温泉洞、九峰山、九龙湖、五龙捧印、三股泉、一碗水等。九峰山生长有茂密青冈栎林、松林、杉林及金竹等，山腰有大片的桔林。有大片的茶园沿山脊及坡缘分布。九峰山森林公园位于亚热带常绿阔叶林区，次生植被非常旺盛，针叶林、针阔混交林、阔叶林、竹林、经济林、灌丛交错分布于公园各地。园区内无原生植被，马尾松、杉木为主的次生针叶林是公园的主要植被，以柑桔（大红袍）为主的经济林也是园区的一大特色，还有慈竹、毛竹等组成的竹林，另有零星分布的以丝栗、青杠等组成的阔叶林。各类植物170科426属749种；其中苔藓植物18科22属26种，蕨类植物26科38属51种，裸子植物8科15属18种，被子植物118科351属654种。主要乔木树种有马尾松、杉木、柏木、丝栗、枫香、青杠、香樟、贞楠、千丈、桉树、灯台树等；竹林以慈竹、毛竹、苦竹、水竹等为主；经济林以柑桔、桃、李、柚、葛等为主。灌木以黄荆、茶、山茶、油茶、火棘、马桑、桑、映山红、杜鹃、盐肤木等为主；草本植物以蕨箕、铁芒箕、水芙蓉里白、石松、甘草、风尾蕨、贯丛、胡颓子等为主，森林公园甘草属于国家重点保护野生植物。</w:t>
      </w:r>
    </w:p>
    <w:p>
      <w:pPr>
        <w:pStyle w:val="222"/>
      </w:pPr>
      <w:r>
        <w:t>森林公园内有高等动物19目42科104种，其中两栖类1目4科11种，爬行类2目6科10种，兽类3目7科11种，鸟类13目25科72种。公园内两栖类主要有中华蟾蜍、中国林蛙、沼水蛙等10余种；爬行类主要有鳖、蹼趾壁虎、乌梢蛇、黑背蛇等 10种左右；兽类主要有草兔、貉、黄鼬、狗獾、社鼠、松鼠等10余种；鸟类主要有绿头鸭、红隼、喜鹊、灰胸竹鸡、家燕、画眉、白头翁、鹌鹑、麻雀、山雀、啄木鸟、杜鹃等70余种；昆虫类有蜂、蝴蝶、蝉、萤火虫、蝇、蚊、螳螂、蜻蜓等。森林公园内红隼、画眉、灰胸竹鸡、杜鹃属于国家重点保护野生动物。</w:t>
      </w:r>
    </w:p>
    <w:p>
      <w:pPr>
        <w:spacing w:line="360" w:lineRule="auto"/>
        <w:ind w:firstLine="480"/>
        <w:jc w:val="both"/>
        <w:rPr>
          <w:sz w:val="24"/>
          <w:szCs w:val="24"/>
        </w:rPr>
      </w:pPr>
      <w:r>
        <w:rPr>
          <w:sz w:val="24"/>
          <w:szCs w:val="24"/>
        </w:rPr>
        <w:t>九峰山森林公园定位为：以森林观光休闲为主，以度假娱乐、康体疗养、生态教育、生态保护为辅的多功能生态休闲型市级森林公园。</w:t>
      </w:r>
    </w:p>
    <w:p>
      <w:pPr>
        <w:spacing w:line="360" w:lineRule="auto"/>
        <w:ind w:firstLine="480"/>
        <w:jc w:val="both"/>
        <w:rPr>
          <w:bCs/>
          <w:sz w:val="24"/>
          <w:szCs w:val="24"/>
        </w:rPr>
      </w:pPr>
      <w:r>
        <w:rPr>
          <w:bCs/>
          <w:sz w:val="24"/>
          <w:szCs w:val="24"/>
        </w:rPr>
        <w:t>（2）地表水环境保护目标</w:t>
      </w:r>
    </w:p>
    <w:p>
      <w:pPr>
        <w:spacing w:line="360" w:lineRule="auto"/>
        <w:ind w:firstLine="480"/>
        <w:jc w:val="both"/>
        <w:rPr>
          <w:sz w:val="24"/>
          <w:szCs w:val="24"/>
        </w:rPr>
      </w:pPr>
      <w:r>
        <w:rPr>
          <w:sz w:val="24"/>
          <w:szCs w:val="24"/>
        </w:rPr>
        <w:t>本项目所在区域属于嘉陵江流域，矿区内无河流、水库等地表水体，北侧邻干沟河（未划分水域功能），干沟河自西南向东北汇入嘉陵江。</w:t>
      </w:r>
    </w:p>
    <w:p>
      <w:pPr>
        <w:pStyle w:val="222"/>
      </w:pPr>
      <w:r>
        <w:t>项目影响范围内无饮用水源保护区等地表水环境保护目标。</w:t>
      </w:r>
    </w:p>
    <w:p>
      <w:pPr>
        <w:pStyle w:val="222"/>
      </w:pPr>
      <w:r>
        <w:t>（3）声环境保护目标</w:t>
      </w:r>
    </w:p>
    <w:p>
      <w:pPr>
        <w:pStyle w:val="222"/>
      </w:pPr>
      <w:r>
        <w:t>声环境保护目标主要为项目矿区、工业场地外200m区域范围的居民点。</w:t>
      </w:r>
    </w:p>
    <w:p>
      <w:pPr>
        <w:spacing w:line="360" w:lineRule="auto"/>
        <w:ind w:firstLine="480"/>
        <w:jc w:val="both"/>
        <w:rPr>
          <w:bCs/>
          <w:sz w:val="24"/>
          <w:szCs w:val="24"/>
        </w:rPr>
      </w:pPr>
      <w:r>
        <w:rPr>
          <w:bCs/>
          <w:sz w:val="24"/>
          <w:szCs w:val="24"/>
        </w:rPr>
        <w:t>（4）环境空气保护目标</w:t>
      </w:r>
    </w:p>
    <w:p>
      <w:pPr>
        <w:spacing w:line="360" w:lineRule="auto"/>
        <w:ind w:firstLine="480"/>
        <w:jc w:val="both"/>
        <w:rPr>
          <w:bCs/>
          <w:sz w:val="24"/>
          <w:szCs w:val="24"/>
        </w:rPr>
      </w:pPr>
      <w:r>
        <w:rPr>
          <w:bCs/>
          <w:sz w:val="24"/>
          <w:szCs w:val="24"/>
        </w:rPr>
        <w:t>项目环境空气保护目标主要为评价范围内农村地区中人群较集中的区域。</w:t>
      </w:r>
    </w:p>
    <w:p>
      <w:pPr>
        <w:spacing w:line="360" w:lineRule="auto"/>
        <w:ind w:firstLine="480"/>
        <w:jc w:val="both"/>
        <w:rPr>
          <w:bCs/>
          <w:sz w:val="24"/>
          <w:szCs w:val="24"/>
          <w:lang w:bidi="en-US"/>
        </w:rPr>
      </w:pPr>
      <w:r>
        <w:rPr>
          <w:bCs/>
          <w:sz w:val="24"/>
          <w:szCs w:val="24"/>
        </w:rPr>
        <w:t>本</w:t>
      </w:r>
      <w:r>
        <w:rPr>
          <w:bCs/>
          <w:sz w:val="24"/>
          <w:szCs w:val="24"/>
          <w:lang w:bidi="en-US"/>
        </w:rPr>
        <w:t>项目主要环境空气、声环境保护目标见下表；</w:t>
      </w:r>
    </w:p>
    <w:p>
      <w:pPr>
        <w:spacing w:line="460" w:lineRule="exact"/>
        <w:ind w:firstLine="480"/>
        <w:jc w:val="both"/>
        <w:rPr>
          <w:bCs/>
          <w:sz w:val="24"/>
          <w:szCs w:val="24"/>
          <w:lang w:bidi="en-US"/>
        </w:rPr>
        <w:sectPr>
          <w:pgSz w:w="11907" w:h="16840"/>
          <w:pgMar w:top="1588" w:right="1418" w:bottom="1366" w:left="1418" w:header="851" w:footer="992" w:gutter="0"/>
          <w:cols w:space="425" w:num="1"/>
          <w:docGrid w:linePitch="312" w:charSpace="0"/>
        </w:sectPr>
      </w:pPr>
    </w:p>
    <w:p>
      <w:pPr>
        <w:pStyle w:val="84"/>
      </w:pPr>
      <w:r>
        <w:t>表1.7-1  环境空气保护目标统计表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1985"/>
        <w:gridCol w:w="1134"/>
        <w:gridCol w:w="1134"/>
        <w:gridCol w:w="1417"/>
        <w:gridCol w:w="1418"/>
        <w:gridCol w:w="2126"/>
        <w:gridCol w:w="2126"/>
        <w:gridCol w:w="2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7"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序号</w:t>
            </w:r>
          </w:p>
        </w:tc>
        <w:tc>
          <w:tcPr>
            <w:tcW w:w="1985"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名称</w:t>
            </w:r>
          </w:p>
        </w:tc>
        <w:tc>
          <w:tcPr>
            <w:tcW w:w="2268" w:type="dxa"/>
            <w:gridSpan w:val="2"/>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坐标</w:t>
            </w:r>
          </w:p>
        </w:tc>
        <w:tc>
          <w:tcPr>
            <w:tcW w:w="1417"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保护对象</w:t>
            </w:r>
          </w:p>
        </w:tc>
        <w:tc>
          <w:tcPr>
            <w:tcW w:w="1418"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保护内容</w:t>
            </w:r>
          </w:p>
        </w:tc>
        <w:tc>
          <w:tcPr>
            <w:tcW w:w="2126"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环境功能区</w:t>
            </w:r>
          </w:p>
        </w:tc>
        <w:tc>
          <w:tcPr>
            <w:tcW w:w="2126"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相对厂址方位（开采区/工业场地）</w:t>
            </w:r>
          </w:p>
        </w:tc>
        <w:tc>
          <w:tcPr>
            <w:tcW w:w="2167"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相对厂址距离（开采区/工业场地）/m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817"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1985"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1134" w:type="dxa"/>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X</w:t>
            </w:r>
          </w:p>
        </w:tc>
        <w:tc>
          <w:tcPr>
            <w:tcW w:w="1134" w:type="dxa"/>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Y</w:t>
            </w:r>
          </w:p>
        </w:tc>
        <w:tc>
          <w:tcPr>
            <w:tcW w:w="1417"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1418"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2126"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2126"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2167"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817" w:type="dxa"/>
            <w:vAlign w:val="center"/>
          </w:tcPr>
          <w:p>
            <w:pPr>
              <w:spacing w:line="240" w:lineRule="auto"/>
              <w:ind w:firstLine="0" w:firstLineChars="0"/>
              <w:jc w:val="center"/>
              <w:rPr>
                <w:sz w:val="21"/>
                <w:szCs w:val="21"/>
                <w:lang w:bidi="en-US"/>
              </w:rPr>
            </w:pPr>
            <w:r>
              <w:rPr>
                <w:sz w:val="21"/>
                <w:szCs w:val="21"/>
                <w:lang w:bidi="en-US"/>
              </w:rPr>
              <w:t>1</w:t>
            </w:r>
          </w:p>
        </w:tc>
        <w:tc>
          <w:tcPr>
            <w:tcW w:w="1985" w:type="dxa"/>
            <w:vAlign w:val="center"/>
          </w:tcPr>
          <w:p>
            <w:pPr>
              <w:spacing w:line="240" w:lineRule="auto"/>
              <w:ind w:firstLine="0" w:firstLineChars="0"/>
              <w:jc w:val="center"/>
              <w:rPr>
                <w:sz w:val="21"/>
                <w:szCs w:val="21"/>
                <w:lang w:bidi="en-US"/>
              </w:rPr>
            </w:pPr>
            <w:r>
              <w:rPr>
                <w:sz w:val="21"/>
                <w:szCs w:val="21"/>
                <w:lang w:bidi="en-US"/>
              </w:rPr>
              <w:t>开采区东北侧居民</w:t>
            </w:r>
          </w:p>
        </w:tc>
        <w:tc>
          <w:tcPr>
            <w:tcW w:w="1134" w:type="dxa"/>
            <w:vAlign w:val="center"/>
          </w:tcPr>
          <w:p>
            <w:pPr>
              <w:spacing w:line="240" w:lineRule="auto"/>
              <w:ind w:firstLine="0" w:firstLineChars="0"/>
              <w:jc w:val="center"/>
              <w:rPr>
                <w:sz w:val="21"/>
                <w:szCs w:val="21"/>
                <w:lang w:bidi="en-US"/>
              </w:rPr>
            </w:pPr>
            <w:r>
              <w:rPr>
                <w:sz w:val="21"/>
                <w:szCs w:val="21"/>
              </w:rPr>
              <w:t>197</w:t>
            </w:r>
          </w:p>
        </w:tc>
        <w:tc>
          <w:tcPr>
            <w:tcW w:w="1134" w:type="dxa"/>
            <w:vAlign w:val="center"/>
          </w:tcPr>
          <w:p>
            <w:pPr>
              <w:spacing w:line="240" w:lineRule="auto"/>
              <w:ind w:firstLine="0" w:firstLineChars="0"/>
              <w:jc w:val="center"/>
              <w:rPr>
                <w:sz w:val="21"/>
                <w:szCs w:val="21"/>
                <w:lang w:bidi="en-US"/>
              </w:rPr>
            </w:pPr>
            <w:r>
              <w:rPr>
                <w:sz w:val="21"/>
                <w:szCs w:val="21"/>
              </w:rPr>
              <w:t>97</w:t>
            </w:r>
          </w:p>
        </w:tc>
        <w:tc>
          <w:tcPr>
            <w:tcW w:w="1417" w:type="dxa"/>
            <w:vAlign w:val="center"/>
          </w:tcPr>
          <w:p>
            <w:pPr>
              <w:spacing w:line="240" w:lineRule="auto"/>
              <w:ind w:firstLine="0" w:firstLineChars="0"/>
              <w:jc w:val="center"/>
              <w:rPr>
                <w:sz w:val="21"/>
                <w:szCs w:val="21"/>
                <w:lang w:bidi="en-US"/>
              </w:rPr>
            </w:pPr>
            <w:r>
              <w:rPr>
                <w:sz w:val="21"/>
                <w:szCs w:val="21"/>
                <w:lang w:bidi="en-US"/>
              </w:rPr>
              <w:t>1户1人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东北/西南</w:t>
            </w:r>
          </w:p>
        </w:tc>
        <w:tc>
          <w:tcPr>
            <w:tcW w:w="2167" w:type="dxa"/>
            <w:vAlign w:val="center"/>
          </w:tcPr>
          <w:p>
            <w:pPr>
              <w:spacing w:line="240" w:lineRule="auto"/>
              <w:ind w:firstLine="0" w:firstLineChars="0"/>
              <w:jc w:val="center"/>
              <w:rPr>
                <w:sz w:val="21"/>
                <w:szCs w:val="21"/>
                <w:lang w:bidi="en-US"/>
              </w:rPr>
            </w:pPr>
            <w:r>
              <w:rPr>
                <w:sz w:val="21"/>
                <w:szCs w:val="21"/>
                <w:lang w:bidi="en-US"/>
              </w:rPr>
              <w:t>170/970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4" w:hRule="atLeast"/>
          <w:jc w:val="center"/>
        </w:trPr>
        <w:tc>
          <w:tcPr>
            <w:tcW w:w="817" w:type="dxa"/>
            <w:vAlign w:val="center"/>
          </w:tcPr>
          <w:p>
            <w:pPr>
              <w:spacing w:line="240" w:lineRule="auto"/>
              <w:ind w:firstLine="0" w:firstLineChars="0"/>
              <w:jc w:val="center"/>
              <w:rPr>
                <w:sz w:val="21"/>
                <w:szCs w:val="21"/>
                <w:lang w:bidi="en-US"/>
              </w:rPr>
            </w:pPr>
            <w:r>
              <w:rPr>
                <w:sz w:val="21"/>
                <w:szCs w:val="21"/>
                <w:lang w:bidi="en-US"/>
              </w:rPr>
              <w:t>2</w:t>
            </w:r>
          </w:p>
        </w:tc>
        <w:tc>
          <w:tcPr>
            <w:tcW w:w="1985" w:type="dxa"/>
            <w:vAlign w:val="center"/>
          </w:tcPr>
          <w:p>
            <w:pPr>
              <w:spacing w:line="240" w:lineRule="auto"/>
              <w:ind w:firstLine="0" w:firstLineChars="0"/>
              <w:jc w:val="center"/>
              <w:rPr>
                <w:sz w:val="21"/>
                <w:szCs w:val="21"/>
                <w:lang w:bidi="en-US"/>
              </w:rPr>
            </w:pPr>
            <w:r>
              <w:rPr>
                <w:sz w:val="21"/>
                <w:szCs w:val="21"/>
                <w:lang w:bidi="en-US"/>
              </w:rPr>
              <w:t>和尚坡</w:t>
            </w:r>
          </w:p>
        </w:tc>
        <w:tc>
          <w:tcPr>
            <w:tcW w:w="1134" w:type="dxa"/>
            <w:vAlign w:val="center"/>
          </w:tcPr>
          <w:p>
            <w:pPr>
              <w:spacing w:line="240" w:lineRule="auto"/>
              <w:ind w:firstLine="0" w:firstLineChars="0"/>
              <w:jc w:val="center"/>
              <w:rPr>
                <w:sz w:val="21"/>
                <w:szCs w:val="21"/>
                <w:lang w:bidi="en-US"/>
              </w:rPr>
            </w:pPr>
            <w:r>
              <w:rPr>
                <w:sz w:val="21"/>
                <w:szCs w:val="21"/>
              </w:rPr>
              <w:t>-430</w:t>
            </w:r>
          </w:p>
        </w:tc>
        <w:tc>
          <w:tcPr>
            <w:tcW w:w="1134" w:type="dxa"/>
            <w:vAlign w:val="center"/>
          </w:tcPr>
          <w:p>
            <w:pPr>
              <w:spacing w:line="240" w:lineRule="auto"/>
              <w:ind w:firstLine="0" w:firstLineChars="0"/>
              <w:jc w:val="center"/>
              <w:rPr>
                <w:sz w:val="21"/>
                <w:szCs w:val="21"/>
                <w:lang w:bidi="en-US"/>
              </w:rPr>
            </w:pPr>
            <w:r>
              <w:rPr>
                <w:sz w:val="21"/>
                <w:szCs w:val="21"/>
              </w:rPr>
              <w:t>-325</w:t>
            </w:r>
          </w:p>
        </w:tc>
        <w:tc>
          <w:tcPr>
            <w:tcW w:w="1417" w:type="dxa"/>
            <w:vAlign w:val="center"/>
          </w:tcPr>
          <w:p>
            <w:pPr>
              <w:spacing w:line="240" w:lineRule="auto"/>
              <w:ind w:firstLine="0" w:firstLineChars="0"/>
              <w:jc w:val="center"/>
              <w:rPr>
                <w:sz w:val="21"/>
                <w:szCs w:val="21"/>
                <w:lang w:bidi="en-US"/>
              </w:rPr>
            </w:pPr>
            <w:r>
              <w:rPr>
                <w:sz w:val="21"/>
                <w:szCs w:val="21"/>
                <w:lang w:bidi="en-US"/>
              </w:rPr>
              <w:t>5户7人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370/1790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817" w:type="dxa"/>
            <w:vAlign w:val="center"/>
          </w:tcPr>
          <w:p>
            <w:pPr>
              <w:spacing w:line="240" w:lineRule="auto"/>
              <w:ind w:firstLine="0" w:firstLineChars="0"/>
              <w:jc w:val="center"/>
              <w:rPr>
                <w:sz w:val="21"/>
                <w:szCs w:val="21"/>
                <w:lang w:bidi="en-US"/>
              </w:rPr>
            </w:pPr>
            <w:r>
              <w:rPr>
                <w:sz w:val="21"/>
                <w:szCs w:val="21"/>
                <w:lang w:bidi="en-US"/>
              </w:rPr>
              <w:t>3</w:t>
            </w:r>
          </w:p>
        </w:tc>
        <w:tc>
          <w:tcPr>
            <w:tcW w:w="1985" w:type="dxa"/>
            <w:vAlign w:val="center"/>
          </w:tcPr>
          <w:p>
            <w:pPr>
              <w:spacing w:line="240" w:lineRule="auto"/>
              <w:ind w:firstLine="0" w:firstLineChars="0"/>
              <w:jc w:val="center"/>
              <w:rPr>
                <w:sz w:val="21"/>
                <w:szCs w:val="21"/>
                <w:lang w:bidi="en-US"/>
              </w:rPr>
            </w:pPr>
            <w:r>
              <w:rPr>
                <w:sz w:val="21"/>
                <w:szCs w:val="21"/>
                <w:lang w:bidi="en-US"/>
              </w:rPr>
              <w:t>蚕桑局</w:t>
            </w:r>
          </w:p>
        </w:tc>
        <w:tc>
          <w:tcPr>
            <w:tcW w:w="1134" w:type="dxa"/>
            <w:vAlign w:val="center"/>
          </w:tcPr>
          <w:p>
            <w:pPr>
              <w:spacing w:line="240" w:lineRule="auto"/>
              <w:ind w:firstLine="0" w:firstLineChars="0"/>
              <w:jc w:val="center"/>
              <w:rPr>
                <w:sz w:val="21"/>
                <w:szCs w:val="21"/>
                <w:lang w:bidi="en-US"/>
              </w:rPr>
            </w:pPr>
            <w:r>
              <w:rPr>
                <w:sz w:val="21"/>
                <w:szCs w:val="21"/>
              </w:rPr>
              <w:t>-1382</w:t>
            </w:r>
          </w:p>
        </w:tc>
        <w:tc>
          <w:tcPr>
            <w:tcW w:w="1134" w:type="dxa"/>
            <w:vAlign w:val="center"/>
          </w:tcPr>
          <w:p>
            <w:pPr>
              <w:spacing w:line="240" w:lineRule="auto"/>
              <w:ind w:firstLine="0" w:firstLineChars="0"/>
              <w:jc w:val="center"/>
              <w:rPr>
                <w:sz w:val="21"/>
                <w:szCs w:val="21"/>
                <w:lang w:bidi="en-US"/>
              </w:rPr>
            </w:pPr>
            <w:r>
              <w:rPr>
                <w:sz w:val="21"/>
                <w:szCs w:val="21"/>
              </w:rPr>
              <w:t>-724</w:t>
            </w:r>
          </w:p>
        </w:tc>
        <w:tc>
          <w:tcPr>
            <w:tcW w:w="1417" w:type="dxa"/>
            <w:vAlign w:val="center"/>
          </w:tcPr>
          <w:p>
            <w:pPr>
              <w:spacing w:line="240" w:lineRule="auto"/>
              <w:ind w:firstLine="0" w:firstLineChars="0"/>
              <w:jc w:val="center"/>
              <w:rPr>
                <w:sz w:val="21"/>
                <w:szCs w:val="21"/>
                <w:lang w:bidi="en-US"/>
              </w:rPr>
            </w:pPr>
            <w:r>
              <w:rPr>
                <w:sz w:val="21"/>
                <w:szCs w:val="21"/>
                <w:lang w:bidi="en-US"/>
              </w:rPr>
              <w:t>23户35人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1600/3000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817" w:type="dxa"/>
            <w:vAlign w:val="center"/>
          </w:tcPr>
          <w:p>
            <w:pPr>
              <w:spacing w:line="240" w:lineRule="auto"/>
              <w:ind w:firstLine="0" w:firstLineChars="0"/>
              <w:jc w:val="center"/>
              <w:rPr>
                <w:sz w:val="21"/>
                <w:szCs w:val="21"/>
                <w:lang w:bidi="en-US"/>
              </w:rPr>
            </w:pPr>
            <w:r>
              <w:rPr>
                <w:sz w:val="21"/>
                <w:szCs w:val="21"/>
                <w:lang w:bidi="en-US"/>
              </w:rPr>
              <w:t>4</w:t>
            </w:r>
          </w:p>
        </w:tc>
        <w:tc>
          <w:tcPr>
            <w:tcW w:w="1985" w:type="dxa"/>
            <w:vAlign w:val="center"/>
          </w:tcPr>
          <w:p>
            <w:pPr>
              <w:spacing w:line="240" w:lineRule="auto"/>
              <w:ind w:firstLine="0" w:firstLineChars="0"/>
              <w:jc w:val="center"/>
              <w:rPr>
                <w:sz w:val="21"/>
                <w:szCs w:val="21"/>
                <w:lang w:bidi="en-US"/>
              </w:rPr>
            </w:pPr>
            <w:r>
              <w:rPr>
                <w:sz w:val="21"/>
                <w:szCs w:val="21"/>
                <w:lang w:bidi="en-US"/>
              </w:rPr>
              <w:t>高滩岩</w:t>
            </w:r>
          </w:p>
        </w:tc>
        <w:tc>
          <w:tcPr>
            <w:tcW w:w="1134" w:type="dxa"/>
            <w:vAlign w:val="center"/>
          </w:tcPr>
          <w:p>
            <w:pPr>
              <w:spacing w:line="240" w:lineRule="auto"/>
              <w:ind w:firstLine="0" w:firstLineChars="0"/>
              <w:jc w:val="center"/>
              <w:rPr>
                <w:sz w:val="21"/>
                <w:szCs w:val="21"/>
                <w:lang w:bidi="en-US"/>
              </w:rPr>
            </w:pPr>
            <w:r>
              <w:rPr>
                <w:sz w:val="21"/>
                <w:szCs w:val="21"/>
              </w:rPr>
              <w:t>-1676</w:t>
            </w:r>
          </w:p>
        </w:tc>
        <w:tc>
          <w:tcPr>
            <w:tcW w:w="1134" w:type="dxa"/>
            <w:vAlign w:val="center"/>
          </w:tcPr>
          <w:p>
            <w:pPr>
              <w:spacing w:line="240" w:lineRule="auto"/>
              <w:ind w:firstLine="0" w:firstLineChars="0"/>
              <w:jc w:val="center"/>
              <w:rPr>
                <w:sz w:val="21"/>
                <w:szCs w:val="21"/>
                <w:lang w:bidi="en-US"/>
              </w:rPr>
            </w:pPr>
            <w:r>
              <w:rPr>
                <w:sz w:val="21"/>
                <w:szCs w:val="21"/>
              </w:rPr>
              <w:t>-1408</w:t>
            </w:r>
          </w:p>
        </w:tc>
        <w:tc>
          <w:tcPr>
            <w:tcW w:w="1417" w:type="dxa"/>
            <w:vAlign w:val="center"/>
          </w:tcPr>
          <w:p>
            <w:pPr>
              <w:spacing w:line="240" w:lineRule="auto"/>
              <w:ind w:firstLine="0" w:firstLineChars="0"/>
              <w:jc w:val="center"/>
              <w:rPr>
                <w:sz w:val="21"/>
                <w:szCs w:val="21"/>
                <w:lang w:bidi="en-US"/>
              </w:rPr>
            </w:pPr>
            <w:r>
              <w:rPr>
                <w:sz w:val="21"/>
                <w:szCs w:val="21"/>
                <w:lang w:bidi="en-US"/>
              </w:rPr>
              <w:t>7户10人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2510/3600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5</w:t>
            </w:r>
          </w:p>
        </w:tc>
        <w:tc>
          <w:tcPr>
            <w:tcW w:w="1985" w:type="dxa"/>
            <w:vAlign w:val="center"/>
          </w:tcPr>
          <w:p>
            <w:pPr>
              <w:spacing w:line="240" w:lineRule="auto"/>
              <w:ind w:firstLine="0" w:firstLineChars="0"/>
              <w:jc w:val="center"/>
              <w:rPr>
                <w:sz w:val="21"/>
                <w:szCs w:val="21"/>
                <w:lang w:bidi="en-US"/>
              </w:rPr>
            </w:pPr>
            <w:r>
              <w:rPr>
                <w:sz w:val="21"/>
                <w:szCs w:val="21"/>
                <w:lang w:bidi="en-US"/>
              </w:rPr>
              <w:t>王家纸厂</w:t>
            </w:r>
          </w:p>
        </w:tc>
        <w:tc>
          <w:tcPr>
            <w:tcW w:w="1134" w:type="dxa"/>
            <w:vAlign w:val="center"/>
          </w:tcPr>
          <w:p>
            <w:pPr>
              <w:spacing w:line="240" w:lineRule="auto"/>
              <w:ind w:firstLine="0" w:firstLineChars="0"/>
              <w:jc w:val="center"/>
              <w:rPr>
                <w:sz w:val="21"/>
                <w:szCs w:val="21"/>
                <w:lang w:bidi="en-US"/>
              </w:rPr>
            </w:pPr>
            <w:r>
              <w:rPr>
                <w:sz w:val="21"/>
                <w:szCs w:val="21"/>
              </w:rPr>
              <w:t>-1889</w:t>
            </w:r>
          </w:p>
        </w:tc>
        <w:tc>
          <w:tcPr>
            <w:tcW w:w="1134" w:type="dxa"/>
            <w:vAlign w:val="center"/>
          </w:tcPr>
          <w:p>
            <w:pPr>
              <w:spacing w:line="240" w:lineRule="auto"/>
              <w:ind w:firstLine="0" w:firstLineChars="0"/>
              <w:jc w:val="center"/>
              <w:rPr>
                <w:sz w:val="21"/>
                <w:szCs w:val="21"/>
                <w:lang w:bidi="en-US"/>
              </w:rPr>
            </w:pPr>
            <w:r>
              <w:rPr>
                <w:sz w:val="21"/>
                <w:szCs w:val="21"/>
              </w:rPr>
              <w:t>27</w:t>
            </w:r>
          </w:p>
        </w:tc>
        <w:tc>
          <w:tcPr>
            <w:tcW w:w="1417" w:type="dxa"/>
            <w:vAlign w:val="center"/>
          </w:tcPr>
          <w:p>
            <w:pPr>
              <w:spacing w:line="240" w:lineRule="auto"/>
              <w:ind w:firstLine="0" w:firstLineChars="0"/>
              <w:jc w:val="center"/>
              <w:rPr>
                <w:sz w:val="21"/>
                <w:szCs w:val="21"/>
                <w:lang w:bidi="en-US"/>
              </w:rPr>
            </w:pPr>
            <w:r>
              <w:rPr>
                <w:sz w:val="21"/>
                <w:szCs w:val="21"/>
                <w:lang w:bidi="en-US"/>
              </w:rPr>
              <w:t>6户10人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西/西</w:t>
            </w:r>
          </w:p>
        </w:tc>
        <w:tc>
          <w:tcPr>
            <w:tcW w:w="2167" w:type="dxa"/>
            <w:vAlign w:val="center"/>
          </w:tcPr>
          <w:p>
            <w:pPr>
              <w:spacing w:line="240" w:lineRule="auto"/>
              <w:ind w:firstLine="0" w:firstLineChars="0"/>
              <w:jc w:val="center"/>
              <w:rPr>
                <w:sz w:val="21"/>
                <w:szCs w:val="21"/>
                <w:lang w:bidi="en-US"/>
              </w:rPr>
            </w:pPr>
            <w:r>
              <w:rPr>
                <w:sz w:val="21"/>
                <w:szCs w:val="21"/>
                <w:lang w:bidi="en-US"/>
              </w:rPr>
              <w:t>1940/3030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6</w:t>
            </w:r>
          </w:p>
        </w:tc>
        <w:tc>
          <w:tcPr>
            <w:tcW w:w="1985" w:type="dxa"/>
            <w:vAlign w:val="center"/>
          </w:tcPr>
          <w:p>
            <w:pPr>
              <w:spacing w:line="240" w:lineRule="auto"/>
              <w:ind w:firstLine="0" w:firstLineChars="0"/>
              <w:jc w:val="center"/>
              <w:rPr>
                <w:sz w:val="21"/>
                <w:szCs w:val="21"/>
                <w:lang w:bidi="en-US"/>
              </w:rPr>
            </w:pPr>
            <w:r>
              <w:rPr>
                <w:sz w:val="21"/>
                <w:szCs w:val="21"/>
                <w:lang w:bidi="en-US"/>
              </w:rPr>
              <w:t>马家坡</w:t>
            </w:r>
          </w:p>
        </w:tc>
        <w:tc>
          <w:tcPr>
            <w:tcW w:w="1134" w:type="dxa"/>
            <w:vAlign w:val="center"/>
          </w:tcPr>
          <w:p>
            <w:pPr>
              <w:spacing w:line="240" w:lineRule="auto"/>
              <w:ind w:firstLine="0" w:firstLineChars="0"/>
              <w:jc w:val="center"/>
              <w:rPr>
                <w:sz w:val="21"/>
                <w:szCs w:val="21"/>
                <w:lang w:bidi="en-US"/>
              </w:rPr>
            </w:pPr>
            <w:r>
              <w:rPr>
                <w:sz w:val="21"/>
                <w:szCs w:val="21"/>
              </w:rPr>
              <w:t>-1049</w:t>
            </w:r>
          </w:p>
        </w:tc>
        <w:tc>
          <w:tcPr>
            <w:tcW w:w="1134" w:type="dxa"/>
            <w:vAlign w:val="center"/>
          </w:tcPr>
          <w:p>
            <w:pPr>
              <w:spacing w:line="240" w:lineRule="auto"/>
              <w:ind w:firstLine="0" w:firstLineChars="0"/>
              <w:jc w:val="center"/>
              <w:rPr>
                <w:sz w:val="21"/>
                <w:szCs w:val="21"/>
                <w:lang w:bidi="en-US"/>
              </w:rPr>
            </w:pPr>
            <w:r>
              <w:rPr>
                <w:sz w:val="21"/>
                <w:szCs w:val="21"/>
              </w:rPr>
              <w:t>641</w:t>
            </w:r>
          </w:p>
        </w:tc>
        <w:tc>
          <w:tcPr>
            <w:tcW w:w="1417" w:type="dxa"/>
            <w:vAlign w:val="center"/>
          </w:tcPr>
          <w:p>
            <w:pPr>
              <w:spacing w:line="240" w:lineRule="auto"/>
              <w:ind w:firstLine="0" w:firstLineChars="0"/>
              <w:jc w:val="center"/>
              <w:rPr>
                <w:sz w:val="21"/>
                <w:szCs w:val="21"/>
                <w:lang w:bidi="en-US"/>
              </w:rPr>
            </w:pPr>
            <w:r>
              <w:rPr>
                <w:sz w:val="21"/>
                <w:szCs w:val="21"/>
                <w:lang w:bidi="en-US"/>
              </w:rPr>
              <w:t>3户5人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西/西</w:t>
            </w:r>
          </w:p>
        </w:tc>
        <w:tc>
          <w:tcPr>
            <w:tcW w:w="2167" w:type="dxa"/>
            <w:vAlign w:val="center"/>
          </w:tcPr>
          <w:p>
            <w:pPr>
              <w:spacing w:line="240" w:lineRule="auto"/>
              <w:ind w:firstLine="0" w:firstLineChars="0"/>
              <w:jc w:val="center"/>
              <w:rPr>
                <w:sz w:val="21"/>
                <w:szCs w:val="21"/>
                <w:lang w:bidi="en-US"/>
              </w:rPr>
            </w:pPr>
            <w:r>
              <w:rPr>
                <w:sz w:val="21"/>
                <w:szCs w:val="21"/>
                <w:lang w:bidi="en-US"/>
              </w:rPr>
              <w:t>1300/2040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7</w:t>
            </w:r>
          </w:p>
        </w:tc>
        <w:tc>
          <w:tcPr>
            <w:tcW w:w="1985" w:type="dxa"/>
            <w:vAlign w:val="center"/>
          </w:tcPr>
          <w:p>
            <w:pPr>
              <w:spacing w:line="240" w:lineRule="auto"/>
              <w:ind w:firstLine="0" w:firstLineChars="0"/>
              <w:jc w:val="center"/>
              <w:rPr>
                <w:sz w:val="21"/>
                <w:szCs w:val="21"/>
                <w:lang w:bidi="en-US"/>
              </w:rPr>
            </w:pPr>
            <w:r>
              <w:rPr>
                <w:sz w:val="21"/>
                <w:szCs w:val="21"/>
                <w:lang w:bidi="en-US"/>
              </w:rPr>
              <w:t>酢坊沟</w:t>
            </w:r>
          </w:p>
        </w:tc>
        <w:tc>
          <w:tcPr>
            <w:tcW w:w="1134" w:type="dxa"/>
            <w:vAlign w:val="center"/>
          </w:tcPr>
          <w:p>
            <w:pPr>
              <w:spacing w:line="240" w:lineRule="auto"/>
              <w:ind w:firstLine="0" w:firstLineChars="0"/>
              <w:jc w:val="center"/>
              <w:rPr>
                <w:sz w:val="21"/>
                <w:szCs w:val="21"/>
                <w:lang w:bidi="en-US"/>
              </w:rPr>
            </w:pPr>
            <w:r>
              <w:rPr>
                <w:sz w:val="21"/>
                <w:szCs w:val="21"/>
              </w:rPr>
              <w:t>-4</w:t>
            </w:r>
          </w:p>
        </w:tc>
        <w:tc>
          <w:tcPr>
            <w:tcW w:w="1134" w:type="dxa"/>
            <w:vAlign w:val="center"/>
          </w:tcPr>
          <w:p>
            <w:pPr>
              <w:spacing w:line="240" w:lineRule="auto"/>
              <w:ind w:firstLine="0" w:firstLineChars="0"/>
              <w:jc w:val="center"/>
              <w:rPr>
                <w:sz w:val="21"/>
                <w:szCs w:val="21"/>
                <w:lang w:bidi="en-US"/>
              </w:rPr>
            </w:pPr>
            <w:r>
              <w:rPr>
                <w:sz w:val="21"/>
                <w:szCs w:val="21"/>
              </w:rPr>
              <w:t>1087</w:t>
            </w:r>
          </w:p>
        </w:tc>
        <w:tc>
          <w:tcPr>
            <w:tcW w:w="1417" w:type="dxa"/>
            <w:vAlign w:val="center"/>
          </w:tcPr>
          <w:p>
            <w:pPr>
              <w:spacing w:line="240" w:lineRule="auto"/>
              <w:ind w:firstLine="0" w:firstLineChars="0"/>
              <w:jc w:val="center"/>
              <w:rPr>
                <w:sz w:val="21"/>
                <w:szCs w:val="21"/>
                <w:lang w:bidi="en-US"/>
              </w:rPr>
            </w:pPr>
            <w:r>
              <w:rPr>
                <w:sz w:val="21"/>
                <w:szCs w:val="21"/>
                <w:lang w:bidi="en-US"/>
              </w:rPr>
              <w:t>7户13人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北/西北</w:t>
            </w:r>
          </w:p>
        </w:tc>
        <w:tc>
          <w:tcPr>
            <w:tcW w:w="2167" w:type="dxa"/>
            <w:vAlign w:val="center"/>
          </w:tcPr>
          <w:p>
            <w:pPr>
              <w:spacing w:line="240" w:lineRule="auto"/>
              <w:ind w:firstLine="0" w:firstLineChars="0"/>
              <w:jc w:val="center"/>
              <w:rPr>
                <w:sz w:val="21"/>
                <w:szCs w:val="21"/>
                <w:lang w:bidi="en-US"/>
              </w:rPr>
            </w:pPr>
            <w:r>
              <w:rPr>
                <w:sz w:val="21"/>
                <w:szCs w:val="21"/>
                <w:lang w:bidi="en-US"/>
              </w:rPr>
              <w:t>1300/1160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8</w:t>
            </w:r>
          </w:p>
        </w:tc>
        <w:tc>
          <w:tcPr>
            <w:tcW w:w="1985" w:type="dxa"/>
            <w:vAlign w:val="center"/>
          </w:tcPr>
          <w:p>
            <w:pPr>
              <w:spacing w:line="240" w:lineRule="auto"/>
              <w:ind w:firstLine="0" w:firstLineChars="0"/>
              <w:jc w:val="center"/>
              <w:rPr>
                <w:sz w:val="21"/>
                <w:szCs w:val="21"/>
                <w:lang w:bidi="en-US"/>
              </w:rPr>
            </w:pPr>
            <w:r>
              <w:rPr>
                <w:sz w:val="21"/>
                <w:szCs w:val="21"/>
                <w:lang w:bidi="en-US"/>
              </w:rPr>
              <w:t>向家坡</w:t>
            </w:r>
          </w:p>
        </w:tc>
        <w:tc>
          <w:tcPr>
            <w:tcW w:w="1134" w:type="dxa"/>
            <w:vAlign w:val="center"/>
          </w:tcPr>
          <w:p>
            <w:pPr>
              <w:spacing w:line="240" w:lineRule="auto"/>
              <w:ind w:firstLine="0" w:firstLineChars="0"/>
              <w:jc w:val="center"/>
              <w:rPr>
                <w:sz w:val="21"/>
                <w:szCs w:val="21"/>
                <w:lang w:bidi="en-US"/>
              </w:rPr>
            </w:pPr>
            <w:r>
              <w:rPr>
                <w:sz w:val="21"/>
                <w:szCs w:val="21"/>
              </w:rPr>
              <w:t>898</w:t>
            </w:r>
          </w:p>
        </w:tc>
        <w:tc>
          <w:tcPr>
            <w:tcW w:w="1134" w:type="dxa"/>
            <w:vAlign w:val="center"/>
          </w:tcPr>
          <w:p>
            <w:pPr>
              <w:spacing w:line="240" w:lineRule="auto"/>
              <w:ind w:firstLine="0" w:firstLineChars="0"/>
              <w:jc w:val="center"/>
              <w:rPr>
                <w:sz w:val="21"/>
                <w:szCs w:val="21"/>
                <w:lang w:bidi="en-US"/>
              </w:rPr>
            </w:pPr>
            <w:r>
              <w:rPr>
                <w:sz w:val="21"/>
                <w:szCs w:val="21"/>
              </w:rPr>
              <w:t>766</w:t>
            </w:r>
          </w:p>
        </w:tc>
        <w:tc>
          <w:tcPr>
            <w:tcW w:w="1417" w:type="dxa"/>
            <w:vAlign w:val="center"/>
          </w:tcPr>
          <w:p>
            <w:pPr>
              <w:spacing w:line="240" w:lineRule="auto"/>
              <w:ind w:firstLine="0" w:firstLineChars="0"/>
              <w:jc w:val="center"/>
              <w:rPr>
                <w:sz w:val="21"/>
                <w:szCs w:val="21"/>
                <w:lang w:bidi="en-US"/>
              </w:rPr>
            </w:pPr>
            <w:r>
              <w:rPr>
                <w:sz w:val="21"/>
                <w:szCs w:val="21"/>
                <w:lang w:bidi="en-US"/>
              </w:rPr>
              <w:t>5户8人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东北/北</w:t>
            </w:r>
          </w:p>
        </w:tc>
        <w:tc>
          <w:tcPr>
            <w:tcW w:w="2167" w:type="dxa"/>
            <w:vAlign w:val="center"/>
          </w:tcPr>
          <w:p>
            <w:pPr>
              <w:spacing w:line="240" w:lineRule="auto"/>
              <w:ind w:firstLine="0" w:firstLineChars="0"/>
              <w:jc w:val="center"/>
              <w:rPr>
                <w:sz w:val="21"/>
                <w:szCs w:val="21"/>
                <w:lang w:bidi="en-US"/>
              </w:rPr>
            </w:pPr>
            <w:r>
              <w:rPr>
                <w:sz w:val="21"/>
                <w:szCs w:val="21"/>
                <w:lang w:bidi="en-US"/>
              </w:rPr>
              <w:t>1410/175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9</w:t>
            </w:r>
          </w:p>
        </w:tc>
        <w:tc>
          <w:tcPr>
            <w:tcW w:w="1985" w:type="dxa"/>
            <w:vAlign w:val="center"/>
          </w:tcPr>
          <w:p>
            <w:pPr>
              <w:spacing w:line="240" w:lineRule="auto"/>
              <w:ind w:firstLine="0" w:firstLineChars="0"/>
              <w:jc w:val="center"/>
              <w:rPr>
                <w:sz w:val="21"/>
                <w:szCs w:val="21"/>
                <w:lang w:bidi="en-US"/>
              </w:rPr>
            </w:pPr>
            <w:r>
              <w:rPr>
                <w:sz w:val="21"/>
                <w:szCs w:val="21"/>
                <w:lang w:bidi="en-US"/>
              </w:rPr>
              <w:t>水洞子</w:t>
            </w:r>
          </w:p>
        </w:tc>
        <w:tc>
          <w:tcPr>
            <w:tcW w:w="1134" w:type="dxa"/>
            <w:vAlign w:val="center"/>
          </w:tcPr>
          <w:p>
            <w:pPr>
              <w:spacing w:line="240" w:lineRule="auto"/>
              <w:ind w:firstLine="0" w:firstLineChars="0"/>
              <w:jc w:val="center"/>
              <w:rPr>
                <w:sz w:val="21"/>
                <w:szCs w:val="21"/>
                <w:lang w:bidi="en-US"/>
              </w:rPr>
            </w:pPr>
            <w:r>
              <w:rPr>
                <w:sz w:val="21"/>
                <w:szCs w:val="21"/>
              </w:rPr>
              <w:t>867</w:t>
            </w:r>
          </w:p>
        </w:tc>
        <w:tc>
          <w:tcPr>
            <w:tcW w:w="1134" w:type="dxa"/>
            <w:vAlign w:val="center"/>
          </w:tcPr>
          <w:p>
            <w:pPr>
              <w:spacing w:line="240" w:lineRule="auto"/>
              <w:ind w:firstLine="0" w:firstLineChars="0"/>
              <w:jc w:val="center"/>
              <w:rPr>
                <w:sz w:val="21"/>
                <w:szCs w:val="21"/>
                <w:lang w:bidi="en-US"/>
              </w:rPr>
            </w:pPr>
            <w:r>
              <w:rPr>
                <w:sz w:val="21"/>
                <w:szCs w:val="21"/>
              </w:rPr>
              <w:t>1759</w:t>
            </w:r>
          </w:p>
        </w:tc>
        <w:tc>
          <w:tcPr>
            <w:tcW w:w="1417" w:type="dxa"/>
            <w:vAlign w:val="center"/>
          </w:tcPr>
          <w:p>
            <w:pPr>
              <w:spacing w:line="240" w:lineRule="auto"/>
              <w:ind w:firstLine="0" w:firstLineChars="0"/>
              <w:jc w:val="center"/>
              <w:rPr>
                <w:sz w:val="21"/>
                <w:szCs w:val="21"/>
                <w:lang w:bidi="en-US"/>
              </w:rPr>
            </w:pPr>
            <w:r>
              <w:rPr>
                <w:sz w:val="21"/>
                <w:szCs w:val="21"/>
                <w:lang w:bidi="en-US"/>
              </w:rPr>
              <w:t>15户28人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东北/北</w:t>
            </w:r>
          </w:p>
        </w:tc>
        <w:tc>
          <w:tcPr>
            <w:tcW w:w="2167" w:type="dxa"/>
            <w:vAlign w:val="center"/>
          </w:tcPr>
          <w:p>
            <w:pPr>
              <w:spacing w:line="240" w:lineRule="auto"/>
              <w:ind w:firstLine="0" w:firstLineChars="0"/>
              <w:jc w:val="center"/>
              <w:rPr>
                <w:sz w:val="21"/>
                <w:szCs w:val="21"/>
                <w:lang w:bidi="en-US"/>
              </w:rPr>
            </w:pPr>
            <w:r>
              <w:rPr>
                <w:sz w:val="21"/>
                <w:szCs w:val="21"/>
                <w:lang w:bidi="en-US"/>
              </w:rPr>
              <w:t>2350/1360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10</w:t>
            </w:r>
          </w:p>
        </w:tc>
        <w:tc>
          <w:tcPr>
            <w:tcW w:w="1985" w:type="dxa"/>
            <w:vAlign w:val="center"/>
          </w:tcPr>
          <w:p>
            <w:pPr>
              <w:spacing w:line="240" w:lineRule="auto"/>
              <w:ind w:firstLine="0" w:firstLineChars="0"/>
              <w:jc w:val="center"/>
              <w:rPr>
                <w:sz w:val="21"/>
                <w:szCs w:val="21"/>
                <w:lang w:bidi="en-US"/>
              </w:rPr>
            </w:pPr>
            <w:r>
              <w:rPr>
                <w:sz w:val="21"/>
                <w:szCs w:val="21"/>
                <w:lang w:bidi="en-US"/>
              </w:rPr>
              <w:t>茶园村</w:t>
            </w:r>
          </w:p>
        </w:tc>
        <w:tc>
          <w:tcPr>
            <w:tcW w:w="1134" w:type="dxa"/>
            <w:vAlign w:val="center"/>
          </w:tcPr>
          <w:p>
            <w:pPr>
              <w:spacing w:line="240" w:lineRule="auto"/>
              <w:ind w:firstLine="0" w:firstLineChars="0"/>
              <w:jc w:val="center"/>
              <w:rPr>
                <w:sz w:val="21"/>
                <w:szCs w:val="21"/>
                <w:lang w:bidi="en-US"/>
              </w:rPr>
            </w:pPr>
            <w:r>
              <w:rPr>
                <w:sz w:val="21"/>
                <w:szCs w:val="21"/>
              </w:rPr>
              <w:t>2202</w:t>
            </w:r>
          </w:p>
        </w:tc>
        <w:tc>
          <w:tcPr>
            <w:tcW w:w="1134" w:type="dxa"/>
            <w:vAlign w:val="center"/>
          </w:tcPr>
          <w:p>
            <w:pPr>
              <w:spacing w:line="240" w:lineRule="auto"/>
              <w:ind w:firstLine="0" w:firstLineChars="0"/>
              <w:jc w:val="center"/>
              <w:rPr>
                <w:sz w:val="21"/>
                <w:szCs w:val="21"/>
                <w:lang w:bidi="en-US"/>
              </w:rPr>
            </w:pPr>
            <w:r>
              <w:rPr>
                <w:sz w:val="21"/>
                <w:szCs w:val="21"/>
              </w:rPr>
              <w:t>1615</w:t>
            </w:r>
          </w:p>
        </w:tc>
        <w:tc>
          <w:tcPr>
            <w:tcW w:w="1417" w:type="dxa"/>
            <w:vAlign w:val="center"/>
          </w:tcPr>
          <w:p>
            <w:pPr>
              <w:spacing w:line="240" w:lineRule="auto"/>
              <w:ind w:firstLine="0" w:firstLineChars="0"/>
              <w:jc w:val="center"/>
              <w:rPr>
                <w:sz w:val="21"/>
                <w:szCs w:val="21"/>
                <w:lang w:bidi="en-US"/>
              </w:rPr>
            </w:pPr>
            <w:r>
              <w:rPr>
                <w:sz w:val="21"/>
                <w:szCs w:val="21"/>
                <w:lang w:bidi="en-US"/>
              </w:rPr>
              <w:t>12户20人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东北/东北</w:t>
            </w:r>
          </w:p>
        </w:tc>
        <w:tc>
          <w:tcPr>
            <w:tcW w:w="2167" w:type="dxa"/>
            <w:vAlign w:val="center"/>
          </w:tcPr>
          <w:p>
            <w:pPr>
              <w:spacing w:line="240" w:lineRule="auto"/>
              <w:ind w:firstLine="0" w:firstLineChars="0"/>
              <w:jc w:val="center"/>
              <w:rPr>
                <w:sz w:val="21"/>
                <w:szCs w:val="21"/>
                <w:lang w:bidi="en-US"/>
              </w:rPr>
            </w:pPr>
            <w:r>
              <w:rPr>
                <w:sz w:val="21"/>
                <w:szCs w:val="21"/>
                <w:lang w:bidi="en-US"/>
              </w:rPr>
              <w:t>3000/1700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11</w:t>
            </w:r>
          </w:p>
        </w:tc>
        <w:tc>
          <w:tcPr>
            <w:tcW w:w="1985" w:type="dxa"/>
            <w:vAlign w:val="center"/>
          </w:tcPr>
          <w:p>
            <w:pPr>
              <w:spacing w:line="240" w:lineRule="auto"/>
              <w:ind w:firstLine="0" w:firstLineChars="0"/>
              <w:jc w:val="center"/>
              <w:rPr>
                <w:sz w:val="21"/>
                <w:szCs w:val="21"/>
                <w:lang w:bidi="en-US"/>
              </w:rPr>
            </w:pPr>
            <w:r>
              <w:rPr>
                <w:sz w:val="21"/>
                <w:szCs w:val="21"/>
                <w:lang w:bidi="en-US"/>
              </w:rPr>
              <w:t>米坊村</w:t>
            </w:r>
          </w:p>
        </w:tc>
        <w:tc>
          <w:tcPr>
            <w:tcW w:w="1134" w:type="dxa"/>
            <w:vAlign w:val="center"/>
          </w:tcPr>
          <w:p>
            <w:pPr>
              <w:spacing w:line="240" w:lineRule="auto"/>
              <w:ind w:firstLine="0" w:firstLineChars="0"/>
              <w:jc w:val="center"/>
              <w:rPr>
                <w:sz w:val="21"/>
                <w:szCs w:val="21"/>
                <w:lang w:bidi="en-US"/>
              </w:rPr>
            </w:pPr>
            <w:r>
              <w:rPr>
                <w:sz w:val="21"/>
                <w:szCs w:val="21"/>
              </w:rPr>
              <w:t>-1370</w:t>
            </w:r>
          </w:p>
        </w:tc>
        <w:tc>
          <w:tcPr>
            <w:tcW w:w="1134" w:type="dxa"/>
            <w:vAlign w:val="center"/>
          </w:tcPr>
          <w:p>
            <w:pPr>
              <w:spacing w:line="240" w:lineRule="auto"/>
              <w:ind w:firstLine="0" w:firstLineChars="0"/>
              <w:jc w:val="center"/>
              <w:rPr>
                <w:sz w:val="21"/>
                <w:szCs w:val="21"/>
                <w:lang w:bidi="en-US"/>
              </w:rPr>
            </w:pPr>
            <w:r>
              <w:rPr>
                <w:sz w:val="21"/>
                <w:szCs w:val="21"/>
              </w:rPr>
              <w:t>1255</w:t>
            </w:r>
          </w:p>
        </w:tc>
        <w:tc>
          <w:tcPr>
            <w:tcW w:w="1417" w:type="dxa"/>
            <w:vAlign w:val="center"/>
          </w:tcPr>
          <w:p>
            <w:pPr>
              <w:spacing w:line="240" w:lineRule="auto"/>
              <w:ind w:firstLine="0" w:firstLineChars="0"/>
              <w:jc w:val="center"/>
              <w:rPr>
                <w:sz w:val="21"/>
                <w:szCs w:val="21"/>
                <w:lang w:bidi="en-US"/>
              </w:rPr>
            </w:pPr>
            <w:r>
              <w:rPr>
                <w:sz w:val="21"/>
                <w:szCs w:val="21"/>
                <w:lang w:bidi="en-US"/>
              </w:rPr>
              <w:t>10户15人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西北/西北</w:t>
            </w:r>
          </w:p>
        </w:tc>
        <w:tc>
          <w:tcPr>
            <w:tcW w:w="2167" w:type="dxa"/>
            <w:vAlign w:val="center"/>
          </w:tcPr>
          <w:p>
            <w:pPr>
              <w:spacing w:line="240" w:lineRule="auto"/>
              <w:ind w:firstLine="0" w:firstLineChars="0"/>
              <w:jc w:val="center"/>
              <w:rPr>
                <w:sz w:val="21"/>
                <w:szCs w:val="21"/>
                <w:lang w:bidi="en-US"/>
              </w:rPr>
            </w:pPr>
            <w:r>
              <w:rPr>
                <w:sz w:val="21"/>
                <w:szCs w:val="21"/>
                <w:lang w:bidi="en-US"/>
              </w:rPr>
              <w:t>2080/2800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12</w:t>
            </w:r>
          </w:p>
        </w:tc>
        <w:tc>
          <w:tcPr>
            <w:tcW w:w="1985" w:type="dxa"/>
            <w:vAlign w:val="center"/>
          </w:tcPr>
          <w:p>
            <w:pPr>
              <w:spacing w:line="240" w:lineRule="auto"/>
              <w:ind w:firstLine="0" w:firstLineChars="0"/>
              <w:jc w:val="center"/>
              <w:rPr>
                <w:sz w:val="21"/>
                <w:szCs w:val="21"/>
                <w:lang w:bidi="en-US"/>
              </w:rPr>
            </w:pPr>
            <w:r>
              <w:rPr>
                <w:sz w:val="21"/>
                <w:szCs w:val="21"/>
                <w:lang w:bidi="en-US"/>
              </w:rPr>
              <w:t>银窝子</w:t>
            </w:r>
          </w:p>
        </w:tc>
        <w:tc>
          <w:tcPr>
            <w:tcW w:w="1134" w:type="dxa"/>
            <w:vAlign w:val="center"/>
          </w:tcPr>
          <w:p>
            <w:pPr>
              <w:spacing w:line="240" w:lineRule="auto"/>
              <w:ind w:firstLine="0" w:firstLineChars="0"/>
              <w:jc w:val="center"/>
              <w:rPr>
                <w:sz w:val="21"/>
                <w:szCs w:val="21"/>
                <w:lang w:bidi="en-US"/>
              </w:rPr>
            </w:pPr>
            <w:r>
              <w:rPr>
                <w:sz w:val="21"/>
                <w:szCs w:val="21"/>
              </w:rPr>
              <w:t>2330</w:t>
            </w:r>
          </w:p>
        </w:tc>
        <w:tc>
          <w:tcPr>
            <w:tcW w:w="1134" w:type="dxa"/>
            <w:vAlign w:val="center"/>
          </w:tcPr>
          <w:p>
            <w:pPr>
              <w:spacing w:line="240" w:lineRule="auto"/>
              <w:ind w:firstLine="0" w:firstLineChars="0"/>
              <w:jc w:val="center"/>
              <w:rPr>
                <w:sz w:val="21"/>
                <w:szCs w:val="21"/>
                <w:lang w:bidi="en-US"/>
              </w:rPr>
            </w:pPr>
            <w:r>
              <w:rPr>
                <w:sz w:val="21"/>
                <w:szCs w:val="21"/>
              </w:rPr>
              <w:t>2784</w:t>
            </w:r>
          </w:p>
        </w:tc>
        <w:tc>
          <w:tcPr>
            <w:tcW w:w="1417" w:type="dxa"/>
            <w:vAlign w:val="center"/>
          </w:tcPr>
          <w:p>
            <w:pPr>
              <w:spacing w:line="240" w:lineRule="auto"/>
              <w:ind w:firstLine="0" w:firstLineChars="0"/>
              <w:jc w:val="center"/>
              <w:rPr>
                <w:sz w:val="21"/>
                <w:szCs w:val="21"/>
                <w:lang w:bidi="en-US"/>
              </w:rPr>
            </w:pPr>
            <w:r>
              <w:rPr>
                <w:sz w:val="21"/>
                <w:szCs w:val="21"/>
                <w:lang w:bidi="en-US"/>
              </w:rPr>
              <w:t>25户40人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东北/东北</w:t>
            </w:r>
          </w:p>
        </w:tc>
        <w:tc>
          <w:tcPr>
            <w:tcW w:w="2167" w:type="dxa"/>
            <w:vAlign w:val="center"/>
          </w:tcPr>
          <w:p>
            <w:pPr>
              <w:spacing w:line="240" w:lineRule="auto"/>
              <w:ind w:firstLine="0" w:firstLineChars="0"/>
              <w:jc w:val="center"/>
              <w:rPr>
                <w:sz w:val="21"/>
                <w:szCs w:val="21"/>
                <w:lang w:bidi="en-US"/>
              </w:rPr>
            </w:pPr>
            <w:r>
              <w:rPr>
                <w:sz w:val="21"/>
                <w:szCs w:val="21"/>
                <w:lang w:bidi="en-US"/>
              </w:rPr>
              <w:t>4040/2800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vAlign w:val="center"/>
          </w:tcPr>
          <w:p>
            <w:pPr>
              <w:spacing w:line="240" w:lineRule="auto"/>
              <w:ind w:firstLine="0" w:firstLineChars="0"/>
              <w:jc w:val="center"/>
              <w:rPr>
                <w:sz w:val="21"/>
                <w:szCs w:val="21"/>
                <w:lang w:bidi="en-US"/>
              </w:rPr>
            </w:pPr>
            <w:r>
              <w:rPr>
                <w:sz w:val="21"/>
                <w:szCs w:val="21"/>
                <w:lang w:bidi="en-US"/>
              </w:rPr>
              <w:t>13</w:t>
            </w:r>
          </w:p>
        </w:tc>
        <w:tc>
          <w:tcPr>
            <w:tcW w:w="1985" w:type="dxa"/>
            <w:vAlign w:val="center"/>
          </w:tcPr>
          <w:p>
            <w:pPr>
              <w:spacing w:line="240" w:lineRule="auto"/>
              <w:ind w:firstLine="0" w:firstLineChars="0"/>
              <w:jc w:val="center"/>
              <w:rPr>
                <w:sz w:val="21"/>
                <w:szCs w:val="21"/>
                <w:lang w:bidi="en-US"/>
              </w:rPr>
            </w:pPr>
            <w:r>
              <w:rPr>
                <w:sz w:val="21"/>
                <w:szCs w:val="21"/>
                <w:lang w:bidi="en-US"/>
              </w:rPr>
              <w:t>太石湾</w:t>
            </w:r>
          </w:p>
        </w:tc>
        <w:tc>
          <w:tcPr>
            <w:tcW w:w="1134" w:type="dxa"/>
            <w:vAlign w:val="center"/>
          </w:tcPr>
          <w:p>
            <w:pPr>
              <w:spacing w:line="240" w:lineRule="auto"/>
              <w:ind w:firstLine="0" w:firstLineChars="0"/>
              <w:jc w:val="center"/>
              <w:rPr>
                <w:sz w:val="21"/>
                <w:szCs w:val="21"/>
                <w:lang w:bidi="en-US"/>
              </w:rPr>
            </w:pPr>
            <w:r>
              <w:rPr>
                <w:sz w:val="21"/>
                <w:szCs w:val="21"/>
              </w:rPr>
              <w:t>2961</w:t>
            </w:r>
          </w:p>
        </w:tc>
        <w:tc>
          <w:tcPr>
            <w:tcW w:w="1134" w:type="dxa"/>
            <w:vAlign w:val="center"/>
          </w:tcPr>
          <w:p>
            <w:pPr>
              <w:spacing w:line="240" w:lineRule="auto"/>
              <w:ind w:firstLine="0" w:firstLineChars="0"/>
              <w:jc w:val="center"/>
              <w:rPr>
                <w:sz w:val="21"/>
                <w:szCs w:val="21"/>
                <w:lang w:bidi="en-US"/>
              </w:rPr>
            </w:pPr>
            <w:r>
              <w:rPr>
                <w:sz w:val="21"/>
                <w:szCs w:val="21"/>
              </w:rPr>
              <w:t>691</w:t>
            </w:r>
          </w:p>
        </w:tc>
        <w:tc>
          <w:tcPr>
            <w:tcW w:w="1417" w:type="dxa"/>
            <w:vAlign w:val="center"/>
          </w:tcPr>
          <w:p>
            <w:pPr>
              <w:spacing w:line="240" w:lineRule="auto"/>
              <w:ind w:firstLine="0" w:firstLineChars="0"/>
              <w:jc w:val="center"/>
              <w:rPr>
                <w:sz w:val="21"/>
                <w:szCs w:val="21"/>
                <w:lang w:bidi="en-US"/>
              </w:rPr>
            </w:pPr>
            <w:r>
              <w:rPr>
                <w:sz w:val="21"/>
                <w:szCs w:val="21"/>
                <w:lang w:bidi="en-US"/>
              </w:rPr>
              <w:t>2户3人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东北/东</w:t>
            </w:r>
          </w:p>
        </w:tc>
        <w:tc>
          <w:tcPr>
            <w:tcW w:w="2167" w:type="dxa"/>
            <w:vAlign w:val="center"/>
          </w:tcPr>
          <w:p>
            <w:pPr>
              <w:spacing w:line="240" w:lineRule="auto"/>
              <w:ind w:firstLine="0" w:firstLineChars="0"/>
              <w:jc w:val="center"/>
              <w:rPr>
                <w:sz w:val="21"/>
                <w:szCs w:val="21"/>
                <w:lang w:bidi="en-US"/>
              </w:rPr>
            </w:pPr>
            <w:r>
              <w:rPr>
                <w:sz w:val="21"/>
                <w:szCs w:val="21"/>
                <w:lang w:bidi="en-US"/>
              </w:rPr>
              <w:t>3250/2140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14</w:t>
            </w:r>
          </w:p>
        </w:tc>
        <w:tc>
          <w:tcPr>
            <w:tcW w:w="1985" w:type="dxa"/>
            <w:vAlign w:val="center"/>
          </w:tcPr>
          <w:p>
            <w:pPr>
              <w:spacing w:line="240" w:lineRule="auto"/>
              <w:ind w:firstLine="0" w:firstLineChars="0"/>
              <w:jc w:val="center"/>
              <w:rPr>
                <w:sz w:val="21"/>
                <w:szCs w:val="21"/>
                <w:lang w:bidi="en-US"/>
              </w:rPr>
            </w:pPr>
            <w:r>
              <w:rPr>
                <w:sz w:val="21"/>
                <w:szCs w:val="21"/>
                <w:lang w:bidi="en-US"/>
              </w:rPr>
              <w:t>陆家园子</w:t>
            </w:r>
          </w:p>
        </w:tc>
        <w:tc>
          <w:tcPr>
            <w:tcW w:w="1134" w:type="dxa"/>
            <w:vAlign w:val="center"/>
          </w:tcPr>
          <w:p>
            <w:pPr>
              <w:spacing w:line="240" w:lineRule="auto"/>
              <w:ind w:firstLine="0" w:firstLineChars="0"/>
              <w:jc w:val="center"/>
              <w:rPr>
                <w:sz w:val="21"/>
                <w:szCs w:val="21"/>
                <w:lang w:bidi="en-US"/>
              </w:rPr>
            </w:pPr>
            <w:r>
              <w:rPr>
                <w:sz w:val="21"/>
                <w:szCs w:val="21"/>
              </w:rPr>
              <w:t>191</w:t>
            </w:r>
          </w:p>
        </w:tc>
        <w:tc>
          <w:tcPr>
            <w:tcW w:w="1134" w:type="dxa"/>
            <w:vAlign w:val="center"/>
          </w:tcPr>
          <w:p>
            <w:pPr>
              <w:spacing w:line="240" w:lineRule="auto"/>
              <w:ind w:firstLine="0" w:firstLineChars="0"/>
              <w:jc w:val="center"/>
              <w:rPr>
                <w:sz w:val="21"/>
                <w:szCs w:val="21"/>
                <w:lang w:bidi="en-US"/>
              </w:rPr>
            </w:pPr>
            <w:r>
              <w:rPr>
                <w:sz w:val="21"/>
                <w:szCs w:val="21"/>
              </w:rPr>
              <w:t>-269</w:t>
            </w:r>
          </w:p>
        </w:tc>
        <w:tc>
          <w:tcPr>
            <w:tcW w:w="1417" w:type="dxa"/>
            <w:vAlign w:val="center"/>
          </w:tcPr>
          <w:p>
            <w:pPr>
              <w:spacing w:line="240" w:lineRule="auto"/>
              <w:ind w:firstLine="0" w:firstLineChars="0"/>
              <w:jc w:val="center"/>
              <w:rPr>
                <w:sz w:val="21"/>
                <w:szCs w:val="21"/>
                <w:lang w:bidi="en-US"/>
              </w:rPr>
            </w:pPr>
            <w:r>
              <w:rPr>
                <w:sz w:val="21"/>
                <w:szCs w:val="21"/>
                <w:lang w:bidi="en-US"/>
              </w:rPr>
              <w:t>10户15人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东南/西南</w:t>
            </w:r>
          </w:p>
        </w:tc>
        <w:tc>
          <w:tcPr>
            <w:tcW w:w="2167" w:type="dxa"/>
            <w:vAlign w:val="center"/>
          </w:tcPr>
          <w:p>
            <w:pPr>
              <w:spacing w:line="240" w:lineRule="auto"/>
              <w:ind w:firstLine="0" w:firstLineChars="0"/>
              <w:jc w:val="center"/>
              <w:rPr>
                <w:sz w:val="21"/>
                <w:szCs w:val="21"/>
                <w:lang w:bidi="en-US"/>
              </w:rPr>
            </w:pPr>
            <w:r>
              <w:rPr>
                <w:sz w:val="21"/>
                <w:szCs w:val="21"/>
                <w:lang w:bidi="en-US"/>
              </w:rPr>
              <w:t>240/1200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15</w:t>
            </w:r>
          </w:p>
        </w:tc>
        <w:tc>
          <w:tcPr>
            <w:tcW w:w="1985" w:type="dxa"/>
            <w:vAlign w:val="center"/>
          </w:tcPr>
          <w:p>
            <w:pPr>
              <w:spacing w:line="240" w:lineRule="auto"/>
              <w:ind w:firstLine="0" w:firstLineChars="0"/>
              <w:jc w:val="center"/>
              <w:rPr>
                <w:sz w:val="21"/>
                <w:szCs w:val="21"/>
                <w:lang w:bidi="en-US"/>
              </w:rPr>
            </w:pPr>
            <w:r>
              <w:rPr>
                <w:sz w:val="21"/>
                <w:szCs w:val="21"/>
                <w:lang w:bidi="en-US"/>
              </w:rPr>
              <w:t>阎罔坡</w:t>
            </w:r>
          </w:p>
        </w:tc>
        <w:tc>
          <w:tcPr>
            <w:tcW w:w="1134" w:type="dxa"/>
            <w:vAlign w:val="center"/>
          </w:tcPr>
          <w:p>
            <w:pPr>
              <w:spacing w:line="240" w:lineRule="auto"/>
              <w:ind w:firstLine="0" w:firstLineChars="0"/>
              <w:jc w:val="center"/>
              <w:rPr>
                <w:sz w:val="21"/>
                <w:szCs w:val="21"/>
                <w:lang w:bidi="en-US"/>
              </w:rPr>
            </w:pPr>
            <w:r>
              <w:rPr>
                <w:sz w:val="21"/>
                <w:szCs w:val="21"/>
              </w:rPr>
              <w:t>-449</w:t>
            </w:r>
          </w:p>
        </w:tc>
        <w:tc>
          <w:tcPr>
            <w:tcW w:w="1134" w:type="dxa"/>
            <w:vAlign w:val="center"/>
          </w:tcPr>
          <w:p>
            <w:pPr>
              <w:spacing w:line="240" w:lineRule="auto"/>
              <w:ind w:firstLine="0" w:firstLineChars="0"/>
              <w:jc w:val="center"/>
              <w:rPr>
                <w:sz w:val="21"/>
                <w:szCs w:val="21"/>
                <w:lang w:bidi="en-US"/>
              </w:rPr>
            </w:pPr>
            <w:r>
              <w:rPr>
                <w:sz w:val="21"/>
                <w:szCs w:val="21"/>
              </w:rPr>
              <w:t>-823</w:t>
            </w:r>
          </w:p>
        </w:tc>
        <w:tc>
          <w:tcPr>
            <w:tcW w:w="1417" w:type="dxa"/>
            <w:vAlign w:val="center"/>
          </w:tcPr>
          <w:p>
            <w:pPr>
              <w:spacing w:line="240" w:lineRule="auto"/>
              <w:ind w:firstLine="0" w:firstLineChars="0"/>
              <w:jc w:val="center"/>
              <w:rPr>
                <w:sz w:val="21"/>
                <w:szCs w:val="21"/>
                <w:lang w:bidi="en-US"/>
              </w:rPr>
            </w:pPr>
            <w:r>
              <w:rPr>
                <w:sz w:val="21"/>
                <w:szCs w:val="21"/>
                <w:lang w:bidi="en-US"/>
              </w:rPr>
              <w:t>3户4人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1010/2180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16</w:t>
            </w:r>
          </w:p>
        </w:tc>
        <w:tc>
          <w:tcPr>
            <w:tcW w:w="1985" w:type="dxa"/>
            <w:vAlign w:val="center"/>
          </w:tcPr>
          <w:p>
            <w:pPr>
              <w:spacing w:line="240" w:lineRule="auto"/>
              <w:ind w:firstLine="0" w:firstLineChars="0"/>
              <w:jc w:val="center"/>
              <w:rPr>
                <w:sz w:val="21"/>
                <w:szCs w:val="21"/>
                <w:lang w:bidi="en-US"/>
              </w:rPr>
            </w:pPr>
            <w:r>
              <w:rPr>
                <w:sz w:val="21"/>
                <w:szCs w:val="21"/>
                <w:lang w:bidi="en-US"/>
              </w:rPr>
              <w:t>上后厂</w:t>
            </w:r>
          </w:p>
        </w:tc>
        <w:tc>
          <w:tcPr>
            <w:tcW w:w="1134" w:type="dxa"/>
            <w:vAlign w:val="center"/>
          </w:tcPr>
          <w:p>
            <w:pPr>
              <w:spacing w:line="240" w:lineRule="auto"/>
              <w:ind w:firstLine="0" w:firstLineChars="0"/>
              <w:jc w:val="center"/>
              <w:rPr>
                <w:sz w:val="21"/>
                <w:szCs w:val="21"/>
                <w:lang w:bidi="en-US"/>
              </w:rPr>
            </w:pPr>
            <w:r>
              <w:rPr>
                <w:sz w:val="21"/>
                <w:szCs w:val="21"/>
              </w:rPr>
              <w:t>-852</w:t>
            </w:r>
          </w:p>
        </w:tc>
        <w:tc>
          <w:tcPr>
            <w:tcW w:w="1134" w:type="dxa"/>
            <w:vAlign w:val="center"/>
          </w:tcPr>
          <w:p>
            <w:pPr>
              <w:spacing w:line="240" w:lineRule="auto"/>
              <w:ind w:firstLine="0" w:firstLineChars="0"/>
              <w:jc w:val="center"/>
              <w:rPr>
                <w:sz w:val="21"/>
                <w:szCs w:val="21"/>
                <w:lang w:bidi="en-US"/>
              </w:rPr>
            </w:pPr>
            <w:r>
              <w:rPr>
                <w:sz w:val="21"/>
                <w:szCs w:val="21"/>
              </w:rPr>
              <w:t>-1278</w:t>
            </w:r>
          </w:p>
        </w:tc>
        <w:tc>
          <w:tcPr>
            <w:tcW w:w="1417" w:type="dxa"/>
            <w:vAlign w:val="center"/>
          </w:tcPr>
          <w:p>
            <w:pPr>
              <w:spacing w:line="240" w:lineRule="auto"/>
              <w:ind w:firstLine="0" w:firstLineChars="0"/>
              <w:jc w:val="center"/>
              <w:rPr>
                <w:sz w:val="21"/>
                <w:szCs w:val="21"/>
                <w:lang w:bidi="en-US"/>
              </w:rPr>
            </w:pPr>
            <w:r>
              <w:rPr>
                <w:sz w:val="21"/>
                <w:szCs w:val="21"/>
                <w:lang w:bidi="en-US"/>
              </w:rPr>
              <w:t>7户12人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1600/2810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17</w:t>
            </w:r>
          </w:p>
        </w:tc>
        <w:tc>
          <w:tcPr>
            <w:tcW w:w="1985" w:type="dxa"/>
            <w:vAlign w:val="center"/>
          </w:tcPr>
          <w:p>
            <w:pPr>
              <w:spacing w:line="240" w:lineRule="auto"/>
              <w:ind w:firstLine="0" w:firstLineChars="0"/>
              <w:jc w:val="center"/>
              <w:rPr>
                <w:sz w:val="21"/>
                <w:szCs w:val="21"/>
                <w:lang w:bidi="en-US"/>
              </w:rPr>
            </w:pPr>
            <w:r>
              <w:rPr>
                <w:sz w:val="21"/>
                <w:szCs w:val="21"/>
                <w:lang w:bidi="en-US"/>
              </w:rPr>
              <w:t>风过丫</w:t>
            </w:r>
          </w:p>
        </w:tc>
        <w:tc>
          <w:tcPr>
            <w:tcW w:w="1134" w:type="dxa"/>
            <w:vAlign w:val="center"/>
          </w:tcPr>
          <w:p>
            <w:pPr>
              <w:spacing w:line="240" w:lineRule="auto"/>
              <w:ind w:firstLine="0" w:firstLineChars="0"/>
              <w:jc w:val="center"/>
              <w:rPr>
                <w:sz w:val="21"/>
                <w:szCs w:val="21"/>
                <w:lang w:bidi="en-US"/>
              </w:rPr>
            </w:pPr>
            <w:r>
              <w:rPr>
                <w:sz w:val="21"/>
                <w:szCs w:val="21"/>
              </w:rPr>
              <w:t>-362</w:t>
            </w:r>
          </w:p>
        </w:tc>
        <w:tc>
          <w:tcPr>
            <w:tcW w:w="1134" w:type="dxa"/>
            <w:vAlign w:val="center"/>
          </w:tcPr>
          <w:p>
            <w:pPr>
              <w:spacing w:line="240" w:lineRule="auto"/>
              <w:ind w:firstLine="0" w:firstLineChars="0"/>
              <w:jc w:val="center"/>
              <w:rPr>
                <w:sz w:val="21"/>
                <w:szCs w:val="21"/>
                <w:lang w:bidi="en-US"/>
              </w:rPr>
            </w:pPr>
            <w:r>
              <w:rPr>
                <w:sz w:val="21"/>
                <w:szCs w:val="21"/>
              </w:rPr>
              <w:t>-1195</w:t>
            </w:r>
          </w:p>
        </w:tc>
        <w:tc>
          <w:tcPr>
            <w:tcW w:w="1417" w:type="dxa"/>
            <w:vAlign w:val="center"/>
          </w:tcPr>
          <w:p>
            <w:pPr>
              <w:spacing w:line="240" w:lineRule="auto"/>
              <w:ind w:firstLine="0" w:firstLineChars="0"/>
              <w:jc w:val="center"/>
              <w:rPr>
                <w:sz w:val="21"/>
                <w:szCs w:val="21"/>
                <w:lang w:bidi="en-US"/>
              </w:rPr>
            </w:pPr>
            <w:r>
              <w:rPr>
                <w:sz w:val="21"/>
                <w:szCs w:val="21"/>
                <w:lang w:bidi="en-US"/>
              </w:rPr>
              <w:t>1户2人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1550/2550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18</w:t>
            </w:r>
          </w:p>
        </w:tc>
        <w:tc>
          <w:tcPr>
            <w:tcW w:w="1985" w:type="dxa"/>
            <w:vAlign w:val="center"/>
          </w:tcPr>
          <w:p>
            <w:pPr>
              <w:spacing w:line="240" w:lineRule="auto"/>
              <w:ind w:firstLine="0" w:firstLineChars="0"/>
              <w:jc w:val="center"/>
              <w:rPr>
                <w:sz w:val="21"/>
                <w:szCs w:val="21"/>
                <w:lang w:bidi="en-US"/>
              </w:rPr>
            </w:pPr>
            <w:r>
              <w:rPr>
                <w:sz w:val="21"/>
                <w:szCs w:val="21"/>
                <w:lang w:bidi="en-US"/>
              </w:rPr>
              <w:t>龙院村</w:t>
            </w:r>
          </w:p>
        </w:tc>
        <w:tc>
          <w:tcPr>
            <w:tcW w:w="1134" w:type="dxa"/>
            <w:vAlign w:val="center"/>
          </w:tcPr>
          <w:p>
            <w:pPr>
              <w:spacing w:line="240" w:lineRule="auto"/>
              <w:ind w:firstLine="0" w:firstLineChars="0"/>
              <w:jc w:val="center"/>
              <w:rPr>
                <w:sz w:val="21"/>
                <w:szCs w:val="21"/>
                <w:lang w:bidi="en-US"/>
              </w:rPr>
            </w:pPr>
            <w:r>
              <w:rPr>
                <w:sz w:val="21"/>
                <w:szCs w:val="21"/>
              </w:rPr>
              <w:t>-1355</w:t>
            </w:r>
          </w:p>
        </w:tc>
        <w:tc>
          <w:tcPr>
            <w:tcW w:w="1134" w:type="dxa"/>
            <w:vAlign w:val="center"/>
          </w:tcPr>
          <w:p>
            <w:pPr>
              <w:spacing w:line="240" w:lineRule="auto"/>
              <w:ind w:firstLine="0" w:firstLineChars="0"/>
              <w:jc w:val="center"/>
              <w:rPr>
                <w:sz w:val="21"/>
                <w:szCs w:val="21"/>
                <w:lang w:bidi="en-US"/>
              </w:rPr>
            </w:pPr>
            <w:r>
              <w:rPr>
                <w:sz w:val="21"/>
                <w:szCs w:val="21"/>
              </w:rPr>
              <w:t>-2303</w:t>
            </w:r>
          </w:p>
        </w:tc>
        <w:tc>
          <w:tcPr>
            <w:tcW w:w="1417" w:type="dxa"/>
            <w:vAlign w:val="center"/>
          </w:tcPr>
          <w:p>
            <w:pPr>
              <w:spacing w:line="240" w:lineRule="auto"/>
              <w:ind w:firstLine="0" w:firstLineChars="0"/>
              <w:jc w:val="center"/>
              <w:rPr>
                <w:sz w:val="21"/>
                <w:szCs w:val="21"/>
                <w:lang w:bidi="en-US"/>
              </w:rPr>
            </w:pPr>
            <w:r>
              <w:rPr>
                <w:sz w:val="21"/>
                <w:szCs w:val="21"/>
                <w:lang w:bidi="en-US"/>
              </w:rPr>
              <w:t>8户15人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3060/4340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19</w:t>
            </w:r>
          </w:p>
        </w:tc>
        <w:tc>
          <w:tcPr>
            <w:tcW w:w="1985" w:type="dxa"/>
            <w:vAlign w:val="center"/>
          </w:tcPr>
          <w:p>
            <w:pPr>
              <w:spacing w:line="240" w:lineRule="auto"/>
              <w:ind w:firstLine="0" w:firstLineChars="0"/>
              <w:jc w:val="center"/>
              <w:rPr>
                <w:sz w:val="21"/>
                <w:szCs w:val="21"/>
                <w:lang w:bidi="en-US"/>
              </w:rPr>
            </w:pPr>
            <w:r>
              <w:rPr>
                <w:sz w:val="21"/>
                <w:szCs w:val="21"/>
                <w:lang w:bidi="en-US"/>
              </w:rPr>
              <w:t>宁家牛房</w:t>
            </w:r>
          </w:p>
        </w:tc>
        <w:tc>
          <w:tcPr>
            <w:tcW w:w="1134" w:type="dxa"/>
            <w:vAlign w:val="center"/>
          </w:tcPr>
          <w:p>
            <w:pPr>
              <w:spacing w:line="240" w:lineRule="auto"/>
              <w:ind w:firstLine="0" w:firstLineChars="0"/>
              <w:jc w:val="center"/>
              <w:rPr>
                <w:sz w:val="21"/>
                <w:szCs w:val="21"/>
                <w:lang w:bidi="en-US"/>
              </w:rPr>
            </w:pPr>
            <w:r>
              <w:rPr>
                <w:sz w:val="21"/>
                <w:szCs w:val="21"/>
              </w:rPr>
              <w:t>-598</w:t>
            </w:r>
          </w:p>
        </w:tc>
        <w:tc>
          <w:tcPr>
            <w:tcW w:w="1134" w:type="dxa"/>
            <w:vAlign w:val="center"/>
          </w:tcPr>
          <w:p>
            <w:pPr>
              <w:spacing w:line="240" w:lineRule="auto"/>
              <w:ind w:firstLine="0" w:firstLineChars="0"/>
              <w:jc w:val="center"/>
              <w:rPr>
                <w:sz w:val="21"/>
                <w:szCs w:val="21"/>
                <w:lang w:bidi="en-US"/>
              </w:rPr>
            </w:pPr>
            <w:r>
              <w:rPr>
                <w:sz w:val="21"/>
                <w:szCs w:val="21"/>
              </w:rPr>
              <w:t>-2105</w:t>
            </w:r>
          </w:p>
        </w:tc>
        <w:tc>
          <w:tcPr>
            <w:tcW w:w="1417" w:type="dxa"/>
            <w:vAlign w:val="center"/>
          </w:tcPr>
          <w:p>
            <w:pPr>
              <w:spacing w:line="240" w:lineRule="auto"/>
              <w:ind w:firstLine="0" w:firstLineChars="0"/>
              <w:jc w:val="center"/>
              <w:rPr>
                <w:sz w:val="21"/>
                <w:szCs w:val="21"/>
                <w:lang w:bidi="en-US"/>
              </w:rPr>
            </w:pPr>
            <w:r>
              <w:rPr>
                <w:sz w:val="21"/>
                <w:szCs w:val="21"/>
                <w:lang w:bidi="en-US"/>
              </w:rPr>
              <w:t>12户25人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西南/西南</w:t>
            </w:r>
          </w:p>
        </w:tc>
        <w:tc>
          <w:tcPr>
            <w:tcW w:w="2167" w:type="dxa"/>
            <w:vAlign w:val="center"/>
          </w:tcPr>
          <w:p>
            <w:pPr>
              <w:spacing w:line="240" w:lineRule="auto"/>
              <w:ind w:firstLine="0" w:firstLineChars="0"/>
              <w:jc w:val="center"/>
              <w:rPr>
                <w:sz w:val="21"/>
                <w:szCs w:val="21"/>
                <w:lang w:bidi="en-US"/>
              </w:rPr>
            </w:pPr>
            <w:r>
              <w:rPr>
                <w:sz w:val="21"/>
                <w:szCs w:val="21"/>
                <w:lang w:bidi="en-US"/>
              </w:rPr>
              <w:t>2510/3600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20</w:t>
            </w:r>
          </w:p>
        </w:tc>
        <w:tc>
          <w:tcPr>
            <w:tcW w:w="1985" w:type="dxa"/>
            <w:vAlign w:val="center"/>
          </w:tcPr>
          <w:p>
            <w:pPr>
              <w:spacing w:line="240" w:lineRule="auto"/>
              <w:ind w:firstLine="0" w:firstLineChars="0"/>
              <w:jc w:val="center"/>
              <w:rPr>
                <w:sz w:val="21"/>
                <w:szCs w:val="21"/>
                <w:lang w:bidi="en-US"/>
              </w:rPr>
            </w:pPr>
            <w:r>
              <w:rPr>
                <w:sz w:val="21"/>
                <w:szCs w:val="21"/>
                <w:lang w:bidi="en-US"/>
              </w:rPr>
              <w:t>石龙门</w:t>
            </w:r>
          </w:p>
        </w:tc>
        <w:tc>
          <w:tcPr>
            <w:tcW w:w="1134" w:type="dxa"/>
            <w:vAlign w:val="center"/>
          </w:tcPr>
          <w:p>
            <w:pPr>
              <w:spacing w:line="240" w:lineRule="auto"/>
              <w:ind w:firstLine="0" w:firstLineChars="0"/>
              <w:jc w:val="center"/>
              <w:rPr>
                <w:sz w:val="21"/>
                <w:szCs w:val="21"/>
                <w:lang w:bidi="en-US"/>
              </w:rPr>
            </w:pPr>
            <w:r>
              <w:rPr>
                <w:sz w:val="21"/>
                <w:szCs w:val="21"/>
              </w:rPr>
              <w:t>1424</w:t>
            </w:r>
          </w:p>
        </w:tc>
        <w:tc>
          <w:tcPr>
            <w:tcW w:w="1134" w:type="dxa"/>
            <w:vAlign w:val="center"/>
          </w:tcPr>
          <w:p>
            <w:pPr>
              <w:spacing w:line="240" w:lineRule="auto"/>
              <w:ind w:firstLine="0" w:firstLineChars="0"/>
              <w:jc w:val="center"/>
              <w:rPr>
                <w:sz w:val="21"/>
                <w:szCs w:val="21"/>
                <w:lang w:bidi="en-US"/>
              </w:rPr>
            </w:pPr>
            <w:r>
              <w:rPr>
                <w:sz w:val="21"/>
                <w:szCs w:val="21"/>
              </w:rPr>
              <w:t>-1945</w:t>
            </w:r>
          </w:p>
        </w:tc>
        <w:tc>
          <w:tcPr>
            <w:tcW w:w="1417" w:type="dxa"/>
            <w:vAlign w:val="center"/>
          </w:tcPr>
          <w:p>
            <w:pPr>
              <w:spacing w:line="240" w:lineRule="auto"/>
              <w:ind w:firstLine="0" w:firstLineChars="0"/>
              <w:jc w:val="center"/>
              <w:rPr>
                <w:sz w:val="21"/>
                <w:szCs w:val="21"/>
                <w:lang w:bidi="en-US"/>
              </w:rPr>
            </w:pPr>
            <w:r>
              <w:rPr>
                <w:sz w:val="21"/>
                <w:szCs w:val="21"/>
                <w:lang w:bidi="en-US"/>
              </w:rPr>
              <w:t>4户6人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东南/南</w:t>
            </w:r>
          </w:p>
        </w:tc>
        <w:tc>
          <w:tcPr>
            <w:tcW w:w="2167" w:type="dxa"/>
            <w:vAlign w:val="center"/>
          </w:tcPr>
          <w:p>
            <w:pPr>
              <w:spacing w:line="240" w:lineRule="auto"/>
              <w:ind w:firstLine="0" w:firstLineChars="0"/>
              <w:jc w:val="center"/>
              <w:rPr>
                <w:sz w:val="21"/>
                <w:szCs w:val="21"/>
                <w:lang w:bidi="en-US"/>
              </w:rPr>
            </w:pPr>
            <w:r>
              <w:rPr>
                <w:sz w:val="21"/>
                <w:szCs w:val="21"/>
                <w:lang w:bidi="en-US"/>
              </w:rPr>
              <w:t>2700/3030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21</w:t>
            </w:r>
          </w:p>
        </w:tc>
        <w:tc>
          <w:tcPr>
            <w:tcW w:w="1985" w:type="dxa"/>
            <w:vAlign w:val="center"/>
          </w:tcPr>
          <w:p>
            <w:pPr>
              <w:spacing w:line="240" w:lineRule="auto"/>
              <w:ind w:firstLine="0" w:firstLineChars="0"/>
              <w:jc w:val="center"/>
              <w:rPr>
                <w:sz w:val="21"/>
                <w:szCs w:val="21"/>
                <w:lang w:bidi="en-US"/>
              </w:rPr>
            </w:pPr>
            <w:r>
              <w:rPr>
                <w:sz w:val="21"/>
                <w:szCs w:val="21"/>
                <w:lang w:bidi="en-US"/>
              </w:rPr>
              <w:t>杨柳沟</w:t>
            </w:r>
          </w:p>
        </w:tc>
        <w:tc>
          <w:tcPr>
            <w:tcW w:w="1134" w:type="dxa"/>
            <w:vAlign w:val="center"/>
          </w:tcPr>
          <w:p>
            <w:pPr>
              <w:spacing w:line="240" w:lineRule="auto"/>
              <w:ind w:firstLine="0" w:firstLineChars="0"/>
              <w:jc w:val="center"/>
              <w:rPr>
                <w:sz w:val="21"/>
                <w:szCs w:val="21"/>
                <w:lang w:bidi="en-US"/>
              </w:rPr>
            </w:pPr>
            <w:r>
              <w:rPr>
                <w:sz w:val="21"/>
                <w:szCs w:val="21"/>
              </w:rPr>
              <w:t>2734</w:t>
            </w:r>
          </w:p>
        </w:tc>
        <w:tc>
          <w:tcPr>
            <w:tcW w:w="1134" w:type="dxa"/>
            <w:vAlign w:val="center"/>
          </w:tcPr>
          <w:p>
            <w:pPr>
              <w:spacing w:line="240" w:lineRule="auto"/>
              <w:ind w:firstLine="0" w:firstLineChars="0"/>
              <w:jc w:val="center"/>
              <w:rPr>
                <w:sz w:val="21"/>
                <w:szCs w:val="21"/>
                <w:lang w:bidi="en-US"/>
              </w:rPr>
            </w:pPr>
            <w:r>
              <w:rPr>
                <w:sz w:val="21"/>
                <w:szCs w:val="21"/>
              </w:rPr>
              <w:t>-1532</w:t>
            </w:r>
          </w:p>
        </w:tc>
        <w:tc>
          <w:tcPr>
            <w:tcW w:w="1417" w:type="dxa"/>
            <w:vAlign w:val="center"/>
          </w:tcPr>
          <w:p>
            <w:pPr>
              <w:spacing w:line="240" w:lineRule="auto"/>
              <w:ind w:firstLine="0" w:firstLineChars="0"/>
              <w:jc w:val="center"/>
              <w:rPr>
                <w:sz w:val="21"/>
                <w:szCs w:val="21"/>
                <w:lang w:bidi="en-US"/>
              </w:rPr>
            </w:pPr>
            <w:r>
              <w:rPr>
                <w:sz w:val="21"/>
                <w:szCs w:val="21"/>
                <w:lang w:bidi="en-US"/>
              </w:rPr>
              <w:t>3户5人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东南/东南</w:t>
            </w:r>
          </w:p>
        </w:tc>
        <w:tc>
          <w:tcPr>
            <w:tcW w:w="2167" w:type="dxa"/>
            <w:vAlign w:val="center"/>
          </w:tcPr>
          <w:p>
            <w:pPr>
              <w:spacing w:line="240" w:lineRule="auto"/>
              <w:ind w:firstLine="0" w:firstLineChars="0"/>
              <w:jc w:val="center"/>
              <w:rPr>
                <w:sz w:val="21"/>
                <w:szCs w:val="21"/>
                <w:lang w:bidi="en-US"/>
              </w:rPr>
            </w:pPr>
            <w:r>
              <w:rPr>
                <w:sz w:val="21"/>
                <w:szCs w:val="21"/>
                <w:lang w:bidi="en-US"/>
              </w:rPr>
              <w:t>3310/3220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7" w:hRule="atLeast"/>
          <w:jc w:val="center"/>
        </w:trPr>
        <w:tc>
          <w:tcPr>
            <w:tcW w:w="817" w:type="dxa"/>
            <w:vAlign w:val="center"/>
          </w:tcPr>
          <w:p>
            <w:pPr>
              <w:spacing w:line="240" w:lineRule="auto"/>
              <w:ind w:firstLine="0" w:firstLineChars="0"/>
              <w:jc w:val="center"/>
              <w:rPr>
                <w:sz w:val="21"/>
                <w:szCs w:val="21"/>
                <w:lang w:bidi="en-US"/>
              </w:rPr>
            </w:pPr>
            <w:r>
              <w:rPr>
                <w:sz w:val="21"/>
                <w:szCs w:val="21"/>
                <w:lang w:bidi="en-US"/>
              </w:rPr>
              <w:t>22</w:t>
            </w:r>
          </w:p>
        </w:tc>
        <w:tc>
          <w:tcPr>
            <w:tcW w:w="1985" w:type="dxa"/>
            <w:vAlign w:val="center"/>
          </w:tcPr>
          <w:p>
            <w:pPr>
              <w:spacing w:line="240" w:lineRule="auto"/>
              <w:ind w:firstLine="0" w:firstLineChars="0"/>
              <w:jc w:val="center"/>
              <w:rPr>
                <w:sz w:val="21"/>
                <w:szCs w:val="21"/>
                <w:lang w:bidi="en-US"/>
              </w:rPr>
            </w:pPr>
            <w:r>
              <w:rPr>
                <w:sz w:val="21"/>
                <w:szCs w:val="21"/>
                <w:lang w:bidi="en-US"/>
              </w:rPr>
              <w:t>塘子湾院子</w:t>
            </w:r>
          </w:p>
        </w:tc>
        <w:tc>
          <w:tcPr>
            <w:tcW w:w="1134" w:type="dxa"/>
            <w:vAlign w:val="center"/>
          </w:tcPr>
          <w:p>
            <w:pPr>
              <w:spacing w:line="240" w:lineRule="auto"/>
              <w:ind w:firstLine="0" w:firstLineChars="0"/>
              <w:jc w:val="center"/>
              <w:rPr>
                <w:sz w:val="21"/>
                <w:szCs w:val="21"/>
                <w:lang w:bidi="en-US"/>
              </w:rPr>
            </w:pPr>
            <w:r>
              <w:rPr>
                <w:sz w:val="21"/>
                <w:szCs w:val="21"/>
              </w:rPr>
              <w:t>2264</w:t>
            </w:r>
          </w:p>
        </w:tc>
        <w:tc>
          <w:tcPr>
            <w:tcW w:w="1134" w:type="dxa"/>
            <w:vAlign w:val="center"/>
          </w:tcPr>
          <w:p>
            <w:pPr>
              <w:spacing w:line="240" w:lineRule="auto"/>
              <w:ind w:firstLine="0" w:firstLineChars="0"/>
              <w:jc w:val="center"/>
              <w:rPr>
                <w:sz w:val="21"/>
                <w:szCs w:val="21"/>
                <w:lang w:bidi="en-US"/>
              </w:rPr>
            </w:pPr>
            <w:r>
              <w:rPr>
                <w:sz w:val="21"/>
                <w:szCs w:val="21"/>
              </w:rPr>
              <w:t>665</w:t>
            </w:r>
          </w:p>
        </w:tc>
        <w:tc>
          <w:tcPr>
            <w:tcW w:w="1417" w:type="dxa"/>
            <w:vAlign w:val="center"/>
          </w:tcPr>
          <w:p>
            <w:pPr>
              <w:spacing w:line="240" w:lineRule="auto"/>
              <w:ind w:firstLine="0" w:firstLineChars="0"/>
              <w:jc w:val="center"/>
              <w:rPr>
                <w:sz w:val="21"/>
                <w:szCs w:val="21"/>
                <w:lang w:bidi="en-US"/>
              </w:rPr>
            </w:pPr>
            <w:r>
              <w:rPr>
                <w:sz w:val="21"/>
                <w:szCs w:val="21"/>
                <w:lang w:bidi="en-US"/>
              </w:rPr>
              <w:t>9户15人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二类区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东北/东</w:t>
            </w:r>
          </w:p>
        </w:tc>
        <w:tc>
          <w:tcPr>
            <w:tcW w:w="2167" w:type="dxa"/>
            <w:vAlign w:val="center"/>
          </w:tcPr>
          <w:p>
            <w:pPr>
              <w:spacing w:line="240" w:lineRule="auto"/>
              <w:ind w:firstLine="0" w:firstLineChars="0"/>
              <w:jc w:val="center"/>
              <w:rPr>
                <w:sz w:val="21"/>
                <w:szCs w:val="21"/>
                <w:lang w:bidi="en-US"/>
              </w:rPr>
            </w:pPr>
            <w:r>
              <w:rPr>
                <w:sz w:val="21"/>
                <w:szCs w:val="21"/>
                <w:lang w:bidi="en-US"/>
              </w:rPr>
              <w:t>2500/1380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23</w:t>
            </w:r>
          </w:p>
        </w:tc>
        <w:tc>
          <w:tcPr>
            <w:tcW w:w="1985" w:type="dxa"/>
            <w:vAlign w:val="center"/>
          </w:tcPr>
          <w:p>
            <w:pPr>
              <w:spacing w:line="240" w:lineRule="auto"/>
              <w:ind w:firstLine="0" w:firstLineChars="0"/>
              <w:jc w:val="center"/>
              <w:rPr>
                <w:sz w:val="21"/>
                <w:szCs w:val="21"/>
                <w:lang w:bidi="en-US"/>
              </w:rPr>
            </w:pPr>
            <w:r>
              <w:rPr>
                <w:sz w:val="21"/>
                <w:szCs w:val="21"/>
                <w:lang w:bidi="en-US"/>
              </w:rPr>
              <w:t>盐井街道</w:t>
            </w:r>
          </w:p>
        </w:tc>
        <w:tc>
          <w:tcPr>
            <w:tcW w:w="1134" w:type="dxa"/>
            <w:vAlign w:val="center"/>
          </w:tcPr>
          <w:p>
            <w:pPr>
              <w:spacing w:line="240" w:lineRule="auto"/>
              <w:ind w:firstLine="0" w:firstLineChars="0"/>
              <w:jc w:val="center"/>
              <w:rPr>
                <w:sz w:val="21"/>
                <w:szCs w:val="21"/>
                <w:lang w:bidi="en-US"/>
              </w:rPr>
            </w:pPr>
            <w:r>
              <w:rPr>
                <w:sz w:val="21"/>
                <w:szCs w:val="21"/>
              </w:rPr>
              <w:t>3027</w:t>
            </w:r>
          </w:p>
        </w:tc>
        <w:tc>
          <w:tcPr>
            <w:tcW w:w="1134" w:type="dxa"/>
            <w:vAlign w:val="center"/>
          </w:tcPr>
          <w:p>
            <w:pPr>
              <w:spacing w:line="240" w:lineRule="auto"/>
              <w:ind w:firstLine="0" w:firstLineChars="0"/>
              <w:jc w:val="center"/>
              <w:rPr>
                <w:sz w:val="21"/>
                <w:szCs w:val="21"/>
                <w:lang w:bidi="en-US"/>
              </w:rPr>
            </w:pPr>
            <w:r>
              <w:rPr>
                <w:sz w:val="21"/>
                <w:szCs w:val="21"/>
              </w:rPr>
              <w:t>2153</w:t>
            </w:r>
          </w:p>
        </w:tc>
        <w:tc>
          <w:tcPr>
            <w:tcW w:w="1417" w:type="dxa"/>
            <w:vAlign w:val="center"/>
          </w:tcPr>
          <w:p>
            <w:pPr>
              <w:spacing w:line="240" w:lineRule="auto"/>
              <w:ind w:firstLine="0" w:firstLineChars="0"/>
              <w:jc w:val="center"/>
              <w:rPr>
                <w:sz w:val="21"/>
                <w:szCs w:val="21"/>
                <w:lang w:bidi="en-US"/>
              </w:rPr>
            </w:pPr>
            <w:r>
              <w:rPr>
                <w:sz w:val="21"/>
                <w:szCs w:val="21"/>
                <w:lang w:bidi="en-US"/>
              </w:rPr>
              <w:t>4户8人</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东北/东北</w:t>
            </w:r>
          </w:p>
        </w:tc>
        <w:tc>
          <w:tcPr>
            <w:tcW w:w="2167" w:type="dxa"/>
            <w:vAlign w:val="center"/>
          </w:tcPr>
          <w:p>
            <w:pPr>
              <w:spacing w:line="240" w:lineRule="auto"/>
              <w:ind w:firstLine="0" w:firstLineChars="0"/>
              <w:jc w:val="center"/>
              <w:rPr>
                <w:sz w:val="21"/>
                <w:szCs w:val="21"/>
                <w:lang w:bidi="en-US"/>
              </w:rPr>
            </w:pPr>
            <w:r>
              <w:rPr>
                <w:sz w:val="21"/>
                <w:szCs w:val="21"/>
                <w:lang w:bidi="en-US"/>
              </w:rPr>
              <w:t>4110/2500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spacing w:line="240" w:lineRule="auto"/>
              <w:ind w:firstLine="0" w:firstLineChars="0"/>
              <w:jc w:val="center"/>
              <w:rPr>
                <w:sz w:val="21"/>
                <w:szCs w:val="21"/>
                <w:lang w:bidi="en-US"/>
              </w:rPr>
            </w:pPr>
            <w:r>
              <w:rPr>
                <w:sz w:val="21"/>
                <w:szCs w:val="21"/>
                <w:lang w:bidi="en-US"/>
              </w:rPr>
              <w:t>24</w:t>
            </w:r>
          </w:p>
        </w:tc>
        <w:tc>
          <w:tcPr>
            <w:tcW w:w="1985" w:type="dxa"/>
            <w:vAlign w:val="center"/>
          </w:tcPr>
          <w:p>
            <w:pPr>
              <w:spacing w:line="240" w:lineRule="auto"/>
              <w:ind w:firstLine="0" w:firstLineChars="0"/>
              <w:jc w:val="center"/>
              <w:rPr>
                <w:sz w:val="21"/>
                <w:szCs w:val="21"/>
                <w:lang w:bidi="en-US"/>
              </w:rPr>
            </w:pPr>
            <w:r>
              <w:rPr>
                <w:sz w:val="21"/>
                <w:szCs w:val="21"/>
                <w:lang w:bidi="en-US"/>
              </w:rPr>
              <w:t>九峰山森林公园</w:t>
            </w:r>
          </w:p>
        </w:tc>
        <w:tc>
          <w:tcPr>
            <w:tcW w:w="1134" w:type="dxa"/>
            <w:vAlign w:val="center"/>
          </w:tcPr>
          <w:p>
            <w:pPr>
              <w:spacing w:line="240" w:lineRule="auto"/>
              <w:ind w:firstLine="0" w:firstLineChars="0"/>
              <w:jc w:val="center"/>
              <w:rPr>
                <w:sz w:val="21"/>
                <w:szCs w:val="21"/>
                <w:lang w:bidi="en-US"/>
              </w:rPr>
            </w:pPr>
            <w:r>
              <w:rPr>
                <w:sz w:val="21"/>
                <w:szCs w:val="21"/>
              </w:rPr>
              <w:t>-446</w:t>
            </w:r>
          </w:p>
        </w:tc>
        <w:tc>
          <w:tcPr>
            <w:tcW w:w="1134" w:type="dxa"/>
            <w:vAlign w:val="center"/>
          </w:tcPr>
          <w:p>
            <w:pPr>
              <w:spacing w:line="240" w:lineRule="auto"/>
              <w:ind w:firstLine="0" w:firstLineChars="0"/>
              <w:jc w:val="center"/>
              <w:rPr>
                <w:sz w:val="21"/>
                <w:szCs w:val="21"/>
                <w:lang w:bidi="en-US"/>
              </w:rPr>
            </w:pPr>
            <w:r>
              <w:rPr>
                <w:sz w:val="21"/>
                <w:szCs w:val="21"/>
              </w:rPr>
              <w:t>349</w:t>
            </w:r>
          </w:p>
        </w:tc>
        <w:tc>
          <w:tcPr>
            <w:tcW w:w="1417" w:type="dxa"/>
            <w:vAlign w:val="center"/>
          </w:tcPr>
          <w:p>
            <w:pPr>
              <w:spacing w:line="240" w:lineRule="auto"/>
              <w:ind w:firstLine="0" w:firstLineChars="0"/>
              <w:jc w:val="center"/>
              <w:rPr>
                <w:sz w:val="21"/>
                <w:szCs w:val="21"/>
                <w:lang w:bidi="en-US"/>
              </w:rPr>
            </w:pPr>
            <w:r>
              <w:rPr>
                <w:sz w:val="21"/>
                <w:szCs w:val="21"/>
                <w:lang w:bidi="en-US"/>
              </w:rPr>
              <w:t>森林公园</w:t>
            </w:r>
          </w:p>
        </w:tc>
        <w:tc>
          <w:tcPr>
            <w:tcW w:w="1418" w:type="dxa"/>
            <w:vAlign w:val="center"/>
          </w:tcPr>
          <w:p>
            <w:pPr>
              <w:spacing w:line="240" w:lineRule="auto"/>
              <w:ind w:firstLine="0" w:firstLineChars="0"/>
              <w:jc w:val="center"/>
              <w:rPr>
                <w:sz w:val="21"/>
                <w:szCs w:val="21"/>
                <w:lang w:bidi="en-US"/>
              </w:rPr>
            </w:pPr>
            <w:r>
              <w:rPr>
                <w:sz w:val="21"/>
                <w:szCs w:val="21"/>
                <w:lang w:bidi="en-US"/>
              </w:rPr>
              <w:t>环境空气</w:t>
            </w:r>
          </w:p>
        </w:tc>
        <w:tc>
          <w:tcPr>
            <w:tcW w:w="2126" w:type="dxa"/>
            <w:vAlign w:val="center"/>
          </w:tcPr>
          <w:p>
            <w:pPr>
              <w:spacing w:line="240" w:lineRule="auto"/>
              <w:ind w:firstLine="0" w:firstLineChars="0"/>
              <w:jc w:val="center"/>
              <w:rPr>
                <w:sz w:val="21"/>
                <w:szCs w:val="21"/>
                <w:lang w:bidi="en-US"/>
              </w:rPr>
            </w:pPr>
            <w:r>
              <w:rPr>
                <w:sz w:val="21"/>
                <w:szCs w:val="21"/>
                <w:lang w:bidi="en-US"/>
              </w:rPr>
              <w:t>一类区</w:t>
            </w:r>
          </w:p>
        </w:tc>
        <w:tc>
          <w:tcPr>
            <w:tcW w:w="2126" w:type="dxa"/>
            <w:vAlign w:val="center"/>
          </w:tcPr>
          <w:p>
            <w:pPr>
              <w:spacing w:line="240" w:lineRule="auto"/>
              <w:ind w:firstLine="0" w:firstLineChars="0"/>
              <w:jc w:val="center"/>
              <w:rPr>
                <w:sz w:val="21"/>
                <w:szCs w:val="21"/>
                <w:lang w:bidi="en-US"/>
              </w:rPr>
            </w:pPr>
            <w:r>
              <w:rPr>
                <w:sz w:val="21"/>
                <w:szCs w:val="21"/>
                <w:lang w:bidi="en-US"/>
              </w:rPr>
              <w:t>北/北</w:t>
            </w:r>
          </w:p>
        </w:tc>
        <w:tc>
          <w:tcPr>
            <w:tcW w:w="2167" w:type="dxa"/>
            <w:vAlign w:val="center"/>
          </w:tcPr>
          <w:p>
            <w:pPr>
              <w:spacing w:line="240" w:lineRule="auto"/>
              <w:ind w:firstLine="0" w:firstLineChars="0"/>
              <w:jc w:val="center"/>
              <w:rPr>
                <w:sz w:val="21"/>
                <w:szCs w:val="21"/>
                <w:lang w:bidi="en-US"/>
              </w:rPr>
            </w:pPr>
            <w:r>
              <w:rPr>
                <w:sz w:val="21"/>
                <w:szCs w:val="21"/>
                <w:lang w:bidi="en-US"/>
              </w:rPr>
              <w:t>59/55</w:t>
            </w:r>
          </w:p>
        </w:tc>
      </w:tr>
    </w:tbl>
    <w:p>
      <w:pPr>
        <w:pStyle w:val="3219"/>
        <w:rPr>
          <w:color w:val="auto"/>
        </w:rPr>
      </w:pPr>
      <w:r>
        <w:rPr>
          <w:color w:val="auto"/>
        </w:rPr>
        <w:t>注：本项目选择矿区拐点坐标3作为相对坐标原点（0，0），2000国家大地坐标X：3311401.26，Y：35626645.46。</w:t>
      </w:r>
    </w:p>
    <w:p>
      <w:pPr>
        <w:pStyle w:val="3219"/>
        <w:rPr>
          <w:color w:val="auto"/>
        </w:rPr>
      </w:pPr>
    </w:p>
    <w:p>
      <w:pPr>
        <w:pStyle w:val="3219"/>
        <w:rPr>
          <w:color w:val="auto"/>
        </w:rPr>
      </w:pPr>
    </w:p>
    <w:p>
      <w:pPr>
        <w:pStyle w:val="84"/>
      </w:pPr>
      <w:r>
        <w:t>表1.7-2  声环境保护目标调查表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762"/>
        <w:gridCol w:w="1842"/>
        <w:gridCol w:w="653"/>
        <w:gridCol w:w="1095"/>
        <w:gridCol w:w="956"/>
        <w:gridCol w:w="1095"/>
        <w:gridCol w:w="956"/>
        <w:gridCol w:w="1355"/>
        <w:gridCol w:w="4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93"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bookmarkStart w:id="109" w:name="_Hlk161241430"/>
            <w:r>
              <w:rPr>
                <w:b/>
                <w:bCs/>
                <w:sz w:val="21"/>
                <w:szCs w:val="21"/>
                <w:lang w:bidi="en-US"/>
              </w:rPr>
              <w:t>序号</w:t>
            </w:r>
          </w:p>
        </w:tc>
        <w:tc>
          <w:tcPr>
            <w:tcW w:w="2604" w:type="dxa"/>
            <w:gridSpan w:val="2"/>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声环境保护目标名称</w:t>
            </w:r>
          </w:p>
        </w:tc>
        <w:tc>
          <w:tcPr>
            <w:tcW w:w="2704" w:type="dxa"/>
            <w:gridSpan w:val="3"/>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空间相对位置/m</w:t>
            </w:r>
          </w:p>
        </w:tc>
        <w:tc>
          <w:tcPr>
            <w:tcW w:w="1095"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距厂界最近距离/m</w:t>
            </w:r>
          </w:p>
        </w:tc>
        <w:tc>
          <w:tcPr>
            <w:tcW w:w="956"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方位</w:t>
            </w:r>
          </w:p>
        </w:tc>
        <w:tc>
          <w:tcPr>
            <w:tcW w:w="1355"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执行标准/功能区类别</w:t>
            </w:r>
          </w:p>
        </w:tc>
        <w:tc>
          <w:tcPr>
            <w:tcW w:w="4591" w:type="dxa"/>
            <w:vMerge w:val="restart"/>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声环境保护目标情况说明（介绍声环境保护目标建筑结构、朝向、楼层、周围环境情况）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93"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2604" w:type="dxa"/>
            <w:gridSpan w:val="2"/>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653" w:type="dxa"/>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X</w:t>
            </w:r>
          </w:p>
        </w:tc>
        <w:tc>
          <w:tcPr>
            <w:tcW w:w="1095" w:type="dxa"/>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Y</w:t>
            </w:r>
          </w:p>
        </w:tc>
        <w:tc>
          <w:tcPr>
            <w:tcW w:w="956" w:type="dxa"/>
            <w:shd w:val="clear" w:color="auto" w:fill="D8D8D8" w:themeFill="background1" w:themeFillShade="D9"/>
            <w:vAlign w:val="center"/>
          </w:tcPr>
          <w:p>
            <w:pPr>
              <w:spacing w:line="240" w:lineRule="auto"/>
              <w:ind w:firstLine="0" w:firstLineChars="0"/>
              <w:jc w:val="center"/>
              <w:rPr>
                <w:b/>
                <w:bCs/>
                <w:sz w:val="21"/>
                <w:szCs w:val="21"/>
                <w:lang w:bidi="en-US"/>
              </w:rPr>
            </w:pPr>
            <w:r>
              <w:rPr>
                <w:b/>
                <w:bCs/>
                <w:sz w:val="21"/>
                <w:szCs w:val="21"/>
                <w:lang w:bidi="en-US"/>
              </w:rPr>
              <w:t>Z</w:t>
            </w:r>
          </w:p>
        </w:tc>
        <w:tc>
          <w:tcPr>
            <w:tcW w:w="1095"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956"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1355"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c>
          <w:tcPr>
            <w:tcW w:w="4591" w:type="dxa"/>
            <w:vMerge w:val="continue"/>
            <w:shd w:val="clear" w:color="auto" w:fill="D8D8D8" w:themeFill="background1" w:themeFillShade="D9"/>
            <w:vAlign w:val="center"/>
          </w:tcPr>
          <w:p>
            <w:pPr>
              <w:spacing w:line="240" w:lineRule="auto"/>
              <w:ind w:firstLine="0" w:firstLineChars="0"/>
              <w:jc w:val="center"/>
              <w:rPr>
                <w:b/>
                <w:bCs/>
                <w:sz w:val="21"/>
                <w:szCs w:val="21"/>
                <w:lang w:bidi="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vAlign w:val="center"/>
          </w:tcPr>
          <w:p>
            <w:pPr>
              <w:spacing w:line="240" w:lineRule="auto"/>
              <w:ind w:firstLine="0" w:firstLineChars="0"/>
              <w:jc w:val="center"/>
              <w:rPr>
                <w:sz w:val="21"/>
                <w:szCs w:val="21"/>
                <w:lang w:bidi="en-US"/>
              </w:rPr>
            </w:pPr>
            <w:r>
              <w:rPr>
                <w:sz w:val="21"/>
                <w:szCs w:val="21"/>
                <w:lang w:bidi="en-US"/>
              </w:rPr>
              <w:t>1</w:t>
            </w:r>
          </w:p>
        </w:tc>
        <w:tc>
          <w:tcPr>
            <w:tcW w:w="762" w:type="dxa"/>
            <w:vAlign w:val="center"/>
          </w:tcPr>
          <w:p>
            <w:pPr>
              <w:spacing w:line="240" w:lineRule="auto"/>
              <w:ind w:firstLine="0" w:firstLineChars="0"/>
              <w:jc w:val="center"/>
              <w:rPr>
                <w:sz w:val="21"/>
                <w:szCs w:val="21"/>
                <w:lang w:bidi="en-US"/>
              </w:rPr>
            </w:pPr>
            <w:r>
              <w:rPr>
                <w:sz w:val="21"/>
                <w:szCs w:val="21"/>
                <w:lang w:bidi="en-US"/>
              </w:rPr>
              <w:t>开采区</w:t>
            </w:r>
          </w:p>
        </w:tc>
        <w:tc>
          <w:tcPr>
            <w:tcW w:w="1842" w:type="dxa"/>
            <w:vAlign w:val="center"/>
          </w:tcPr>
          <w:p>
            <w:pPr>
              <w:spacing w:line="240" w:lineRule="auto"/>
              <w:ind w:firstLine="0" w:firstLineChars="0"/>
              <w:jc w:val="center"/>
              <w:rPr>
                <w:sz w:val="21"/>
                <w:szCs w:val="21"/>
                <w:lang w:bidi="en-US"/>
              </w:rPr>
            </w:pPr>
            <w:r>
              <w:rPr>
                <w:sz w:val="21"/>
                <w:szCs w:val="21"/>
                <w:lang w:bidi="en-US"/>
              </w:rPr>
              <w:t>开采区东北侧居民</w:t>
            </w:r>
          </w:p>
        </w:tc>
        <w:tc>
          <w:tcPr>
            <w:tcW w:w="653" w:type="dxa"/>
            <w:vAlign w:val="center"/>
          </w:tcPr>
          <w:p>
            <w:pPr>
              <w:spacing w:line="240" w:lineRule="auto"/>
              <w:ind w:firstLine="0" w:firstLineChars="0"/>
              <w:jc w:val="center"/>
              <w:rPr>
                <w:sz w:val="21"/>
                <w:szCs w:val="21"/>
                <w:lang w:bidi="en-US"/>
              </w:rPr>
            </w:pPr>
            <w:r>
              <w:rPr>
                <w:sz w:val="21"/>
                <w:szCs w:val="21"/>
              </w:rPr>
              <w:t>197</w:t>
            </w:r>
          </w:p>
        </w:tc>
        <w:tc>
          <w:tcPr>
            <w:tcW w:w="1095" w:type="dxa"/>
            <w:vAlign w:val="center"/>
          </w:tcPr>
          <w:p>
            <w:pPr>
              <w:spacing w:line="240" w:lineRule="auto"/>
              <w:ind w:firstLine="0" w:firstLineChars="0"/>
              <w:jc w:val="center"/>
              <w:rPr>
                <w:sz w:val="21"/>
                <w:szCs w:val="21"/>
                <w:lang w:bidi="en-US"/>
              </w:rPr>
            </w:pPr>
            <w:r>
              <w:rPr>
                <w:sz w:val="21"/>
                <w:szCs w:val="21"/>
              </w:rPr>
              <w:t>97</w:t>
            </w:r>
          </w:p>
        </w:tc>
        <w:tc>
          <w:tcPr>
            <w:tcW w:w="956" w:type="dxa"/>
            <w:vAlign w:val="center"/>
          </w:tcPr>
          <w:p>
            <w:pPr>
              <w:spacing w:line="240" w:lineRule="auto"/>
              <w:ind w:firstLine="0" w:firstLineChars="0"/>
              <w:jc w:val="center"/>
              <w:rPr>
                <w:sz w:val="21"/>
                <w:szCs w:val="21"/>
                <w:lang w:bidi="en-US"/>
              </w:rPr>
            </w:pPr>
            <w:r>
              <w:rPr>
                <w:sz w:val="21"/>
                <w:szCs w:val="21"/>
                <w:lang w:bidi="en-US"/>
              </w:rPr>
              <w:t>-15</w:t>
            </w:r>
          </w:p>
        </w:tc>
        <w:tc>
          <w:tcPr>
            <w:tcW w:w="1095" w:type="dxa"/>
            <w:vAlign w:val="center"/>
          </w:tcPr>
          <w:p>
            <w:pPr>
              <w:spacing w:line="240" w:lineRule="auto"/>
              <w:ind w:firstLine="0" w:firstLineChars="0"/>
              <w:jc w:val="center"/>
              <w:rPr>
                <w:sz w:val="21"/>
                <w:szCs w:val="21"/>
                <w:lang w:bidi="en-US"/>
              </w:rPr>
            </w:pPr>
            <w:r>
              <w:rPr>
                <w:sz w:val="21"/>
                <w:szCs w:val="21"/>
                <w:lang w:bidi="en-US"/>
              </w:rPr>
              <w:t>170</w:t>
            </w:r>
          </w:p>
        </w:tc>
        <w:tc>
          <w:tcPr>
            <w:tcW w:w="956" w:type="dxa"/>
            <w:vAlign w:val="center"/>
          </w:tcPr>
          <w:p>
            <w:pPr>
              <w:spacing w:line="240" w:lineRule="auto"/>
              <w:ind w:firstLine="0" w:firstLineChars="0"/>
              <w:jc w:val="center"/>
              <w:rPr>
                <w:sz w:val="21"/>
                <w:szCs w:val="21"/>
                <w:lang w:bidi="en-US"/>
              </w:rPr>
            </w:pPr>
            <w:r>
              <w:rPr>
                <w:sz w:val="21"/>
                <w:szCs w:val="21"/>
                <w:lang w:bidi="en-US"/>
              </w:rPr>
              <w:t>东北</w:t>
            </w:r>
          </w:p>
        </w:tc>
        <w:tc>
          <w:tcPr>
            <w:tcW w:w="1355" w:type="dxa"/>
            <w:vAlign w:val="center"/>
          </w:tcPr>
          <w:p>
            <w:pPr>
              <w:spacing w:line="240" w:lineRule="auto"/>
              <w:ind w:firstLine="0" w:firstLineChars="0"/>
              <w:jc w:val="center"/>
              <w:rPr>
                <w:sz w:val="21"/>
                <w:szCs w:val="21"/>
                <w:lang w:bidi="en-US"/>
              </w:rPr>
            </w:pPr>
            <w:r>
              <w:rPr>
                <w:sz w:val="21"/>
                <w:szCs w:val="21"/>
                <w:lang w:bidi="en-US"/>
              </w:rPr>
              <w:t>2类</w:t>
            </w:r>
          </w:p>
        </w:tc>
        <w:tc>
          <w:tcPr>
            <w:tcW w:w="4591" w:type="dxa"/>
            <w:vAlign w:val="center"/>
          </w:tcPr>
          <w:p>
            <w:pPr>
              <w:spacing w:line="240" w:lineRule="auto"/>
              <w:ind w:firstLine="0" w:firstLineChars="0"/>
              <w:jc w:val="center"/>
              <w:rPr>
                <w:sz w:val="21"/>
                <w:szCs w:val="21"/>
                <w:lang w:bidi="en-US"/>
              </w:rPr>
            </w:pPr>
            <w:r>
              <w:rPr>
                <w:sz w:val="21"/>
                <w:szCs w:val="21"/>
                <w:lang w:bidi="en-US"/>
              </w:rPr>
              <w:t>砖混结构，朝北，2层，周围有林地和旱地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vAlign w:val="center"/>
          </w:tcPr>
          <w:p>
            <w:pPr>
              <w:spacing w:line="240" w:lineRule="auto"/>
              <w:ind w:firstLine="0" w:firstLineChars="0"/>
              <w:jc w:val="center"/>
              <w:rPr>
                <w:sz w:val="21"/>
                <w:szCs w:val="21"/>
                <w:lang w:bidi="en-US"/>
              </w:rPr>
            </w:pPr>
            <w:r>
              <w:rPr>
                <w:sz w:val="21"/>
                <w:szCs w:val="21"/>
                <w:lang w:bidi="en-US"/>
              </w:rPr>
              <w:t>2</w:t>
            </w:r>
          </w:p>
        </w:tc>
        <w:tc>
          <w:tcPr>
            <w:tcW w:w="762" w:type="dxa"/>
            <w:vMerge w:val="restart"/>
            <w:vAlign w:val="center"/>
          </w:tcPr>
          <w:p>
            <w:pPr>
              <w:spacing w:line="240" w:lineRule="auto"/>
              <w:ind w:firstLine="0" w:firstLineChars="0"/>
              <w:jc w:val="center"/>
              <w:rPr>
                <w:sz w:val="21"/>
                <w:szCs w:val="21"/>
                <w:lang w:bidi="en-US"/>
              </w:rPr>
            </w:pPr>
            <w:r>
              <w:rPr>
                <w:sz w:val="21"/>
                <w:szCs w:val="21"/>
                <w:lang w:bidi="en-US"/>
              </w:rPr>
              <w:t>工业场地</w:t>
            </w:r>
          </w:p>
        </w:tc>
        <w:tc>
          <w:tcPr>
            <w:tcW w:w="1842" w:type="dxa"/>
            <w:vAlign w:val="center"/>
          </w:tcPr>
          <w:p>
            <w:pPr>
              <w:spacing w:line="240" w:lineRule="auto"/>
              <w:ind w:firstLine="0" w:firstLineChars="0"/>
              <w:jc w:val="center"/>
              <w:rPr>
                <w:sz w:val="21"/>
                <w:szCs w:val="21"/>
                <w:lang w:bidi="en-US"/>
              </w:rPr>
            </w:pPr>
            <w:r>
              <w:rPr>
                <w:sz w:val="21"/>
                <w:szCs w:val="21"/>
                <w:lang w:bidi="en-US"/>
              </w:rPr>
              <w:t>工业场地北侧居民1#（向家坡）</w:t>
            </w:r>
          </w:p>
        </w:tc>
        <w:tc>
          <w:tcPr>
            <w:tcW w:w="653" w:type="dxa"/>
            <w:vAlign w:val="center"/>
          </w:tcPr>
          <w:p>
            <w:pPr>
              <w:spacing w:line="240" w:lineRule="auto"/>
              <w:ind w:firstLine="0" w:firstLineChars="0"/>
              <w:jc w:val="center"/>
              <w:rPr>
                <w:sz w:val="21"/>
                <w:szCs w:val="21"/>
                <w:lang w:bidi="en-US"/>
              </w:rPr>
            </w:pPr>
            <w:r>
              <w:rPr>
                <w:sz w:val="21"/>
                <w:szCs w:val="21"/>
                <w:lang w:bidi="en-US"/>
              </w:rPr>
              <w:t>-92</w:t>
            </w:r>
          </w:p>
        </w:tc>
        <w:tc>
          <w:tcPr>
            <w:tcW w:w="1095" w:type="dxa"/>
            <w:vAlign w:val="center"/>
          </w:tcPr>
          <w:p>
            <w:pPr>
              <w:spacing w:line="240" w:lineRule="auto"/>
              <w:ind w:firstLine="0" w:firstLineChars="0"/>
              <w:jc w:val="center"/>
              <w:rPr>
                <w:sz w:val="21"/>
                <w:szCs w:val="21"/>
                <w:lang w:bidi="en-US"/>
              </w:rPr>
            </w:pPr>
            <w:r>
              <w:rPr>
                <w:sz w:val="21"/>
                <w:szCs w:val="21"/>
                <w:lang w:bidi="en-US"/>
              </w:rPr>
              <w:t>198</w:t>
            </w:r>
          </w:p>
        </w:tc>
        <w:tc>
          <w:tcPr>
            <w:tcW w:w="956" w:type="dxa"/>
            <w:vAlign w:val="center"/>
          </w:tcPr>
          <w:p>
            <w:pPr>
              <w:spacing w:line="240" w:lineRule="auto"/>
              <w:ind w:firstLine="0" w:firstLineChars="0"/>
              <w:jc w:val="center"/>
              <w:rPr>
                <w:sz w:val="21"/>
                <w:szCs w:val="21"/>
                <w:lang w:bidi="en-US"/>
              </w:rPr>
            </w:pPr>
            <w:r>
              <w:rPr>
                <w:sz w:val="21"/>
                <w:szCs w:val="21"/>
                <w:lang w:bidi="en-US"/>
              </w:rPr>
              <w:t>5</w:t>
            </w:r>
          </w:p>
        </w:tc>
        <w:tc>
          <w:tcPr>
            <w:tcW w:w="1095" w:type="dxa"/>
            <w:vAlign w:val="center"/>
          </w:tcPr>
          <w:p>
            <w:pPr>
              <w:spacing w:line="240" w:lineRule="auto"/>
              <w:ind w:firstLine="0" w:firstLineChars="0"/>
              <w:jc w:val="center"/>
              <w:rPr>
                <w:sz w:val="21"/>
                <w:szCs w:val="21"/>
                <w:lang w:bidi="en-US"/>
              </w:rPr>
            </w:pPr>
            <w:r>
              <w:rPr>
                <w:sz w:val="21"/>
                <w:szCs w:val="21"/>
                <w:lang w:bidi="en-US"/>
              </w:rPr>
              <w:t>170</w:t>
            </w:r>
          </w:p>
        </w:tc>
        <w:tc>
          <w:tcPr>
            <w:tcW w:w="956" w:type="dxa"/>
            <w:vAlign w:val="center"/>
          </w:tcPr>
          <w:p>
            <w:pPr>
              <w:spacing w:line="240" w:lineRule="auto"/>
              <w:ind w:firstLine="0" w:firstLineChars="0"/>
              <w:jc w:val="center"/>
              <w:rPr>
                <w:sz w:val="21"/>
                <w:szCs w:val="21"/>
                <w:lang w:bidi="en-US"/>
              </w:rPr>
            </w:pPr>
            <w:r>
              <w:rPr>
                <w:sz w:val="21"/>
                <w:szCs w:val="21"/>
                <w:lang w:bidi="en-US"/>
              </w:rPr>
              <w:t>北</w:t>
            </w:r>
          </w:p>
        </w:tc>
        <w:tc>
          <w:tcPr>
            <w:tcW w:w="1355" w:type="dxa"/>
            <w:vAlign w:val="center"/>
          </w:tcPr>
          <w:p>
            <w:pPr>
              <w:spacing w:line="240" w:lineRule="auto"/>
              <w:ind w:firstLine="0" w:firstLineChars="0"/>
              <w:jc w:val="center"/>
              <w:rPr>
                <w:sz w:val="21"/>
                <w:szCs w:val="21"/>
                <w:lang w:bidi="en-US"/>
              </w:rPr>
            </w:pPr>
            <w:r>
              <w:rPr>
                <w:sz w:val="21"/>
                <w:szCs w:val="21"/>
                <w:lang w:bidi="en-US"/>
              </w:rPr>
              <w:t>2类</w:t>
            </w:r>
          </w:p>
        </w:tc>
        <w:tc>
          <w:tcPr>
            <w:tcW w:w="4591" w:type="dxa"/>
            <w:vAlign w:val="center"/>
          </w:tcPr>
          <w:p>
            <w:pPr>
              <w:spacing w:line="240" w:lineRule="auto"/>
              <w:ind w:firstLine="0" w:firstLineChars="0"/>
              <w:jc w:val="center"/>
              <w:rPr>
                <w:sz w:val="21"/>
                <w:szCs w:val="21"/>
                <w:lang w:bidi="en-US"/>
              </w:rPr>
            </w:pPr>
            <w:r>
              <w:rPr>
                <w:sz w:val="21"/>
                <w:szCs w:val="21"/>
                <w:lang w:bidi="en-US"/>
              </w:rPr>
              <w:t>砖混结构，朝东南，1~2层，周围有林地遮挡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shd w:val="clear" w:color="auto" w:fill="auto"/>
            <w:vAlign w:val="center"/>
          </w:tcPr>
          <w:p>
            <w:pPr>
              <w:spacing w:line="240" w:lineRule="auto"/>
              <w:ind w:firstLine="0" w:firstLineChars="0"/>
              <w:jc w:val="center"/>
              <w:rPr>
                <w:sz w:val="21"/>
                <w:szCs w:val="21"/>
                <w:lang w:bidi="en-US"/>
              </w:rPr>
            </w:pPr>
            <w:r>
              <w:rPr>
                <w:sz w:val="21"/>
                <w:szCs w:val="21"/>
                <w:lang w:bidi="en-US"/>
              </w:rPr>
              <w:t>3</w:t>
            </w:r>
          </w:p>
        </w:tc>
        <w:tc>
          <w:tcPr>
            <w:tcW w:w="762" w:type="dxa"/>
            <w:vMerge w:val="continue"/>
            <w:shd w:val="clear" w:color="auto" w:fill="auto"/>
            <w:vAlign w:val="center"/>
          </w:tcPr>
          <w:p>
            <w:pPr>
              <w:spacing w:line="240" w:lineRule="auto"/>
              <w:ind w:firstLine="0" w:firstLineChars="0"/>
              <w:jc w:val="center"/>
              <w:rPr>
                <w:sz w:val="21"/>
                <w:szCs w:val="21"/>
                <w:lang w:bidi="en-US"/>
              </w:rPr>
            </w:pPr>
          </w:p>
        </w:tc>
        <w:tc>
          <w:tcPr>
            <w:tcW w:w="1842" w:type="dxa"/>
            <w:shd w:val="clear" w:color="auto" w:fill="auto"/>
            <w:vAlign w:val="center"/>
          </w:tcPr>
          <w:p>
            <w:pPr>
              <w:spacing w:line="240" w:lineRule="auto"/>
              <w:ind w:firstLine="0" w:firstLineChars="0"/>
              <w:jc w:val="center"/>
              <w:rPr>
                <w:sz w:val="21"/>
                <w:szCs w:val="21"/>
                <w:lang w:bidi="en-US"/>
              </w:rPr>
            </w:pPr>
            <w:r>
              <w:rPr>
                <w:sz w:val="21"/>
                <w:szCs w:val="21"/>
                <w:lang w:bidi="en-US"/>
              </w:rPr>
              <w:t>工业场地北侧居民2#（向家坡）</w:t>
            </w:r>
          </w:p>
        </w:tc>
        <w:tc>
          <w:tcPr>
            <w:tcW w:w="653" w:type="dxa"/>
            <w:shd w:val="clear" w:color="auto" w:fill="auto"/>
            <w:vAlign w:val="center"/>
          </w:tcPr>
          <w:p>
            <w:pPr>
              <w:spacing w:line="240" w:lineRule="auto"/>
              <w:ind w:firstLine="0" w:firstLineChars="0"/>
              <w:jc w:val="center"/>
              <w:rPr>
                <w:sz w:val="21"/>
                <w:szCs w:val="21"/>
                <w:lang w:bidi="en-US"/>
              </w:rPr>
            </w:pPr>
            <w:r>
              <w:rPr>
                <w:sz w:val="21"/>
                <w:szCs w:val="21"/>
                <w:lang w:bidi="en-US"/>
              </w:rPr>
              <w:t>93</w:t>
            </w:r>
          </w:p>
        </w:tc>
        <w:tc>
          <w:tcPr>
            <w:tcW w:w="1095" w:type="dxa"/>
            <w:shd w:val="clear" w:color="auto" w:fill="auto"/>
            <w:vAlign w:val="center"/>
          </w:tcPr>
          <w:p>
            <w:pPr>
              <w:spacing w:line="240" w:lineRule="auto"/>
              <w:ind w:firstLine="0" w:firstLineChars="0"/>
              <w:jc w:val="center"/>
              <w:rPr>
                <w:sz w:val="21"/>
                <w:szCs w:val="21"/>
                <w:lang w:bidi="en-US"/>
              </w:rPr>
            </w:pPr>
            <w:r>
              <w:rPr>
                <w:sz w:val="21"/>
                <w:szCs w:val="21"/>
                <w:lang w:bidi="en-US"/>
              </w:rPr>
              <w:t>295</w:t>
            </w:r>
          </w:p>
        </w:tc>
        <w:tc>
          <w:tcPr>
            <w:tcW w:w="956" w:type="dxa"/>
            <w:shd w:val="clear" w:color="auto" w:fill="auto"/>
            <w:vAlign w:val="center"/>
          </w:tcPr>
          <w:p>
            <w:pPr>
              <w:spacing w:line="240" w:lineRule="auto"/>
              <w:ind w:firstLine="0" w:firstLineChars="0"/>
              <w:jc w:val="center"/>
              <w:rPr>
                <w:sz w:val="21"/>
                <w:szCs w:val="21"/>
                <w:lang w:bidi="en-US"/>
              </w:rPr>
            </w:pPr>
            <w:r>
              <w:rPr>
                <w:sz w:val="21"/>
                <w:szCs w:val="21"/>
                <w:lang w:bidi="en-US"/>
              </w:rPr>
              <w:t>6</w:t>
            </w:r>
          </w:p>
        </w:tc>
        <w:tc>
          <w:tcPr>
            <w:tcW w:w="1095" w:type="dxa"/>
            <w:shd w:val="clear" w:color="auto" w:fill="auto"/>
            <w:vAlign w:val="center"/>
          </w:tcPr>
          <w:p>
            <w:pPr>
              <w:spacing w:line="240" w:lineRule="auto"/>
              <w:ind w:firstLine="0" w:firstLineChars="0"/>
              <w:jc w:val="center"/>
              <w:rPr>
                <w:sz w:val="21"/>
                <w:szCs w:val="21"/>
                <w:lang w:bidi="en-US"/>
              </w:rPr>
            </w:pPr>
            <w:r>
              <w:rPr>
                <w:sz w:val="21"/>
                <w:szCs w:val="21"/>
                <w:lang w:bidi="en-US"/>
              </w:rPr>
              <w:t>175</w:t>
            </w:r>
          </w:p>
        </w:tc>
        <w:tc>
          <w:tcPr>
            <w:tcW w:w="956" w:type="dxa"/>
            <w:shd w:val="clear" w:color="auto" w:fill="auto"/>
            <w:vAlign w:val="center"/>
          </w:tcPr>
          <w:p>
            <w:pPr>
              <w:spacing w:line="240" w:lineRule="auto"/>
              <w:ind w:firstLine="0" w:firstLineChars="0"/>
              <w:jc w:val="center"/>
              <w:rPr>
                <w:sz w:val="21"/>
                <w:szCs w:val="21"/>
                <w:lang w:bidi="en-US"/>
              </w:rPr>
            </w:pPr>
            <w:r>
              <w:rPr>
                <w:sz w:val="21"/>
                <w:szCs w:val="21"/>
                <w:lang w:bidi="en-US"/>
              </w:rPr>
              <w:t>北</w:t>
            </w:r>
          </w:p>
        </w:tc>
        <w:tc>
          <w:tcPr>
            <w:tcW w:w="1355" w:type="dxa"/>
            <w:shd w:val="clear" w:color="auto" w:fill="auto"/>
            <w:vAlign w:val="center"/>
          </w:tcPr>
          <w:p>
            <w:pPr>
              <w:spacing w:line="240" w:lineRule="auto"/>
              <w:ind w:firstLine="0" w:firstLineChars="0"/>
              <w:jc w:val="center"/>
              <w:rPr>
                <w:sz w:val="21"/>
                <w:szCs w:val="21"/>
                <w:lang w:bidi="en-US"/>
              </w:rPr>
            </w:pPr>
            <w:r>
              <w:rPr>
                <w:sz w:val="21"/>
                <w:szCs w:val="21"/>
                <w:lang w:bidi="en-US"/>
              </w:rPr>
              <w:t>2类</w:t>
            </w:r>
          </w:p>
        </w:tc>
        <w:tc>
          <w:tcPr>
            <w:tcW w:w="4591" w:type="dxa"/>
            <w:shd w:val="clear" w:color="auto" w:fill="auto"/>
            <w:vAlign w:val="center"/>
          </w:tcPr>
          <w:p>
            <w:pPr>
              <w:spacing w:line="240" w:lineRule="auto"/>
              <w:ind w:firstLine="0" w:firstLineChars="0"/>
              <w:jc w:val="center"/>
              <w:rPr>
                <w:sz w:val="21"/>
                <w:szCs w:val="21"/>
                <w:lang w:bidi="en-US"/>
              </w:rPr>
            </w:pPr>
            <w:r>
              <w:rPr>
                <w:sz w:val="21"/>
                <w:szCs w:val="21"/>
                <w:lang w:bidi="en-US"/>
              </w:rPr>
              <w:t>砖混结构，朝东南，1~2层，周围有林地遮挡</w:t>
            </w:r>
          </w:p>
        </w:tc>
      </w:tr>
      <w:bookmarkEnd w:id="109"/>
    </w:tbl>
    <w:p>
      <w:pPr>
        <w:ind w:firstLine="0" w:firstLineChars="0"/>
        <w:rPr>
          <w:sz w:val="24"/>
        </w:rPr>
      </w:pPr>
      <w:r>
        <w:rPr>
          <w:sz w:val="24"/>
        </w:rPr>
        <w:t>注：分别以开采区3拐点为（0，0，0）点，工业场地以厂房西南角为（0，0，0）点进行统计。</w:t>
      </w:r>
    </w:p>
    <w:p>
      <w:pPr>
        <w:pStyle w:val="84"/>
      </w:pPr>
      <w:r>
        <w:t>表1.7-3项目生态环境保护目标统计表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3827"/>
        <w:gridCol w:w="7027"/>
        <w:gridCol w:w="2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shd w:val="clear" w:color="auto" w:fill="D8D8D8" w:themeFill="background1" w:themeFillShade="D9"/>
            <w:vAlign w:val="center"/>
          </w:tcPr>
          <w:p>
            <w:pPr>
              <w:spacing w:line="240" w:lineRule="atLeast"/>
              <w:ind w:firstLine="0" w:firstLineChars="0"/>
              <w:jc w:val="center"/>
              <w:rPr>
                <w:b/>
                <w:bCs/>
                <w:sz w:val="21"/>
              </w:rPr>
            </w:pPr>
            <w:r>
              <w:rPr>
                <w:b/>
                <w:bCs/>
                <w:sz w:val="21"/>
              </w:rPr>
              <w:t>名称</w:t>
            </w:r>
          </w:p>
        </w:tc>
        <w:tc>
          <w:tcPr>
            <w:tcW w:w="1336" w:type="pct"/>
            <w:shd w:val="clear" w:color="auto" w:fill="D8D8D8" w:themeFill="background1" w:themeFillShade="D9"/>
            <w:vAlign w:val="center"/>
          </w:tcPr>
          <w:p>
            <w:pPr>
              <w:spacing w:line="240" w:lineRule="atLeast"/>
              <w:ind w:firstLine="0" w:firstLineChars="0"/>
              <w:jc w:val="center"/>
              <w:rPr>
                <w:b/>
                <w:bCs/>
                <w:sz w:val="21"/>
              </w:rPr>
            </w:pPr>
            <w:r>
              <w:rPr>
                <w:b/>
                <w:bCs/>
                <w:sz w:val="21"/>
              </w:rPr>
              <w:t>与本项目位置关系</w:t>
            </w:r>
          </w:p>
        </w:tc>
        <w:tc>
          <w:tcPr>
            <w:tcW w:w="2453" w:type="pct"/>
            <w:shd w:val="clear" w:color="auto" w:fill="D8D8D8" w:themeFill="background1" w:themeFillShade="D9"/>
            <w:vAlign w:val="center"/>
          </w:tcPr>
          <w:p>
            <w:pPr>
              <w:spacing w:line="240" w:lineRule="atLeast"/>
              <w:ind w:firstLine="0" w:firstLineChars="0"/>
              <w:jc w:val="center"/>
              <w:rPr>
                <w:b/>
                <w:bCs/>
                <w:sz w:val="21"/>
              </w:rPr>
            </w:pPr>
            <w:r>
              <w:rPr>
                <w:b/>
                <w:bCs/>
                <w:sz w:val="21"/>
              </w:rPr>
              <w:t>环境敏感特征</w:t>
            </w:r>
          </w:p>
        </w:tc>
        <w:tc>
          <w:tcPr>
            <w:tcW w:w="728" w:type="pct"/>
            <w:shd w:val="clear" w:color="auto" w:fill="D8D8D8" w:themeFill="background1" w:themeFillShade="D9"/>
            <w:vAlign w:val="center"/>
          </w:tcPr>
          <w:p>
            <w:pPr>
              <w:spacing w:line="240" w:lineRule="atLeast"/>
              <w:ind w:firstLine="0" w:firstLineChars="0"/>
              <w:jc w:val="center"/>
              <w:rPr>
                <w:b/>
                <w:bCs/>
                <w:sz w:val="21"/>
              </w:rPr>
            </w:pPr>
            <w:r>
              <w:rPr>
                <w:b/>
                <w:bCs/>
                <w:sz w:val="21"/>
              </w:rPr>
              <w:t>影响因素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Align w:val="center"/>
          </w:tcPr>
          <w:p>
            <w:pPr>
              <w:spacing w:line="240" w:lineRule="atLeast"/>
              <w:ind w:firstLine="0" w:firstLineChars="0"/>
              <w:jc w:val="center"/>
              <w:rPr>
                <w:sz w:val="21"/>
              </w:rPr>
            </w:pPr>
            <w:r>
              <w:rPr>
                <w:sz w:val="21"/>
              </w:rPr>
              <w:t>九峰山森林公园</w:t>
            </w:r>
          </w:p>
        </w:tc>
        <w:tc>
          <w:tcPr>
            <w:tcW w:w="1336" w:type="pct"/>
            <w:vAlign w:val="center"/>
          </w:tcPr>
          <w:p>
            <w:pPr>
              <w:spacing w:line="240" w:lineRule="atLeast"/>
              <w:ind w:firstLine="0" w:firstLineChars="0"/>
              <w:jc w:val="center"/>
              <w:rPr>
                <w:sz w:val="21"/>
              </w:rPr>
            </w:pPr>
            <w:r>
              <w:rPr>
                <w:sz w:val="21"/>
              </w:rPr>
              <w:t>本项目位于九峰山森林公园山脚，处于山谷地带，与干沟河一河相隔，九峰山森林公园与项目工业场地、开采区最近距离分别为55m、59m</w:t>
            </w:r>
          </w:p>
        </w:tc>
        <w:tc>
          <w:tcPr>
            <w:tcW w:w="2453" w:type="pct"/>
            <w:vAlign w:val="center"/>
          </w:tcPr>
          <w:p>
            <w:pPr>
              <w:spacing w:line="240" w:lineRule="atLeast"/>
              <w:ind w:firstLine="0" w:firstLineChars="0"/>
              <w:jc w:val="center"/>
              <w:rPr>
                <w:sz w:val="21"/>
              </w:rPr>
            </w:pPr>
            <w:r>
              <w:rPr>
                <w:sz w:val="21"/>
              </w:rPr>
              <w:t>九峰山森林公园位于合川区近郊，地理坐标为东经106°11′58″—106°20′57″，北纬29°56′34″—29°56′58″，公园总面积1885.9hm</w:t>
            </w:r>
            <w:r>
              <w:rPr>
                <w:sz w:val="21"/>
                <w:vertAlign w:val="superscript"/>
              </w:rPr>
              <w:t>2</w:t>
            </w:r>
            <w:r>
              <w:rPr>
                <w:sz w:val="21"/>
              </w:rPr>
              <w:t>，九峰山森林公园里红隼、画眉、灰胸竹鸡、杜鹃等属于国家及重庆市重点保护野生动物和甘草等属于国家重点保护野生植物</w:t>
            </w:r>
          </w:p>
        </w:tc>
        <w:tc>
          <w:tcPr>
            <w:tcW w:w="728" w:type="pct"/>
            <w:vAlign w:val="center"/>
          </w:tcPr>
          <w:p>
            <w:pPr>
              <w:spacing w:line="240" w:lineRule="atLeast"/>
              <w:ind w:firstLine="0" w:firstLineChars="0"/>
              <w:jc w:val="center"/>
              <w:rPr>
                <w:sz w:val="21"/>
              </w:rPr>
            </w:pPr>
            <w:r>
              <w:rPr>
                <w:sz w:val="21"/>
              </w:rPr>
              <w:t>施工、开采期粉尘、噪声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Align w:val="center"/>
          </w:tcPr>
          <w:p>
            <w:pPr>
              <w:spacing w:line="240" w:lineRule="atLeast"/>
              <w:ind w:firstLine="0" w:firstLineChars="0"/>
              <w:jc w:val="center"/>
              <w:rPr>
                <w:sz w:val="21"/>
              </w:rPr>
            </w:pPr>
            <w:r>
              <w:rPr>
                <w:sz w:val="21"/>
              </w:rPr>
              <w:t>动植物</w:t>
            </w:r>
          </w:p>
        </w:tc>
        <w:tc>
          <w:tcPr>
            <w:tcW w:w="1336" w:type="pct"/>
            <w:vAlign w:val="center"/>
          </w:tcPr>
          <w:p>
            <w:pPr>
              <w:spacing w:line="240" w:lineRule="atLeast"/>
              <w:ind w:firstLine="0" w:firstLineChars="0"/>
              <w:jc w:val="center"/>
              <w:rPr>
                <w:sz w:val="21"/>
              </w:rPr>
            </w:pPr>
            <w:r>
              <w:rPr>
                <w:sz w:val="21"/>
              </w:rPr>
              <w:t>项目占地范围及评价范围内</w:t>
            </w:r>
          </w:p>
        </w:tc>
        <w:tc>
          <w:tcPr>
            <w:tcW w:w="2453" w:type="pct"/>
            <w:vAlign w:val="center"/>
          </w:tcPr>
          <w:p>
            <w:pPr>
              <w:spacing w:line="240" w:lineRule="atLeast"/>
              <w:ind w:firstLine="0" w:firstLineChars="0"/>
              <w:jc w:val="center"/>
              <w:rPr>
                <w:sz w:val="21"/>
              </w:rPr>
            </w:pPr>
            <w:r>
              <w:rPr>
                <w:sz w:val="21"/>
              </w:rPr>
              <w:t>主要以旱地农作物、灌木林地为主，动物以鸟类、啮齿类等常见种为主，未发现重点保护野生动植物天然集中分布区和名木古树。</w:t>
            </w:r>
          </w:p>
        </w:tc>
        <w:tc>
          <w:tcPr>
            <w:tcW w:w="728" w:type="pct"/>
            <w:vAlign w:val="center"/>
          </w:tcPr>
          <w:p>
            <w:pPr>
              <w:spacing w:line="240" w:lineRule="atLeast"/>
              <w:ind w:firstLine="0" w:firstLineChars="0"/>
              <w:jc w:val="center"/>
              <w:rPr>
                <w:sz w:val="21"/>
              </w:rPr>
            </w:pPr>
            <w:r>
              <w:rPr>
                <w:sz w:val="21"/>
              </w:rPr>
              <w:t>施工、开采破坏植被，对野生动物造成侵扰</w:t>
            </w:r>
          </w:p>
        </w:tc>
      </w:tr>
    </w:tbl>
    <w:p>
      <w:pPr>
        <w:ind w:firstLine="520"/>
      </w:pPr>
    </w:p>
    <w:p>
      <w:pPr>
        <w:ind w:firstLine="520"/>
      </w:pPr>
    </w:p>
    <w:p>
      <w:pPr>
        <w:ind w:firstLine="520"/>
      </w:pPr>
    </w:p>
    <w:p>
      <w:pPr>
        <w:ind w:firstLine="520"/>
        <w:jc w:val="both"/>
        <w:sectPr>
          <w:pgSz w:w="16840" w:h="11907" w:orient="landscape"/>
          <w:pgMar w:top="1418" w:right="1366" w:bottom="1418" w:left="1366" w:header="851" w:footer="992" w:gutter="0"/>
          <w:cols w:space="425" w:num="1"/>
          <w:docGrid w:linePitch="354" w:charSpace="0"/>
        </w:sectPr>
      </w:pPr>
    </w:p>
    <w:p>
      <w:pPr>
        <w:pStyle w:val="4"/>
      </w:pPr>
      <w:bookmarkStart w:id="110" w:name="_Toc18330087"/>
      <w:bookmarkStart w:id="111" w:name="_Toc161676090"/>
      <w:r>
        <w:t>1.8产业政策符合性</w:t>
      </w:r>
      <w:bookmarkEnd w:id="110"/>
      <w:r>
        <w:t>分析</w:t>
      </w:r>
      <w:bookmarkEnd w:id="111"/>
    </w:p>
    <w:p>
      <w:pPr>
        <w:pStyle w:val="5"/>
        <w:rPr>
          <w:color w:val="auto"/>
        </w:rPr>
      </w:pPr>
      <w:r>
        <w:rPr>
          <w:color w:val="auto"/>
        </w:rPr>
        <w:t>1.8.1与《产业结构调整指导目录（2024年本）》符合性分析</w:t>
      </w:r>
    </w:p>
    <w:p>
      <w:pPr>
        <w:pStyle w:val="222"/>
      </w:pPr>
      <w:r>
        <w:t>本项目为建筑石料用灰岩矿露天开采及加工项目，不属于《产业结构调整指导目录（2024年本）》中的鼓励类、限制类或淘汰类项目，根据《促进产业结构调整暂行规定》（国发〔2005〕40号）可知，“不属于鼓励类、限制类和淘汰类， 且符合国家有关法律、法规和政策规定的，为允许类。允许类不列入《产业结构调整指导目录（2024年本）》。” 建设单位取得了《重庆市企业项目投资备案证》（项目代码：2312-500117-04-05-520893）；因此，本项目属于为允许类，符合国家产业政策。</w:t>
      </w:r>
    </w:p>
    <w:p>
      <w:pPr>
        <w:pStyle w:val="5"/>
        <w:rPr>
          <w:color w:val="auto"/>
        </w:rPr>
      </w:pPr>
      <w:r>
        <w:rPr>
          <w:color w:val="auto"/>
        </w:rPr>
        <w:t>1.8.2与《重庆市产业投资准入工作手册》（渝发改投资〔2022〕1436号）的符合性分析</w:t>
      </w:r>
    </w:p>
    <w:p>
      <w:pPr>
        <w:pStyle w:val="300"/>
      </w:pPr>
      <w:r>
        <w:t>根据《重庆市发展和改革委员会关于印发重庆市产业投资准入工作手册的通知》，本项目位于合川区，属于主城新区，为采矿项目，手册准入要求为“国家湿地公园的岸线和河段范围内不予准入（涪陵区、长寿区、江津区、永川区、大足区除外）”。</w:t>
      </w:r>
    </w:p>
    <w:p>
      <w:pPr>
        <w:pStyle w:val="300"/>
      </w:pPr>
      <w:r>
        <w:t>本项目为建筑石料用灰岩矿山开采，不涉及国家湿地公园的岸线和占用河道，不属于不予准入的产业，本项目符合《重庆市发展和改革委员会关于印发重庆市产业投资准入工作手册的通知》（渝发改投资〔2022〕1436号）相关要求。</w:t>
      </w:r>
    </w:p>
    <w:p>
      <w:pPr>
        <w:pStyle w:val="84"/>
      </w:pPr>
      <w:r>
        <w:t>表1.8-1  与《重庆市产业投资准入工作手册》符合性分析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4352"/>
        <w:gridCol w:w="2914"/>
        <w:gridCol w:w="1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829" w:type="pct"/>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相关内容</w:t>
            </w:r>
          </w:p>
        </w:tc>
        <w:tc>
          <w:tcPr>
            <w:tcW w:w="159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57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3" w:hRule="atLeast"/>
          <w:jc w:val="center"/>
        </w:trPr>
        <w:tc>
          <w:tcPr>
            <w:tcW w:w="442" w:type="pct"/>
            <w:vMerge w:val="restart"/>
            <w:shd w:val="clear" w:color="auto" w:fill="auto"/>
            <w:vAlign w:val="center"/>
          </w:tcPr>
          <w:p>
            <w:pPr>
              <w:spacing w:line="240" w:lineRule="auto"/>
              <w:ind w:firstLine="0" w:firstLineChars="0"/>
              <w:jc w:val="center"/>
              <w:rPr>
                <w:sz w:val="21"/>
                <w:szCs w:val="21"/>
              </w:rPr>
            </w:pPr>
            <w:r>
              <w:rPr>
                <w:sz w:val="21"/>
                <w:szCs w:val="21"/>
              </w:rPr>
              <w:t>全市范围内不予准入的产业</w:t>
            </w:r>
          </w:p>
        </w:tc>
        <w:tc>
          <w:tcPr>
            <w:tcW w:w="2387" w:type="pct"/>
            <w:shd w:val="clear" w:color="auto" w:fill="auto"/>
            <w:vAlign w:val="center"/>
          </w:tcPr>
          <w:p>
            <w:pPr>
              <w:spacing w:line="240" w:lineRule="auto"/>
              <w:ind w:firstLine="0" w:firstLineChars="0"/>
              <w:rPr>
                <w:sz w:val="21"/>
                <w:szCs w:val="21"/>
              </w:rPr>
            </w:pPr>
            <w:r>
              <w:rPr>
                <w:sz w:val="21"/>
                <w:szCs w:val="21"/>
              </w:rPr>
              <w:t>1．国家产业结构调整指导目录中的淘汰类项目。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项目属于国家产业结构调整指导目录中鼓励类项目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2．天然林商业性采伐。</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项目不属于天然林商业性采伐。</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4"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3．法律法规和相关政策明令不予准入的其他项目。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项目不属于法律法规和相关政策明令不予准入的项目。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442" w:type="pct"/>
            <w:vMerge w:val="restart"/>
            <w:shd w:val="clear" w:color="auto" w:fill="auto"/>
            <w:vAlign w:val="center"/>
          </w:tcPr>
          <w:p>
            <w:pPr>
              <w:spacing w:line="240" w:lineRule="auto"/>
              <w:ind w:firstLine="0" w:firstLineChars="0"/>
              <w:jc w:val="center"/>
              <w:rPr>
                <w:sz w:val="21"/>
                <w:szCs w:val="21"/>
              </w:rPr>
            </w:pPr>
            <w:r>
              <w:rPr>
                <w:sz w:val="21"/>
                <w:szCs w:val="21"/>
              </w:rPr>
              <w:t>重点区域范围内不予准入的产业</w:t>
            </w:r>
          </w:p>
        </w:tc>
        <w:tc>
          <w:tcPr>
            <w:tcW w:w="2387" w:type="pct"/>
            <w:shd w:val="clear" w:color="auto" w:fill="auto"/>
            <w:vAlign w:val="center"/>
          </w:tcPr>
          <w:p>
            <w:pPr>
              <w:spacing w:line="240" w:lineRule="auto"/>
              <w:ind w:firstLine="0" w:firstLineChars="0"/>
              <w:rPr>
                <w:sz w:val="21"/>
                <w:szCs w:val="21"/>
              </w:rPr>
            </w:pPr>
            <w:r>
              <w:rPr>
                <w:sz w:val="21"/>
                <w:szCs w:val="21"/>
              </w:rPr>
              <w:t>1．外环绕城高速公路以内长江、嘉陵江水域采砂。</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项目不属于采砂项目。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2．二十五度以上陡坡地开垦种植农作物。</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项目不属于坡地开垦种植农作物项目。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3．在自然保护区核心区、缓冲区的岸线和河段范围内投资建设旅游和生产经营项目。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项目不在自然保护区范围内，不涉及自然保护区和投资建设旅游和生产经营项目。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4．饮用水水源一级保护区的岸线和河段范围内新建、改建、扩建与供水设施和保护水源无关的项目，以及网箱养殖、畜禽养殖、放养畜禽、旅游等可能污染饮用水水体的投资建设项目。在饮用水水源二级保护区的岸线和河段范围内新建、改建、扩建排放污染物的投资建设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项目位于合川区盐井街道观音村，不涉及饮用水保护区。</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5．长江干流岸线3公里范围内和重要支流岸线1公里范围内新建、改建、扩建尾矿库、冶炼渣库和磷石膏库（以提升安全、生态环境保护水平为目的的改建除外）。</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项目不属于尾矿库、冶炼渣库和磷石膏库。</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6．在风景名胜区核心景区的岸线和河段范围内投资建设与风景名胜资源保护无关的项目。</w:t>
            </w:r>
          </w:p>
        </w:tc>
        <w:tc>
          <w:tcPr>
            <w:tcW w:w="1598" w:type="pct"/>
            <w:shd w:val="clear" w:color="auto" w:fill="auto"/>
            <w:vAlign w:val="center"/>
          </w:tcPr>
          <w:p>
            <w:pPr>
              <w:spacing w:line="240" w:lineRule="auto"/>
              <w:ind w:firstLine="0" w:firstLineChars="0"/>
              <w:jc w:val="center"/>
              <w:rPr>
                <w:sz w:val="21"/>
                <w:szCs w:val="21"/>
              </w:rPr>
            </w:pPr>
            <w:r>
              <w:rPr>
                <w:sz w:val="21"/>
                <w:szCs w:val="21"/>
              </w:rPr>
              <w:t>本项目不涉及风景名胜区。</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7．在国家湿地公园的岸线和河段范围内挖沙、采矿，以及任何不符合主体功能定位的投资建设项目。</w:t>
            </w:r>
          </w:p>
        </w:tc>
        <w:tc>
          <w:tcPr>
            <w:tcW w:w="1598" w:type="pct"/>
            <w:shd w:val="clear" w:color="auto" w:fill="auto"/>
            <w:vAlign w:val="center"/>
          </w:tcPr>
          <w:p>
            <w:pPr>
              <w:spacing w:line="240" w:lineRule="auto"/>
              <w:ind w:firstLine="0" w:firstLineChars="0"/>
              <w:jc w:val="center"/>
              <w:rPr>
                <w:sz w:val="21"/>
                <w:szCs w:val="21"/>
              </w:rPr>
            </w:pPr>
            <w:r>
              <w:rPr>
                <w:sz w:val="21"/>
                <w:szCs w:val="21"/>
              </w:rPr>
              <w:t>本项目不涉及国家湿地公园。</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8．在《长江岸线保护和开发利用总体规划》划定的岸线保护区和保留区内投资建设除事关公共安全及公众利益的防洪护岸、河道治理、供水、生态环境保护、航道整治、国家重要基础设施以外的项目。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项目距离长江岸线较远，位于合川区盐井街道观音村，不涉及长江岸线的开发利用。</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9．在《全国重要江河湖泊水功能区划》划定的河段及湖泊保护区、保留区内投资建设不利于水资源及自然生态保护的项目。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项目位于合川区盐井街道观音村，不在全国重要江河湖泊水功能区内。</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40" w:hRule="atLeast"/>
          <w:jc w:val="center"/>
        </w:trPr>
        <w:tc>
          <w:tcPr>
            <w:tcW w:w="442" w:type="pct"/>
            <w:vMerge w:val="restart"/>
            <w:shd w:val="clear" w:color="auto" w:fill="auto"/>
            <w:vAlign w:val="center"/>
          </w:tcPr>
          <w:p>
            <w:pPr>
              <w:spacing w:line="240" w:lineRule="auto"/>
              <w:ind w:firstLine="0" w:firstLineChars="0"/>
              <w:jc w:val="center"/>
              <w:rPr>
                <w:sz w:val="21"/>
                <w:szCs w:val="21"/>
              </w:rPr>
            </w:pPr>
            <w:r>
              <w:rPr>
                <w:sz w:val="21"/>
                <w:szCs w:val="21"/>
              </w:rPr>
              <w:t>全市范围内限制准入的产业</w:t>
            </w:r>
          </w:p>
        </w:tc>
        <w:tc>
          <w:tcPr>
            <w:tcW w:w="2387" w:type="pct"/>
            <w:shd w:val="clear" w:color="auto" w:fill="auto"/>
            <w:vAlign w:val="center"/>
          </w:tcPr>
          <w:p>
            <w:pPr>
              <w:spacing w:line="240" w:lineRule="auto"/>
              <w:ind w:firstLine="0" w:firstLineChars="0"/>
              <w:rPr>
                <w:sz w:val="21"/>
                <w:szCs w:val="21"/>
              </w:rPr>
            </w:pPr>
            <w:r>
              <w:rPr>
                <w:sz w:val="21"/>
                <w:szCs w:val="21"/>
              </w:rPr>
              <w:t>1．新建、扩建不符合国家产能置换要求的严重过剩产能行业的项目。新建、扩建不符合要求的高耗能高排放项目。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项目不属于产能置换严重过剩项目，不属于高能耗高排放项目。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2．新建、扩建不符合国家石化、现代煤化工等产业布局规划的项目。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项目不属于石化、煤化工项目。</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98"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3．在合规园区外新建、扩建钢铁、石化、化工、焦化、建材、有色、制浆造纸等高污染项目。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项目不属于钢铁、石化、化工、焦化、建材、有色、制浆造纸等高污染项目。</w:t>
            </w:r>
          </w:p>
        </w:tc>
        <w:tc>
          <w:tcPr>
            <w:tcW w:w="573" w:type="pct"/>
            <w:vMerge w:val="restar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4.《汽车产业投资管理规定》（国家发展和改革委员会令第22号）明确禁止建设的汽车投资项目。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项目不属于禁止建设的汽车投资项目。</w:t>
            </w:r>
          </w:p>
        </w:tc>
        <w:tc>
          <w:tcPr>
            <w:tcW w:w="573" w:type="pct"/>
            <w:vMerge w:val="continue"/>
            <w:shd w:val="clear" w:color="auto" w:fill="auto"/>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34" w:hRule="atLeast"/>
          <w:jc w:val="center"/>
        </w:trPr>
        <w:tc>
          <w:tcPr>
            <w:tcW w:w="442" w:type="pct"/>
            <w:vMerge w:val="restart"/>
            <w:shd w:val="clear" w:color="auto" w:fill="auto"/>
            <w:vAlign w:val="center"/>
          </w:tcPr>
          <w:p>
            <w:pPr>
              <w:spacing w:line="240" w:lineRule="auto"/>
              <w:ind w:firstLine="0" w:firstLineChars="0"/>
              <w:jc w:val="center"/>
              <w:rPr>
                <w:sz w:val="21"/>
                <w:szCs w:val="21"/>
              </w:rPr>
            </w:pPr>
            <w:r>
              <w:rPr>
                <w:sz w:val="21"/>
                <w:szCs w:val="21"/>
              </w:rPr>
              <w:t>重点区域范围内限制准入的产业</w:t>
            </w:r>
          </w:p>
        </w:tc>
        <w:tc>
          <w:tcPr>
            <w:tcW w:w="2387" w:type="pct"/>
            <w:shd w:val="clear" w:color="auto" w:fill="auto"/>
            <w:vAlign w:val="center"/>
          </w:tcPr>
          <w:p>
            <w:pPr>
              <w:spacing w:line="240" w:lineRule="auto"/>
              <w:ind w:firstLine="0" w:firstLineChars="0"/>
              <w:rPr>
                <w:sz w:val="21"/>
                <w:szCs w:val="21"/>
              </w:rPr>
            </w:pPr>
            <w:r>
              <w:rPr>
                <w:sz w:val="21"/>
                <w:szCs w:val="21"/>
              </w:rPr>
              <w:t>1．长江干支流、重要湖泊岸线1公里范围内新建、扩建化工园区和化工项目，长江、嘉陵江、乌江岸线1公里范围内布局新建纸浆制造、印染等存在环境风险的项目。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项目距离长江支流嘉陵江4.8km。</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442" w:type="pct"/>
            <w:vMerge w:val="continue"/>
            <w:shd w:val="clear" w:color="auto" w:fill="auto"/>
            <w:vAlign w:val="center"/>
          </w:tcPr>
          <w:p>
            <w:pPr>
              <w:spacing w:line="240" w:lineRule="auto"/>
              <w:ind w:firstLine="0" w:firstLineChars="0"/>
              <w:jc w:val="center"/>
              <w:rPr>
                <w:sz w:val="21"/>
                <w:szCs w:val="21"/>
              </w:rPr>
            </w:pPr>
          </w:p>
        </w:tc>
        <w:tc>
          <w:tcPr>
            <w:tcW w:w="2387" w:type="pct"/>
            <w:shd w:val="clear" w:color="auto" w:fill="auto"/>
            <w:vAlign w:val="center"/>
          </w:tcPr>
          <w:p>
            <w:pPr>
              <w:spacing w:line="240" w:lineRule="auto"/>
              <w:ind w:firstLine="0" w:firstLineChars="0"/>
              <w:rPr>
                <w:sz w:val="21"/>
                <w:szCs w:val="21"/>
              </w:rPr>
            </w:pPr>
            <w:r>
              <w:rPr>
                <w:sz w:val="21"/>
                <w:szCs w:val="21"/>
              </w:rPr>
              <w:t>2．在水产种质资源保护区的岸线和河段范围内新建围湖造田等投资建设项目。</w:t>
            </w:r>
          </w:p>
        </w:tc>
        <w:tc>
          <w:tcPr>
            <w:tcW w:w="1598" w:type="pct"/>
            <w:shd w:val="clear" w:color="auto" w:fill="auto"/>
            <w:vAlign w:val="center"/>
          </w:tcPr>
          <w:p>
            <w:pPr>
              <w:spacing w:line="240" w:lineRule="auto"/>
              <w:ind w:firstLine="0" w:firstLineChars="0"/>
              <w:jc w:val="center"/>
              <w:rPr>
                <w:sz w:val="21"/>
                <w:szCs w:val="21"/>
              </w:rPr>
            </w:pPr>
            <w:r>
              <w:rPr>
                <w:sz w:val="21"/>
                <w:szCs w:val="21"/>
              </w:rPr>
              <w:t>项目位于合川区盐井街道观音村，不涉及水产种质资源保护区。</w:t>
            </w:r>
          </w:p>
        </w:tc>
        <w:tc>
          <w:tcPr>
            <w:tcW w:w="573" w:type="pct"/>
            <w:shd w:val="clear" w:color="auto" w:fill="auto"/>
            <w:vAlign w:val="center"/>
          </w:tcPr>
          <w:p>
            <w:pPr>
              <w:spacing w:line="240" w:lineRule="auto"/>
              <w:ind w:firstLine="0" w:firstLineChars="0"/>
              <w:jc w:val="center"/>
              <w:rPr>
                <w:sz w:val="21"/>
                <w:szCs w:val="21"/>
              </w:rPr>
            </w:pPr>
            <w:r>
              <w:rPr>
                <w:sz w:val="21"/>
                <w:szCs w:val="21"/>
              </w:rPr>
              <w:t>符合</w:t>
            </w:r>
          </w:p>
        </w:tc>
      </w:tr>
    </w:tbl>
    <w:p>
      <w:pPr>
        <w:pStyle w:val="4"/>
      </w:pPr>
      <w:bookmarkStart w:id="112" w:name="_Toc161676091"/>
      <w:r>
        <w:t>1.9生态环境政策符合性分析</w:t>
      </w:r>
      <w:bookmarkEnd w:id="112"/>
    </w:p>
    <w:p>
      <w:pPr>
        <w:pStyle w:val="5"/>
        <w:rPr>
          <w:color w:val="auto"/>
        </w:rPr>
      </w:pPr>
      <w:r>
        <w:rPr>
          <w:color w:val="auto"/>
        </w:rPr>
        <w:t>1.9.1与《矿山生态环境保护与污染防治技术政策》（环发〔2005〕109号）的符合性分析</w:t>
      </w:r>
    </w:p>
    <w:p>
      <w:pPr>
        <w:pStyle w:val="300"/>
      </w:pPr>
    </w:p>
    <w:p>
      <w:pPr>
        <w:pStyle w:val="300"/>
      </w:pPr>
      <w:r>
        <w:t>根据《矿山生态环境保护与污染防治技术政策》相关内容与本项目符合性分析见下表。</w:t>
      </w:r>
    </w:p>
    <w:p>
      <w:pPr>
        <w:pStyle w:val="84"/>
      </w:pPr>
      <w:r>
        <w:t>表1.9-1与《矿山生态环境保护与污染防治技术政策》的符合性分析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3908"/>
        <w:gridCol w:w="3908"/>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33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214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相关规定</w:t>
            </w:r>
          </w:p>
        </w:tc>
        <w:tc>
          <w:tcPr>
            <w:tcW w:w="214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37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1</w:t>
            </w:r>
          </w:p>
        </w:tc>
        <w:tc>
          <w:tcPr>
            <w:tcW w:w="2143" w:type="pct"/>
            <w:vAlign w:val="center"/>
          </w:tcPr>
          <w:p>
            <w:pPr>
              <w:spacing w:line="240" w:lineRule="auto"/>
              <w:ind w:firstLine="0" w:firstLineChars="0"/>
              <w:jc w:val="both"/>
              <w:rPr>
                <w:sz w:val="21"/>
                <w:szCs w:val="21"/>
              </w:rPr>
            </w:pPr>
            <w:r>
              <w:rPr>
                <w:sz w:val="21"/>
                <w:szCs w:val="21"/>
              </w:rPr>
              <w:t>禁止在依法划定的自然保护区（核心区、缓冲区）、风景名胜区、森林公园、饮用水源保护区、重要湖泊周边、文物古迹所在地、地质遗迹保护区、基本农田保护区等区域采矿。</w:t>
            </w:r>
          </w:p>
        </w:tc>
        <w:tc>
          <w:tcPr>
            <w:tcW w:w="2143" w:type="pct"/>
            <w:vAlign w:val="center"/>
          </w:tcPr>
          <w:p>
            <w:pPr>
              <w:spacing w:line="240" w:lineRule="auto"/>
              <w:ind w:firstLine="0" w:firstLineChars="0"/>
              <w:jc w:val="both"/>
              <w:rPr>
                <w:sz w:val="21"/>
                <w:szCs w:val="21"/>
              </w:rPr>
            </w:pPr>
            <w:r>
              <w:rPr>
                <w:sz w:val="21"/>
                <w:szCs w:val="21"/>
              </w:rPr>
              <w:t>本项目矿区占地范围不涉及自然保护区、森林公园、风景名胜区、饮用水水源保护区、重要湖泊周边、文物古迹所在地、地质遗迹保护区、基本农田保护区等。</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2</w:t>
            </w:r>
          </w:p>
        </w:tc>
        <w:tc>
          <w:tcPr>
            <w:tcW w:w="2143" w:type="pct"/>
            <w:vAlign w:val="center"/>
          </w:tcPr>
          <w:p>
            <w:pPr>
              <w:spacing w:line="240" w:lineRule="auto"/>
              <w:ind w:firstLine="0" w:firstLineChars="0"/>
              <w:rPr>
                <w:sz w:val="21"/>
                <w:szCs w:val="21"/>
              </w:rPr>
            </w:pPr>
            <w:r>
              <w:rPr>
                <w:sz w:val="21"/>
                <w:szCs w:val="21"/>
              </w:rPr>
              <w:t>禁止在铁路、国道、省道两侧的直观可视范围内进行露天开采。</w:t>
            </w:r>
          </w:p>
        </w:tc>
        <w:tc>
          <w:tcPr>
            <w:tcW w:w="2143" w:type="pct"/>
            <w:vAlign w:val="center"/>
          </w:tcPr>
          <w:p>
            <w:pPr>
              <w:spacing w:line="240" w:lineRule="auto"/>
              <w:ind w:firstLine="0" w:firstLineChars="0"/>
              <w:jc w:val="both"/>
              <w:rPr>
                <w:sz w:val="21"/>
                <w:szCs w:val="21"/>
              </w:rPr>
            </w:pPr>
            <w:r>
              <w:rPr>
                <w:sz w:val="21"/>
                <w:szCs w:val="21"/>
              </w:rPr>
              <w:t>本项目距离北侧三环高速（广泸高速）直线距离约1.8km，距离东北侧兰海高速G351约5.2km，西南侧合璧津高速约5km，东北侧铁路2.9km，东北侧国道G212约3.7km，均不在可视范围内；北侧为县道X357，因此矿山开采工作面不在铁路、国道、省道两侧的直观可视范围内。</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3</w:t>
            </w:r>
          </w:p>
        </w:tc>
        <w:tc>
          <w:tcPr>
            <w:tcW w:w="2143" w:type="pct"/>
            <w:vAlign w:val="center"/>
          </w:tcPr>
          <w:p>
            <w:pPr>
              <w:spacing w:line="240" w:lineRule="auto"/>
              <w:ind w:firstLine="0" w:firstLineChars="0"/>
              <w:rPr>
                <w:sz w:val="21"/>
                <w:szCs w:val="21"/>
              </w:rPr>
            </w:pPr>
            <w:r>
              <w:rPr>
                <w:sz w:val="21"/>
                <w:szCs w:val="21"/>
              </w:rPr>
              <w:t>禁止在地质灾害危险区开采矿产资源。</w:t>
            </w:r>
          </w:p>
        </w:tc>
        <w:tc>
          <w:tcPr>
            <w:tcW w:w="2143" w:type="pct"/>
            <w:vAlign w:val="center"/>
          </w:tcPr>
          <w:p>
            <w:pPr>
              <w:spacing w:line="240" w:lineRule="auto"/>
              <w:ind w:firstLine="0" w:firstLineChars="0"/>
              <w:rPr>
                <w:sz w:val="21"/>
                <w:szCs w:val="21"/>
              </w:rPr>
            </w:pPr>
            <w:r>
              <w:rPr>
                <w:sz w:val="21"/>
                <w:szCs w:val="21"/>
              </w:rPr>
              <w:t>不属于地质灾害危险区。</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4</w:t>
            </w:r>
          </w:p>
        </w:tc>
        <w:tc>
          <w:tcPr>
            <w:tcW w:w="2143" w:type="pct"/>
            <w:vAlign w:val="center"/>
          </w:tcPr>
          <w:p>
            <w:pPr>
              <w:spacing w:line="240" w:lineRule="auto"/>
              <w:ind w:firstLine="0" w:firstLineChars="0"/>
              <w:rPr>
                <w:sz w:val="21"/>
                <w:szCs w:val="21"/>
              </w:rPr>
            </w:pPr>
            <w:r>
              <w:rPr>
                <w:sz w:val="21"/>
                <w:szCs w:val="21"/>
              </w:rPr>
              <w:t>禁止土法采、选冶金矿和土法冶炼汞、砷、铅、锌、焦、硫、钒等矿产资源开发活动。</w:t>
            </w:r>
          </w:p>
        </w:tc>
        <w:tc>
          <w:tcPr>
            <w:tcW w:w="2143" w:type="pct"/>
            <w:vAlign w:val="center"/>
          </w:tcPr>
          <w:p>
            <w:pPr>
              <w:spacing w:line="240" w:lineRule="auto"/>
              <w:ind w:firstLine="0" w:firstLineChars="0"/>
              <w:jc w:val="both"/>
              <w:rPr>
                <w:sz w:val="21"/>
                <w:szCs w:val="21"/>
              </w:rPr>
            </w:pPr>
            <w:r>
              <w:rPr>
                <w:sz w:val="21"/>
                <w:szCs w:val="21"/>
              </w:rPr>
              <w:t>本项目为</w:t>
            </w:r>
            <w:r>
              <w:rPr>
                <w:bCs/>
                <w:sz w:val="21"/>
                <w:szCs w:val="21"/>
              </w:rPr>
              <w:t>建筑石料用灰岩</w:t>
            </w:r>
            <w:r>
              <w:rPr>
                <w:sz w:val="21"/>
                <w:szCs w:val="21"/>
              </w:rPr>
              <w:t>矿开采，不涉及左侧所述矿产资源开发活动。</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5</w:t>
            </w:r>
          </w:p>
        </w:tc>
        <w:tc>
          <w:tcPr>
            <w:tcW w:w="2143" w:type="pct"/>
            <w:vAlign w:val="center"/>
          </w:tcPr>
          <w:p>
            <w:pPr>
              <w:spacing w:line="240" w:lineRule="auto"/>
              <w:ind w:firstLine="0" w:firstLineChars="0"/>
              <w:jc w:val="both"/>
              <w:rPr>
                <w:sz w:val="21"/>
                <w:szCs w:val="21"/>
              </w:rPr>
            </w:pPr>
            <w:r>
              <w:rPr>
                <w:sz w:val="21"/>
                <w:szCs w:val="21"/>
              </w:rPr>
              <w:t>禁止新建对生态环境产生不可恢复利用的、产生破坏性影响的矿产资源开发项目。</w:t>
            </w:r>
          </w:p>
        </w:tc>
        <w:tc>
          <w:tcPr>
            <w:tcW w:w="2143" w:type="pct"/>
            <w:vAlign w:val="center"/>
          </w:tcPr>
          <w:p>
            <w:pPr>
              <w:spacing w:line="240" w:lineRule="auto"/>
              <w:ind w:firstLine="0" w:firstLineChars="0"/>
              <w:jc w:val="both"/>
              <w:rPr>
                <w:sz w:val="21"/>
                <w:szCs w:val="21"/>
              </w:rPr>
            </w:pPr>
            <w:r>
              <w:rPr>
                <w:sz w:val="21"/>
                <w:szCs w:val="21"/>
              </w:rPr>
              <w:t>本项目将对矿山开采破坏的土地采取种植植物和覆盖等复垦措施。边开采、边复垦。</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6</w:t>
            </w:r>
          </w:p>
        </w:tc>
        <w:tc>
          <w:tcPr>
            <w:tcW w:w="2143" w:type="pct"/>
            <w:vAlign w:val="center"/>
          </w:tcPr>
          <w:p>
            <w:pPr>
              <w:spacing w:line="240" w:lineRule="auto"/>
              <w:ind w:firstLine="0" w:firstLineChars="0"/>
              <w:jc w:val="both"/>
              <w:rPr>
                <w:sz w:val="21"/>
                <w:szCs w:val="21"/>
              </w:rPr>
            </w:pPr>
            <w:r>
              <w:rPr>
                <w:sz w:val="21"/>
                <w:szCs w:val="21"/>
              </w:rPr>
              <w:t>限制在生态功能保护区和自然保护区（过渡区）内开采矿产资源</w:t>
            </w:r>
          </w:p>
        </w:tc>
        <w:tc>
          <w:tcPr>
            <w:tcW w:w="2143" w:type="pct"/>
            <w:vAlign w:val="center"/>
          </w:tcPr>
          <w:p>
            <w:pPr>
              <w:spacing w:line="240" w:lineRule="auto"/>
              <w:ind w:firstLine="0" w:firstLineChars="0"/>
              <w:jc w:val="both"/>
              <w:rPr>
                <w:sz w:val="21"/>
                <w:szCs w:val="21"/>
              </w:rPr>
            </w:pPr>
            <w:r>
              <w:rPr>
                <w:sz w:val="21"/>
                <w:szCs w:val="21"/>
              </w:rPr>
              <w:t>本项目占地范围不涉及自然保护区及生态红线，不在限制区内，符合要求。</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7</w:t>
            </w:r>
          </w:p>
        </w:tc>
        <w:tc>
          <w:tcPr>
            <w:tcW w:w="2143" w:type="pct"/>
            <w:vAlign w:val="center"/>
          </w:tcPr>
          <w:p>
            <w:pPr>
              <w:spacing w:line="240" w:lineRule="auto"/>
              <w:ind w:firstLine="0" w:firstLineChars="0"/>
              <w:rPr>
                <w:sz w:val="21"/>
                <w:szCs w:val="21"/>
              </w:rPr>
            </w:pPr>
            <w:r>
              <w:rPr>
                <w:sz w:val="21"/>
                <w:szCs w:val="21"/>
              </w:rPr>
              <w:t>限制在地质灾害易发区、水土流失严重区域等生态脆弱区内开采矿产资源。</w:t>
            </w:r>
          </w:p>
        </w:tc>
        <w:tc>
          <w:tcPr>
            <w:tcW w:w="2143" w:type="pct"/>
            <w:vAlign w:val="center"/>
          </w:tcPr>
          <w:p>
            <w:pPr>
              <w:spacing w:line="240" w:lineRule="auto"/>
              <w:ind w:firstLine="0" w:firstLineChars="0"/>
              <w:jc w:val="both"/>
              <w:rPr>
                <w:sz w:val="21"/>
                <w:szCs w:val="21"/>
              </w:rPr>
            </w:pPr>
            <w:r>
              <w:rPr>
                <w:sz w:val="21"/>
                <w:szCs w:val="21"/>
              </w:rPr>
              <w:t>本项目位于合川区盐井街道，属于水土流失重点预防区，正在编制水土保持方案，建设单位将按照水保方案中提出的措施进行严格落实相关措施。</w:t>
            </w:r>
          </w:p>
        </w:tc>
        <w:tc>
          <w:tcPr>
            <w:tcW w:w="378"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6" w:type="pct"/>
            <w:vAlign w:val="center"/>
          </w:tcPr>
          <w:p>
            <w:pPr>
              <w:spacing w:line="240" w:lineRule="auto"/>
              <w:ind w:firstLine="0" w:firstLineChars="0"/>
              <w:rPr>
                <w:sz w:val="21"/>
                <w:szCs w:val="21"/>
              </w:rPr>
            </w:pPr>
            <w:r>
              <w:rPr>
                <w:sz w:val="21"/>
                <w:szCs w:val="21"/>
              </w:rPr>
              <w:t>8</w:t>
            </w:r>
          </w:p>
        </w:tc>
        <w:tc>
          <w:tcPr>
            <w:tcW w:w="2143" w:type="pct"/>
            <w:vAlign w:val="center"/>
          </w:tcPr>
          <w:p>
            <w:pPr>
              <w:spacing w:line="240" w:lineRule="auto"/>
              <w:ind w:firstLine="0" w:firstLineChars="0"/>
              <w:rPr>
                <w:sz w:val="21"/>
                <w:szCs w:val="21"/>
              </w:rPr>
            </w:pPr>
            <w:r>
              <w:rPr>
                <w:sz w:val="21"/>
                <w:szCs w:val="21"/>
              </w:rPr>
              <w:t>矿产资源开发应符合国家产业政策要求，选址、布局应符合所在地的区域发展。</w:t>
            </w:r>
          </w:p>
        </w:tc>
        <w:tc>
          <w:tcPr>
            <w:tcW w:w="2143" w:type="pct"/>
            <w:vAlign w:val="center"/>
          </w:tcPr>
          <w:p>
            <w:pPr>
              <w:spacing w:line="240" w:lineRule="auto"/>
              <w:ind w:firstLine="0" w:firstLineChars="0"/>
              <w:jc w:val="both"/>
              <w:rPr>
                <w:sz w:val="21"/>
                <w:szCs w:val="21"/>
              </w:rPr>
            </w:pPr>
            <w:r>
              <w:rPr>
                <w:sz w:val="21"/>
                <w:szCs w:val="21"/>
              </w:rPr>
              <w:t>本项目符合《重庆市矿产资源总体规划（2021-2025年）》及《重庆市合川区矿产资源总体规划（2021-2025年）》等要求</w:t>
            </w:r>
          </w:p>
        </w:tc>
        <w:tc>
          <w:tcPr>
            <w:tcW w:w="378" w:type="pct"/>
            <w:vAlign w:val="center"/>
          </w:tcPr>
          <w:p>
            <w:pPr>
              <w:spacing w:line="240" w:lineRule="auto"/>
              <w:ind w:firstLine="0" w:firstLineChars="0"/>
              <w:rPr>
                <w:sz w:val="21"/>
                <w:szCs w:val="21"/>
              </w:rPr>
            </w:pPr>
            <w:r>
              <w:rPr>
                <w:sz w:val="21"/>
                <w:szCs w:val="21"/>
              </w:rPr>
              <w:t>符合</w:t>
            </w:r>
          </w:p>
        </w:tc>
      </w:tr>
    </w:tbl>
    <w:p>
      <w:pPr>
        <w:pStyle w:val="300"/>
      </w:pPr>
      <w:r>
        <w:t>由上表可知，本项目符合《矿山生态环境保护与污染防治技术政策》（环发〔2005〕109号）要求。</w:t>
      </w:r>
    </w:p>
    <w:p>
      <w:pPr>
        <w:pStyle w:val="5"/>
        <w:rPr>
          <w:color w:val="auto"/>
        </w:rPr>
      </w:pPr>
      <w:r>
        <w:rPr>
          <w:color w:val="auto"/>
        </w:rPr>
        <w:t>1.9.2与《矿山生态环境保护与恢复治理技术规范（试行）》（HJ651-2013）符合性分析</w:t>
      </w:r>
    </w:p>
    <w:p>
      <w:pPr>
        <w:pStyle w:val="222"/>
      </w:pPr>
      <w:r>
        <w:t>根据《矿山生态环境保护与恢复治理技术规范（试行）》（HJ651-2013）中4.一条指出：“禁止在依法判定的自然保护区、风景名胜区、森林公园、饮用水水源保护区、文物古迹所在地、地质遗迹保护区、基本农田保护区等重要生态保护地以及其他法律法规规定的禁采区域内采矿。禁止在重要道路、航道两侧及重要生态敏感目标可视范围内进行对景观破坏明显的露天开采。5.9条指出：矿区专用道路选线应绕避环境敏感区和环境敏感点，</w:t>
      </w:r>
      <w:bookmarkStart w:id="113" w:name="_Hlk484074921"/>
      <w:r>
        <w:t>防止对环境保护目标造成不利影响。”</w:t>
      </w:r>
    </w:p>
    <w:p>
      <w:pPr>
        <w:pStyle w:val="222"/>
      </w:pPr>
      <w:r>
        <w:t>本项目矿区不在《矿山生态环境保护与恢复治理技术规范（试行）》（HJ651-2013）中规定的禁采区内，也不在主要交通干道直观可视范围内</w:t>
      </w:r>
      <w:bookmarkEnd w:id="113"/>
      <w:r>
        <w:t>。矿区周边有乡道盐九路，交通便利，不需设置专用道路，通过加强运输过程管理，不会对环境保护目标造成不利影响。因此，本项目建设符合《矿山生态环境保护与恢复治理技术规范（试行）》的相关要求。</w:t>
      </w:r>
    </w:p>
    <w:p>
      <w:pPr>
        <w:pStyle w:val="5"/>
        <w:rPr>
          <w:color w:val="auto"/>
        </w:rPr>
      </w:pPr>
      <w:r>
        <w:rPr>
          <w:color w:val="auto"/>
        </w:rPr>
        <w:t>1.9.3与《矿山环境监察指南（试行）》（环办〔2013〕14号）符合性分析</w:t>
      </w:r>
    </w:p>
    <w:p>
      <w:pPr>
        <w:pStyle w:val="222"/>
      </w:pPr>
      <w:r>
        <w:t>《矿山环境监察指南（试行）》中规定“禁采区”为：“禁止在自然保护区、风景名胜区、森林公园、地质遗迹保护区、国家重点保护的不能移动的历史文物和名胜古迹所在地采矿；禁止在崩塌滑坡危险区、泥石流易发区和易导致自然景观破坏等地质灾害危险区开采矿产资源；禁止在基本农田保护区内采矿；禁止在饮用水水源保护区内采矿；禁止在港口、机场、国防工程设施圈定地区以内采矿；</w:t>
      </w:r>
      <w:bookmarkStart w:id="114" w:name="OLE_LINK1"/>
      <w:r>
        <w:t>禁止在重要工业区、大型水利工程设施、城镇市政工程设施附近一定距离以内采矿；禁止在铁路、重要公路两侧一定距离以内采矿；禁止在铁路、国道、省道等其他重要道路两侧的直观可视范围内进行对景观破坏明显的露天开采；禁止在重要湖泊、河流、堤坝两侧一定距离以内采矿；禁止在风景名胜区、自然保护区和其他需要特殊保护的区域内建设产生尾矿的企业。”</w:t>
      </w:r>
    </w:p>
    <w:p>
      <w:pPr>
        <w:pStyle w:val="222"/>
      </w:pPr>
      <w:r>
        <w:t>本项目不在《矿山环境监察指南（试行）》中规定的禁采区内，符合《矿山环境监察指南（试行）》要求。</w:t>
      </w:r>
    </w:p>
    <w:bookmarkEnd w:id="114"/>
    <w:p>
      <w:pPr>
        <w:pStyle w:val="5"/>
        <w:rPr>
          <w:color w:val="auto"/>
        </w:rPr>
      </w:pPr>
      <w:r>
        <w:rPr>
          <w:color w:val="auto"/>
        </w:rPr>
        <w:t>1.9.4与《矿山地质环境保护规定》（国土资源部令第44号）的符合性</w:t>
      </w:r>
    </w:p>
    <w:p>
      <w:pPr>
        <w:ind w:firstLine="480"/>
        <w:jc w:val="both"/>
        <w:rPr>
          <w:bCs/>
          <w:sz w:val="24"/>
          <w:szCs w:val="24"/>
        </w:rPr>
      </w:pPr>
      <w:r>
        <w:rPr>
          <w:sz w:val="24"/>
          <w:szCs w:val="21"/>
        </w:rPr>
        <w:t>《矿山地质环境保护规定》</w:t>
      </w:r>
      <w:r>
        <w:rPr>
          <w:bCs/>
          <w:sz w:val="24"/>
          <w:szCs w:val="24"/>
        </w:rPr>
        <w:t>提出：“矿山地质环境保护，坚持预防为主、防治结合，谁开发谁保护、谁破坏谁治理、谁投资谁收益的原则。采矿权申请人在申请办理采矿许可证时，应当编制矿山地质保护与治理恢复方案。采矿权人应当缴存矿山地质环境治理恢复保证金，采矿权人应当严格执行经批准的矿山地质环境保护和治理方案。开采矿产资源造成矿山地质环境破坏的，由采矿权人负责治理恢复，并在矿山关闭前，完成矿山地质环境治理恢复义务”。</w:t>
      </w:r>
    </w:p>
    <w:p>
      <w:pPr>
        <w:spacing w:line="460" w:lineRule="exact"/>
        <w:ind w:firstLine="480"/>
        <w:jc w:val="both"/>
        <w:rPr>
          <w:bCs/>
          <w:sz w:val="24"/>
          <w:szCs w:val="24"/>
        </w:rPr>
      </w:pPr>
      <w:r>
        <w:rPr>
          <w:bCs/>
          <w:sz w:val="24"/>
          <w:szCs w:val="24"/>
        </w:rPr>
        <w:t>本项目已编制完成了</w:t>
      </w:r>
      <w:r>
        <w:rPr>
          <w:sz w:val="24"/>
          <w:szCs w:val="24"/>
        </w:rPr>
        <w:t>《重庆峰磊矿业有限公司建筑用灰岩矿矿山地质环境保护与土地复垦方案</w:t>
      </w:r>
      <w:r>
        <w:rPr>
          <w:bCs/>
          <w:sz w:val="24"/>
          <w:szCs w:val="24"/>
        </w:rPr>
        <w:t>》，矿山将严格按照该方案的要求实施。因此，本项目符合《矿山地质环境保护规定》要求。</w:t>
      </w:r>
    </w:p>
    <w:p>
      <w:pPr>
        <w:pStyle w:val="5"/>
        <w:rPr>
          <w:color w:val="auto"/>
        </w:rPr>
      </w:pPr>
      <w:r>
        <w:rPr>
          <w:color w:val="auto"/>
        </w:rPr>
        <w:t>1.9.5与《关于加强矿山地质环境恢复和综合治理的指导意见》符合性分析</w:t>
      </w:r>
    </w:p>
    <w:p>
      <w:pPr>
        <w:pStyle w:val="222"/>
      </w:pPr>
      <w:r>
        <w:t>根据《国土资源部、工业和信息化部、财政部、环境保护部、国家能源局关于加强矿山地质环境恢复和综合治理的指导意见》（国土资发〔2016〕63号）一、总体要求中（二）基本原则及二、主要任务中（二）强化保护预防：</w:t>
      </w:r>
    </w:p>
    <w:p>
      <w:pPr>
        <w:pStyle w:val="222"/>
      </w:pPr>
      <w:r>
        <w:t>1.坚持绿色发展理念，倡导和培育绿色矿业，构建矿产资源开发与矿山地质环境保护新格局。深入持续开展矿山复绿行动。推进废弃矿山的山、水、田、林、湖综合治理，宜农则农、宜林则林、宜园则园、宜水则水，充分结合全民义务植树等活动，尽快恢复矿区的青山绿水。发展绿色矿业，建设绿色矿山，鼓励矿山企业按照高效利用资源、保护环境、促进矿地和谐的绿色矿业发展要求，编制实施绿色矿山发展规划，加快建设资源节约型和环境友好型企业。</w:t>
      </w:r>
    </w:p>
    <w:p>
      <w:pPr>
        <w:pStyle w:val="222"/>
      </w:pPr>
      <w:r>
        <w:t>2.严格矿山开发准入管理。严格执行矿产资源规划，落实规划分区管理制度。在自然保护区，非经主管部门同意，不得新设与资源环境保护功能不相符合的矿业权。自然保护区内已设置的矿业权按有关规定办理。强化源头管理，全面实行矿产资源开发利用方案和矿山地质环境保护与治理恢复方案、土地复垦方案同步编制、同步审查、同步实施的三同时制度和社会公示制度。</w:t>
      </w:r>
    </w:p>
    <w:p>
      <w:pPr>
        <w:pStyle w:val="222"/>
      </w:pPr>
      <w:r>
        <w:t>3.加强保护与治理恢复方案的实施。切实加强耕地保护，完善矿山地质环境保护与治理恢复方案和土地复垦方案的编制标准，因矿施策，因地制宜，推进建立矿山地质环境保护和治理恢复方案与土地复垦方案合并编制、简便实用的工作制度。落实方案编制、审查和实施的主体责任，确保方案的科学性、合理性和严肃性。</w:t>
      </w:r>
    </w:p>
    <w:p>
      <w:pPr>
        <w:pStyle w:val="222"/>
      </w:pPr>
      <w:r>
        <w:t>4.加强开发和保护过程监管。将矿山地质环境恢复和综合治理的责任与工作落实情况作为矿山企业信息社会公示的重要内容和抽检的重要方面，强化对采矿权人主体责任的社会监督和执法监管。各级地方国土资源主管部门要加大监督执法力度，提高监督执法频率，督促矿山企业严格按照恢复治理方案边开采边治理。对拒不履行恢复治理义务的在建矿山、生产矿山，要将该矿山企业纳入政府管理相关信息向社会公开，列入矿业权人异常名录或严重违法名单。情节严重的，依法依规严肃处理。</w:t>
      </w:r>
    </w:p>
    <w:p>
      <w:pPr>
        <w:pStyle w:val="222"/>
      </w:pPr>
      <w:r>
        <w:t>5.加强资源综合利用。推进尾矿和废石综合利用，以尾矿和废石提取有价组分、生产高附加值建筑材料、充填、无害化农用和生态应用为重点，加快先进适用技术装备推广应用，组织实施尾矿和废石综合利用示范工程，不断提高尾矿和废石综合利用比例，扩大综合利用产业规模，减少对生态环境的影响。</w:t>
      </w:r>
    </w:p>
    <w:p>
      <w:pPr>
        <w:pStyle w:val="222"/>
      </w:pPr>
      <w:r>
        <w:t>本项目矿山属于《重庆市合川区矿产资源总体规划（2021-2025）》中已设采矿权保留矿山（编号为CQ012），不涉及自然保护区、风景名胜区等。矿山已编制完成了《重庆峰磊矿业有限公司建筑用灰岩矿矿山地质环境保护与土地复垦方案》，且矿山开采过程中采取边开采边生态恢复”的生产方式，对开采扰动区域及时采取种植植物和覆盖等复垦措施，开采结束后，对整个矿区进行生态恢复和土地复垦，尽量恢复原土地利用类型。矿山剥离表土用于后期土地复垦综合利用，减少了对周边生态环境的影响。</w:t>
      </w:r>
    </w:p>
    <w:p>
      <w:pPr>
        <w:pStyle w:val="222"/>
      </w:pPr>
      <w:r>
        <w:t>因此，本项目符合《国土资源部、工业和信息化部、财政部、环境保护部、国家能源局关于加强矿山地质环境恢复和综合治理的指导意见》要求。</w:t>
      </w:r>
    </w:p>
    <w:p>
      <w:pPr>
        <w:pStyle w:val="5"/>
        <w:rPr>
          <w:color w:val="auto"/>
        </w:rPr>
      </w:pPr>
      <w:r>
        <w:rPr>
          <w:color w:val="auto"/>
        </w:rPr>
        <w:t>1.9.6与《中共中央国务院关于深入打好污染防治攻坚战的意见》（2021年11月2日）符合性分析</w:t>
      </w:r>
    </w:p>
    <w:p>
      <w:pPr>
        <w:pStyle w:val="222"/>
        <w:rPr>
          <w:shd w:val="clear" w:color="auto" w:fill="FFFFFF"/>
        </w:rPr>
      </w:pPr>
      <w:r>
        <w:rPr>
          <w:shd w:val="clear" w:color="auto" w:fill="FFFFFF"/>
        </w:rPr>
        <w:t>根据意见第九和二十九条：（九）加强生态环境分区管控。衔接国土空间规划分区和用途管制要求，将生态保护红线、环境质量底线、资源利用上线的硬约束落实到环境管控单元，建立差别化的生态环境准入清单，加强“三线一单”成果在政策制定、环境准入、园区管理、执法监管等方面的应用。健全以环评制度为主体的源头预防体系，严格规划环评审查和项目环评准入，开展重大经济技术政策的生态环境影响分析和重大生态环境政策的社会经济影响评估。（二十九）强化生态保护监管。用好第三次全国国土调查成果，构建完善生态监测网络，建立全国生态状况评估报告制度，加强重点区域流域海域、生态保护红线、自然保护地、县域重点生态功能区等生态状况监测评估。加强自然保护地和生态保护红线监管，依法加大生态破坏问题监督和查处力度，持续推进“绿盾”自然保护地强化监督专项行动。深入推动生态文明建设示范创建、“绿水青山就是金山银山”实践创新基地建设和美丽中国地方实践。</w:t>
      </w:r>
    </w:p>
    <w:p>
      <w:pPr>
        <w:pStyle w:val="222"/>
      </w:pPr>
      <w:r>
        <w:rPr>
          <w:szCs w:val="20"/>
        </w:rPr>
        <w:t>本项目为</w:t>
      </w:r>
      <w:r>
        <w:t>建筑用石灰岩开采项目，在拐点范围内进行开采，在工业场地车间内进行加工，项目不占用合川区生态保护红线和九峰山森林公园，但评价范围内涉及合川区生态保护红线和九峰山森林公园，故项目开采区和工业场地应采用严格的污染防控措施，从源头控制，尽可能的减少扬尘对九峰山森林公园、生态保护红线的影响，确保各污染物达标排放。</w:t>
      </w:r>
      <w:r>
        <w:rPr>
          <w:bCs/>
        </w:rPr>
        <w:t>因此，项目符合《</w:t>
      </w:r>
      <w:r>
        <w:t>中共中央国务院关于深入打好污染防治攻坚战的意见</w:t>
      </w:r>
      <w:r>
        <w:rPr>
          <w:bCs/>
        </w:rPr>
        <w:t>》相关要求。</w:t>
      </w:r>
    </w:p>
    <w:p>
      <w:pPr>
        <w:pStyle w:val="5"/>
        <w:rPr>
          <w:color w:val="auto"/>
        </w:rPr>
      </w:pPr>
      <w:r>
        <w:rPr>
          <w:color w:val="auto"/>
        </w:rPr>
        <w:t>1.9.7与《</w:t>
      </w:r>
      <w:r>
        <w:rPr>
          <w:color w:val="auto"/>
        </w:rPr>
        <w:fldChar w:fldCharType="begin"/>
      </w:r>
      <w:r>
        <w:rPr>
          <w:color w:val="auto"/>
        </w:rPr>
        <w:instrText xml:space="preserve">HYPERLINK "http://www.cq.gov.cn/zwgk/zfxxgkml/wlzcxx/hmlm/whszfbm/202110/P020211008723438257777.docx"</w:instrText>
      </w:r>
      <w:r>
        <w:rPr>
          <w:color w:val="auto"/>
        </w:rPr>
        <w:fldChar w:fldCharType="separate"/>
      </w:r>
      <w:r>
        <w:rPr>
          <w:color w:val="auto"/>
        </w:rPr>
        <w:t>重庆市规划和自然资源局关于印发重庆市历史遗留和关闭矿山地质环境治理恢复与土地复垦管理办法的通知</w:t>
      </w:r>
      <w:r>
        <w:rPr>
          <w:color w:val="auto"/>
        </w:rPr>
        <w:fldChar w:fldCharType="end"/>
      </w:r>
      <w:r>
        <w:rPr>
          <w:color w:val="auto"/>
        </w:rPr>
        <w:t>》（渝规资规范〔2021〕6号）符合性分析</w:t>
      </w:r>
    </w:p>
    <w:p>
      <w:pPr>
        <w:pStyle w:val="222"/>
        <w:rPr>
          <w:shd w:val="clear" w:color="auto" w:fill="FFFFFF"/>
        </w:rPr>
      </w:pPr>
      <w:r>
        <w:rPr>
          <w:shd w:val="clear" w:color="auto" w:fill="FFFFFF"/>
        </w:rPr>
        <w:t>根据重庆市历史遗留和关闭矿山地质环境治理恢复与土地复垦管理办法：“第七条 项目实施要统筹协调，在消除安全隐患的前提下，坚持节约优先、保护优先，自然恢复为主。确需工程措施的项目要按照“宜耕则耕、宜园则园、宜林则林、宜草则草、宜水则水、宜建则建”的原则开展“山、水、林、田、湖、草”综合整治，使矿山损毁土地达到可利用状态并与周边环境相融合。</w:t>
      </w:r>
    </w:p>
    <w:p>
      <w:pPr>
        <w:pStyle w:val="222"/>
        <w:rPr>
          <w:shd w:val="clear" w:color="auto" w:fill="FFFFFF"/>
        </w:rPr>
      </w:pPr>
      <w:r>
        <w:rPr>
          <w:shd w:val="clear" w:color="auto" w:fill="FFFFFF"/>
        </w:rPr>
        <w:t>第十一条 对取得合法用地手续的历史遗留和关闭矿山，由区县（自治县）规划自然资源局依据土地利用现状图及最新影像图确定再利用面积，填写合法再利用认定表格。同时，应完成未利用部分的环境整治和生态修复。</w:t>
      </w:r>
    </w:p>
    <w:p>
      <w:pPr>
        <w:pStyle w:val="222"/>
        <w:rPr>
          <w:shd w:val="clear" w:color="auto" w:fill="FFFFFF"/>
        </w:rPr>
      </w:pPr>
      <w:r>
        <w:rPr>
          <w:shd w:val="clear" w:color="auto" w:fill="FFFFFF"/>
        </w:rPr>
        <w:t>第二十六条义务人应严格按照区县（自治县）规划自然资源局审定的矿山地质环境治理恢复与土地复垦规划设计方案或原矿山地质环境治理恢复方案、土地复垦方案、闭坑报告等实施，不得随意改变项目工程内容，确需调整的应报请区县（自治县）规划自然资源局同意。区县（自治县）规划自然资源局应对实施过程开展不定期检查、督导。</w:t>
      </w:r>
    </w:p>
    <w:p>
      <w:pPr>
        <w:pStyle w:val="222"/>
        <w:rPr>
          <w:shd w:val="clear" w:color="auto" w:fill="FFFFFF"/>
        </w:rPr>
      </w:pPr>
      <w:r>
        <w:rPr>
          <w:shd w:val="clear" w:color="auto" w:fill="FFFFFF"/>
        </w:rPr>
        <w:t>第二十七条 项目完工后，义务人应及时向区县（自治县）规划自然资源局申请验收。”</w:t>
      </w:r>
    </w:p>
    <w:p>
      <w:pPr>
        <w:pStyle w:val="222"/>
      </w:pPr>
      <w:r>
        <w:t>本项目在开采过程中坚持边开采变复垦原则，对开采矿区进行土地复垦，复垦措施以防治结合为目标，结合工程措施与生物措施对损毁土地展开治理。综上，本项目符合《</w:t>
      </w:r>
      <w:r>
        <w:fldChar w:fldCharType="begin"/>
      </w:r>
      <w:r>
        <w:instrText xml:space="preserve">HYPERLINK "http://www.cq.gov.cn/zwgk/zfxxgkml/wlzcxx/hmlm/whszfbm/202110/P020211008723438257777.docx"</w:instrText>
      </w:r>
      <w:r>
        <w:fldChar w:fldCharType="separate"/>
      </w:r>
      <w:r>
        <w:t>重庆市规划和自然资源局关于印发重庆市历史遗留和关闭矿山地质环境治理恢复与土地复垦管理办法的通知</w:t>
      </w:r>
      <w:r>
        <w:fldChar w:fldCharType="end"/>
      </w:r>
      <w:r>
        <w:t>》（渝规资规范〔2021〕6号）相关要求。</w:t>
      </w:r>
    </w:p>
    <w:p>
      <w:pPr>
        <w:pStyle w:val="5"/>
        <w:rPr>
          <w:color w:val="auto"/>
        </w:rPr>
      </w:pPr>
      <w:r>
        <w:rPr>
          <w:color w:val="auto"/>
        </w:rPr>
        <w:t>1.9.8与《重庆市森林公园管理办法》、《重庆市九峰山森林公园控制性详细规划》符合性分析</w:t>
      </w:r>
    </w:p>
    <w:p>
      <w:pPr>
        <w:spacing w:before="24" w:after="24" w:line="460" w:lineRule="exact"/>
        <w:ind w:firstLine="480"/>
        <w:jc w:val="both"/>
        <w:rPr>
          <w:sz w:val="24"/>
          <w:szCs w:val="24"/>
        </w:rPr>
      </w:pPr>
      <w:r>
        <w:rPr>
          <w:sz w:val="24"/>
          <w:szCs w:val="24"/>
        </w:rPr>
        <w:t>（1）《重庆市森林公园管理办法》</w:t>
      </w:r>
    </w:p>
    <w:p>
      <w:pPr>
        <w:spacing w:before="24" w:after="24" w:line="460" w:lineRule="exact"/>
        <w:ind w:firstLine="480"/>
        <w:jc w:val="both"/>
        <w:rPr>
          <w:sz w:val="24"/>
          <w:szCs w:val="24"/>
        </w:rPr>
      </w:pPr>
      <w:r>
        <w:rPr>
          <w:sz w:val="24"/>
          <w:szCs w:val="24"/>
        </w:rPr>
        <w:t>《重庆市森林公园管理办法》只对森林公园红线范围内管理提出要求，未对红线范围外围区域提出保护管理要求。本项目与《重庆市森林公园管理办法》不冲突。</w:t>
      </w:r>
    </w:p>
    <w:p>
      <w:pPr>
        <w:spacing w:before="24" w:after="24" w:line="460" w:lineRule="exact"/>
        <w:ind w:firstLine="480"/>
        <w:jc w:val="both"/>
        <w:rPr>
          <w:sz w:val="24"/>
          <w:szCs w:val="24"/>
        </w:rPr>
      </w:pPr>
      <w:r>
        <w:rPr>
          <w:sz w:val="24"/>
          <w:szCs w:val="24"/>
        </w:rPr>
        <w:t>（2）《重庆市九峰山森林公园控制性详细规划》符合性</w:t>
      </w:r>
    </w:p>
    <w:p>
      <w:pPr>
        <w:spacing w:before="24" w:after="24" w:line="460" w:lineRule="exact"/>
        <w:ind w:firstLine="480"/>
        <w:jc w:val="both"/>
        <w:rPr>
          <w:sz w:val="24"/>
          <w:szCs w:val="24"/>
        </w:rPr>
      </w:pPr>
      <w:r>
        <w:rPr>
          <w:sz w:val="24"/>
          <w:szCs w:val="24"/>
        </w:rPr>
        <w:t>本项目邻近九峰山森林公园，但不在森林公园内。该规划未划定红线外围保护地带。环境保护规划中提出“生态环境保护范围包括九峰山森林公园及其外沿的整个大生态区域”，“严禁对景观环境及动植物资源搞破坏性的开发利用，政府主管部门同意协调管理。”</w:t>
      </w:r>
    </w:p>
    <w:p>
      <w:pPr>
        <w:spacing w:before="24" w:after="24" w:line="460" w:lineRule="exact"/>
        <w:ind w:firstLine="480"/>
        <w:jc w:val="both"/>
        <w:rPr>
          <w:sz w:val="24"/>
          <w:szCs w:val="24"/>
        </w:rPr>
      </w:pPr>
      <w:r>
        <w:rPr>
          <w:sz w:val="24"/>
          <w:szCs w:val="24"/>
        </w:rPr>
        <w:t>本项目属于《重庆市合川区矿产资源总体规划（2021-2025）》中的采矿权（编号CQ012）的扩建项目，九峰山森林公园外沿还有其他合法矿山开采开发。项目通过生态恢复措施，主要复垦为林地，采用乡土物种进行恢复，主要采用原有占地的灌木、草本植物和竹。景观将逐步恢复和改善，基本达到建设前水平，和森林公园的植被景观相似，最终和森林公园景观保持协调。总体项目对九峰山森林公园景观影响小。对九峰山森林公园的森林风景资源和生物多样性、传播森林生态文化、开展森林生态旅游等功能影响很小。不会影响其生态服务功能。</w:t>
      </w:r>
    </w:p>
    <w:p>
      <w:pPr>
        <w:spacing w:before="24" w:after="24" w:line="460" w:lineRule="exact"/>
        <w:ind w:firstLine="480"/>
        <w:jc w:val="both"/>
        <w:rPr>
          <w:sz w:val="24"/>
          <w:szCs w:val="24"/>
        </w:rPr>
      </w:pPr>
      <w:r>
        <w:rPr>
          <w:sz w:val="24"/>
          <w:szCs w:val="24"/>
        </w:rPr>
        <w:t>2023年1月4日建设单位将项目矿区范围及拐点坐标在合川区林业局湿地管理中心办公室的九峰山森林公园检索系统中进行了核对，项目矿区占地范围不在九峰山森林公园红线范围内。项目与重庆市九峰山森林公园位置关系见附图。</w:t>
      </w:r>
    </w:p>
    <w:p>
      <w:pPr>
        <w:spacing w:before="24" w:after="24" w:line="460" w:lineRule="exact"/>
        <w:ind w:firstLine="480"/>
        <w:jc w:val="both"/>
        <w:rPr>
          <w:sz w:val="24"/>
          <w:szCs w:val="24"/>
        </w:rPr>
      </w:pPr>
      <w:r>
        <w:rPr>
          <w:sz w:val="24"/>
          <w:szCs w:val="24"/>
        </w:rPr>
        <w:t>本项目不属于“严禁对景观环境及动植物资源搞破坏性的开发利用”，总体符合《重庆市九峰山森林公园控制性详细规划》。</w:t>
      </w:r>
    </w:p>
    <w:p>
      <w:pPr>
        <w:pStyle w:val="5"/>
        <w:rPr>
          <w:color w:val="auto"/>
        </w:rPr>
      </w:pPr>
      <w:r>
        <w:rPr>
          <w:color w:val="auto"/>
        </w:rPr>
        <w:t>1.9.9与《中华人民共和国长江保护法》符合性分析</w:t>
      </w:r>
    </w:p>
    <w:p>
      <w:pPr>
        <w:pStyle w:val="300"/>
      </w:pPr>
      <w:r>
        <w:t>本项目位于重庆市合川区盐井街道观音村，合川区位于长江流域上，境内存在长江支流嘉陵江流岸线穿越；本项目已取得采矿许可证，距嘉陵江最近直线距离约4.8km，与《中华人民共和国长江保护法》符合性分析见下表。</w:t>
      </w:r>
    </w:p>
    <w:p>
      <w:pPr>
        <w:pStyle w:val="84"/>
      </w:pPr>
      <w:r>
        <w:t>表1.9-2  本项目与《长江保护法》符合性分析</w:t>
      </w:r>
    </w:p>
    <w:tbl>
      <w:tblPr>
        <w:tblStyle w:val="8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4207"/>
        <w:gridCol w:w="3456"/>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34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230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《长江保护法》要求</w:t>
            </w:r>
          </w:p>
        </w:tc>
        <w:tc>
          <w:tcPr>
            <w:tcW w:w="189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454"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1" w:type="pct"/>
            <w:vAlign w:val="center"/>
          </w:tcPr>
          <w:p>
            <w:pPr>
              <w:spacing w:line="240" w:lineRule="auto"/>
              <w:ind w:firstLine="0" w:firstLineChars="0"/>
              <w:rPr>
                <w:sz w:val="21"/>
                <w:szCs w:val="21"/>
              </w:rPr>
            </w:pPr>
            <w:r>
              <w:rPr>
                <w:sz w:val="21"/>
                <w:szCs w:val="21"/>
              </w:rPr>
              <w:t>1</w:t>
            </w:r>
          </w:p>
        </w:tc>
        <w:tc>
          <w:tcPr>
            <w:tcW w:w="2308" w:type="pct"/>
            <w:vAlign w:val="center"/>
          </w:tcPr>
          <w:p>
            <w:pPr>
              <w:spacing w:line="240" w:lineRule="auto"/>
              <w:ind w:firstLine="0" w:firstLineChars="0"/>
              <w:jc w:val="both"/>
              <w:rPr>
                <w:sz w:val="21"/>
                <w:szCs w:val="21"/>
              </w:rPr>
            </w:pPr>
            <w:r>
              <w:rPr>
                <w:sz w:val="21"/>
                <w:szCs w:val="21"/>
              </w:rPr>
              <w:t>禁止在长江干流岸线三公里范围内和重要支流岸线一公里范围内新建、改建、改扩建尾矿库。</w:t>
            </w:r>
          </w:p>
        </w:tc>
        <w:tc>
          <w:tcPr>
            <w:tcW w:w="1896" w:type="pct"/>
            <w:vMerge w:val="restart"/>
            <w:vAlign w:val="center"/>
          </w:tcPr>
          <w:p>
            <w:pPr>
              <w:spacing w:line="240" w:lineRule="auto"/>
              <w:ind w:firstLine="0" w:firstLineChars="0"/>
              <w:jc w:val="both"/>
              <w:rPr>
                <w:sz w:val="21"/>
                <w:szCs w:val="21"/>
              </w:rPr>
            </w:pPr>
            <w:r>
              <w:rPr>
                <w:sz w:val="21"/>
                <w:szCs w:val="21"/>
              </w:rPr>
              <w:t>本项目位于重庆市合川区盐井街道观音村，不在长江干流岸线三公里范围内和重要支流岸线一公里范围内；属于露天采矿，不属于长江流域采砂活动。</w:t>
            </w:r>
          </w:p>
        </w:tc>
        <w:tc>
          <w:tcPr>
            <w:tcW w:w="454"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1" w:type="pct"/>
            <w:vAlign w:val="center"/>
          </w:tcPr>
          <w:p>
            <w:pPr>
              <w:spacing w:line="240" w:lineRule="auto"/>
              <w:ind w:firstLine="0" w:firstLineChars="0"/>
              <w:rPr>
                <w:sz w:val="21"/>
                <w:szCs w:val="21"/>
              </w:rPr>
            </w:pPr>
            <w:r>
              <w:rPr>
                <w:sz w:val="21"/>
                <w:szCs w:val="21"/>
              </w:rPr>
              <w:t>2</w:t>
            </w:r>
          </w:p>
        </w:tc>
        <w:tc>
          <w:tcPr>
            <w:tcW w:w="2308" w:type="pct"/>
            <w:vAlign w:val="center"/>
          </w:tcPr>
          <w:p>
            <w:pPr>
              <w:spacing w:line="240" w:lineRule="auto"/>
              <w:ind w:firstLine="0" w:firstLineChars="0"/>
              <w:jc w:val="both"/>
              <w:rPr>
                <w:sz w:val="21"/>
                <w:szCs w:val="21"/>
              </w:rPr>
            </w:pPr>
            <w:r>
              <w:rPr>
                <w:sz w:val="21"/>
                <w:szCs w:val="21"/>
              </w:rPr>
              <w:t>禁止在长江流域禁止采砂区和禁止采砂期从事采砂活动。</w:t>
            </w:r>
          </w:p>
        </w:tc>
        <w:tc>
          <w:tcPr>
            <w:tcW w:w="1896" w:type="pct"/>
            <w:vMerge w:val="continue"/>
            <w:vAlign w:val="center"/>
          </w:tcPr>
          <w:p>
            <w:pPr>
              <w:spacing w:line="240" w:lineRule="auto"/>
              <w:ind w:firstLine="0" w:firstLineChars="0"/>
              <w:rPr>
                <w:sz w:val="21"/>
                <w:szCs w:val="21"/>
              </w:rPr>
            </w:pPr>
          </w:p>
        </w:tc>
        <w:tc>
          <w:tcPr>
            <w:tcW w:w="454"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1" w:type="pct"/>
            <w:vAlign w:val="center"/>
          </w:tcPr>
          <w:p>
            <w:pPr>
              <w:spacing w:line="240" w:lineRule="auto"/>
              <w:ind w:firstLine="0" w:firstLineChars="0"/>
              <w:rPr>
                <w:sz w:val="21"/>
                <w:szCs w:val="21"/>
              </w:rPr>
            </w:pPr>
            <w:r>
              <w:rPr>
                <w:sz w:val="21"/>
                <w:szCs w:val="21"/>
              </w:rPr>
              <w:t>3</w:t>
            </w:r>
          </w:p>
        </w:tc>
        <w:tc>
          <w:tcPr>
            <w:tcW w:w="2308" w:type="pct"/>
            <w:vAlign w:val="center"/>
          </w:tcPr>
          <w:p>
            <w:pPr>
              <w:spacing w:line="240" w:lineRule="auto"/>
              <w:ind w:firstLine="0" w:firstLineChars="0"/>
              <w:jc w:val="both"/>
              <w:rPr>
                <w:sz w:val="21"/>
                <w:szCs w:val="21"/>
              </w:rPr>
            </w:pPr>
            <w:r>
              <w:rPr>
                <w:sz w:val="21"/>
                <w:szCs w:val="21"/>
              </w:rPr>
              <w:t>禁止在长江流域河湖管理范围内倾倒、填埋、堆放、弃置、处理固体废物。</w:t>
            </w:r>
          </w:p>
        </w:tc>
        <w:tc>
          <w:tcPr>
            <w:tcW w:w="1896" w:type="pct"/>
            <w:vAlign w:val="center"/>
          </w:tcPr>
          <w:p>
            <w:pPr>
              <w:spacing w:line="240" w:lineRule="auto"/>
              <w:ind w:firstLine="0" w:firstLineChars="0"/>
              <w:jc w:val="both"/>
              <w:rPr>
                <w:sz w:val="21"/>
                <w:szCs w:val="21"/>
              </w:rPr>
            </w:pPr>
            <w:r>
              <w:rPr>
                <w:sz w:val="21"/>
                <w:szCs w:val="21"/>
              </w:rPr>
              <w:t>本项目位于重庆市合川区盐井街道观音村，不在长江流域河湖管理范围内。</w:t>
            </w:r>
          </w:p>
        </w:tc>
        <w:tc>
          <w:tcPr>
            <w:tcW w:w="454"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341" w:type="pct"/>
            <w:vAlign w:val="center"/>
          </w:tcPr>
          <w:p>
            <w:pPr>
              <w:spacing w:line="240" w:lineRule="auto"/>
              <w:ind w:firstLine="0" w:firstLineChars="0"/>
              <w:rPr>
                <w:sz w:val="21"/>
                <w:szCs w:val="21"/>
              </w:rPr>
            </w:pPr>
            <w:r>
              <w:rPr>
                <w:sz w:val="21"/>
                <w:szCs w:val="21"/>
              </w:rPr>
              <w:t>4</w:t>
            </w:r>
          </w:p>
        </w:tc>
        <w:tc>
          <w:tcPr>
            <w:tcW w:w="2308" w:type="pct"/>
            <w:vAlign w:val="center"/>
          </w:tcPr>
          <w:p>
            <w:pPr>
              <w:spacing w:line="240" w:lineRule="auto"/>
              <w:ind w:firstLine="0" w:firstLineChars="0"/>
              <w:rPr>
                <w:sz w:val="21"/>
                <w:szCs w:val="21"/>
              </w:rPr>
            </w:pPr>
            <w:r>
              <w:rPr>
                <w:sz w:val="21"/>
                <w:szCs w:val="21"/>
              </w:rPr>
              <w:t>禁止违法利用、占用长江流域河湖岸线。</w:t>
            </w:r>
          </w:p>
        </w:tc>
        <w:tc>
          <w:tcPr>
            <w:tcW w:w="1896" w:type="pct"/>
            <w:vMerge w:val="restart"/>
            <w:vAlign w:val="center"/>
          </w:tcPr>
          <w:p>
            <w:pPr>
              <w:spacing w:line="240" w:lineRule="auto"/>
              <w:ind w:firstLine="0" w:firstLineChars="0"/>
              <w:jc w:val="both"/>
              <w:rPr>
                <w:sz w:val="21"/>
                <w:szCs w:val="21"/>
              </w:rPr>
            </w:pPr>
            <w:r>
              <w:rPr>
                <w:sz w:val="21"/>
                <w:szCs w:val="21"/>
              </w:rPr>
              <w:t>本项目位于重庆市合川区盐井街道观音村，不利用、占用长江流域河湖岸线，不属于合川区水土流失重点预防区和重点治理区。</w:t>
            </w:r>
          </w:p>
        </w:tc>
        <w:tc>
          <w:tcPr>
            <w:tcW w:w="454"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1" w:type="pct"/>
            <w:vAlign w:val="center"/>
          </w:tcPr>
          <w:p>
            <w:pPr>
              <w:spacing w:line="240" w:lineRule="auto"/>
              <w:ind w:firstLine="0" w:firstLineChars="0"/>
              <w:rPr>
                <w:sz w:val="21"/>
                <w:szCs w:val="21"/>
              </w:rPr>
            </w:pPr>
            <w:r>
              <w:rPr>
                <w:sz w:val="21"/>
                <w:szCs w:val="21"/>
              </w:rPr>
              <w:t>5</w:t>
            </w:r>
          </w:p>
        </w:tc>
        <w:tc>
          <w:tcPr>
            <w:tcW w:w="2308" w:type="pct"/>
            <w:vAlign w:val="center"/>
          </w:tcPr>
          <w:p>
            <w:pPr>
              <w:spacing w:line="240" w:lineRule="auto"/>
              <w:ind w:firstLine="0" w:firstLineChars="0"/>
              <w:jc w:val="both"/>
              <w:rPr>
                <w:sz w:val="21"/>
                <w:szCs w:val="21"/>
              </w:rPr>
            </w:pPr>
            <w:r>
              <w:rPr>
                <w:sz w:val="21"/>
                <w:szCs w:val="21"/>
              </w:rPr>
              <w:t>禁止在长江流域水土流失严重、生态脆弱的区域开展可能造成水土流失的生产建设活动。确因国家发展战略和国计民生需要建设的，应当经科学论证，并依法办理审批手续。</w:t>
            </w:r>
          </w:p>
        </w:tc>
        <w:tc>
          <w:tcPr>
            <w:tcW w:w="1896" w:type="pct"/>
            <w:vMerge w:val="continue"/>
            <w:vAlign w:val="center"/>
          </w:tcPr>
          <w:p>
            <w:pPr>
              <w:spacing w:line="240" w:lineRule="auto"/>
              <w:ind w:firstLine="0" w:firstLineChars="0"/>
              <w:rPr>
                <w:sz w:val="21"/>
                <w:szCs w:val="21"/>
              </w:rPr>
            </w:pPr>
          </w:p>
        </w:tc>
        <w:tc>
          <w:tcPr>
            <w:tcW w:w="454" w:type="pct"/>
            <w:vAlign w:val="center"/>
          </w:tcPr>
          <w:p>
            <w:pPr>
              <w:spacing w:line="240" w:lineRule="auto"/>
              <w:ind w:firstLine="0" w:firstLineChars="0"/>
              <w:rPr>
                <w:sz w:val="21"/>
                <w:szCs w:val="21"/>
              </w:rPr>
            </w:pPr>
            <w:r>
              <w:rPr>
                <w:sz w:val="21"/>
                <w:szCs w:val="21"/>
              </w:rPr>
              <w:t>符合</w:t>
            </w:r>
          </w:p>
        </w:tc>
      </w:tr>
    </w:tbl>
    <w:p>
      <w:pPr>
        <w:pStyle w:val="300"/>
        <w:rPr>
          <w:lang w:bidi="en-US"/>
        </w:rPr>
      </w:pPr>
      <w:r>
        <w:t>由上表可知，本项目符合《中华人民共和国长江保护法》要求。</w:t>
      </w:r>
    </w:p>
    <w:p>
      <w:pPr>
        <w:pStyle w:val="5"/>
        <w:rPr>
          <w:color w:val="auto"/>
        </w:rPr>
      </w:pPr>
      <w:r>
        <w:rPr>
          <w:color w:val="auto"/>
        </w:rPr>
        <w:t>1.9.10与《四川省、重庆市长江经济带发展负面清单实施细则（试行，2022年版）》（川长江办〔2022〕17号）符合性分析</w:t>
      </w:r>
    </w:p>
    <w:p>
      <w:pPr>
        <w:pStyle w:val="300"/>
      </w:pPr>
      <w:r>
        <w:t>本项目与《四川省、重庆市长江经济带发展负面清单实施细则》符合性分析见下表。</w:t>
      </w:r>
    </w:p>
    <w:p>
      <w:pPr>
        <w:pStyle w:val="84"/>
      </w:pPr>
      <w:r>
        <w:t>表1.9-3  与《四川省、重庆市长江经济带发展负面清单实施细则》（2022，试行）符合性分析</w:t>
      </w:r>
    </w:p>
    <w:tbl>
      <w:tblPr>
        <w:tblStyle w:val="8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5659"/>
        <w:gridCol w:w="1834"/>
        <w:gridCol w:w="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3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310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管控内容</w:t>
            </w:r>
          </w:p>
        </w:tc>
        <w:tc>
          <w:tcPr>
            <w:tcW w:w="100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45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w:t>
            </w:r>
          </w:p>
        </w:tc>
        <w:tc>
          <w:tcPr>
            <w:tcW w:w="3105" w:type="pct"/>
            <w:vAlign w:val="center"/>
          </w:tcPr>
          <w:p>
            <w:pPr>
              <w:spacing w:line="240" w:lineRule="auto"/>
              <w:ind w:firstLine="0" w:firstLineChars="0"/>
              <w:rPr>
                <w:sz w:val="21"/>
                <w:szCs w:val="21"/>
              </w:rPr>
            </w:pPr>
            <w:r>
              <w:rPr>
                <w:sz w:val="21"/>
                <w:szCs w:val="21"/>
              </w:rPr>
              <w:t>禁止新建、改建和改扩建不符合全国港口布局规划，以及《四川省内河水运发展规划》《泸州—宜宾—乐山港口群布局规划》《重庆港总体规划（2035年）》等省级港口布局规划及市级港口总体规划的码头项目。</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2</w:t>
            </w:r>
          </w:p>
        </w:tc>
        <w:tc>
          <w:tcPr>
            <w:tcW w:w="3105" w:type="pct"/>
            <w:vAlign w:val="center"/>
          </w:tcPr>
          <w:p>
            <w:pPr>
              <w:spacing w:line="240" w:lineRule="auto"/>
              <w:ind w:firstLine="0" w:firstLineChars="0"/>
              <w:rPr>
                <w:sz w:val="21"/>
                <w:szCs w:val="21"/>
              </w:rPr>
            </w:pPr>
            <w:r>
              <w:rPr>
                <w:sz w:val="21"/>
                <w:szCs w:val="21"/>
              </w:rPr>
              <w:t>禁止新建、改建和改扩建不符合《长江干线过江通道布局规划（2020-2035年）》的过长江通道项目（含桥梁、隧道），国家发展改革委同意过长江通道线位调整的除外。</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0" w:type="pct"/>
            <w:vAlign w:val="center"/>
          </w:tcPr>
          <w:p>
            <w:pPr>
              <w:spacing w:line="240" w:lineRule="auto"/>
              <w:ind w:firstLine="0" w:firstLineChars="0"/>
              <w:jc w:val="center"/>
              <w:rPr>
                <w:sz w:val="21"/>
                <w:szCs w:val="21"/>
              </w:rPr>
            </w:pPr>
            <w:r>
              <w:rPr>
                <w:sz w:val="21"/>
                <w:szCs w:val="21"/>
              </w:rPr>
              <w:t>3</w:t>
            </w:r>
          </w:p>
        </w:tc>
        <w:tc>
          <w:tcPr>
            <w:tcW w:w="3105" w:type="pct"/>
            <w:vAlign w:val="center"/>
          </w:tcPr>
          <w:p>
            <w:pPr>
              <w:spacing w:line="240" w:lineRule="auto"/>
              <w:ind w:firstLine="0" w:firstLineChars="0"/>
              <w:rPr>
                <w:sz w:val="21"/>
                <w:szCs w:val="21"/>
              </w:rPr>
            </w:pPr>
            <w:r>
              <w:rPr>
                <w:sz w:val="21"/>
                <w:szCs w:val="21"/>
              </w:rPr>
              <w:t>禁止在自然保护区核心区、缓冲区的岸线和河段范围内投资建设旅游和生产经营项目。自然保护区的内部未分区的，依照核心区和缓冲区的规定管控。</w:t>
            </w:r>
          </w:p>
        </w:tc>
        <w:tc>
          <w:tcPr>
            <w:tcW w:w="1006" w:type="pct"/>
            <w:vAlign w:val="center"/>
          </w:tcPr>
          <w:p>
            <w:pPr>
              <w:spacing w:line="240" w:lineRule="auto"/>
              <w:ind w:firstLine="0" w:firstLineChars="0"/>
              <w:jc w:val="center"/>
              <w:rPr>
                <w:sz w:val="21"/>
                <w:szCs w:val="21"/>
              </w:rPr>
            </w:pPr>
            <w:r>
              <w:rPr>
                <w:sz w:val="21"/>
                <w:szCs w:val="21"/>
              </w:rPr>
              <w:t>本项目不涉及自然保护区。</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4</w:t>
            </w:r>
          </w:p>
        </w:tc>
        <w:tc>
          <w:tcPr>
            <w:tcW w:w="3105" w:type="pct"/>
            <w:vAlign w:val="center"/>
          </w:tcPr>
          <w:p>
            <w:pPr>
              <w:spacing w:line="240" w:lineRule="auto"/>
              <w:ind w:firstLine="0" w:firstLineChars="0"/>
              <w:rPr>
                <w:sz w:val="21"/>
                <w:szCs w:val="21"/>
              </w:rPr>
            </w:pPr>
            <w:r>
              <w:rPr>
                <w:sz w:val="21"/>
                <w:szCs w:val="21"/>
              </w:rPr>
              <w:t>禁止违反风景名胜区规划，在风景名胜区内设立各类开发区。禁止在风景名胜区核心景区的岸线和河段范围内建设宾馆、招待所、培训中心、疗养院以及与风景名胜资源保护无关的项目。</w:t>
            </w:r>
          </w:p>
        </w:tc>
        <w:tc>
          <w:tcPr>
            <w:tcW w:w="1006" w:type="pct"/>
            <w:vAlign w:val="center"/>
          </w:tcPr>
          <w:p>
            <w:pPr>
              <w:spacing w:line="240" w:lineRule="auto"/>
              <w:ind w:firstLine="0" w:firstLineChars="0"/>
              <w:jc w:val="center"/>
              <w:rPr>
                <w:sz w:val="21"/>
                <w:szCs w:val="21"/>
              </w:rPr>
            </w:pPr>
            <w:r>
              <w:rPr>
                <w:sz w:val="21"/>
                <w:szCs w:val="21"/>
              </w:rPr>
              <w:t>本项目不涉及风景名胜区。</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5</w:t>
            </w:r>
          </w:p>
        </w:tc>
        <w:tc>
          <w:tcPr>
            <w:tcW w:w="3105" w:type="pct"/>
            <w:vAlign w:val="center"/>
          </w:tcPr>
          <w:p>
            <w:pPr>
              <w:spacing w:line="240" w:lineRule="auto"/>
              <w:ind w:firstLine="0" w:firstLineChars="0"/>
              <w:rPr>
                <w:sz w:val="21"/>
                <w:szCs w:val="21"/>
              </w:rPr>
            </w:pPr>
            <w:r>
              <w:rPr>
                <w:sz w:val="21"/>
                <w:szCs w:val="21"/>
              </w:rPr>
              <w:t>禁止在饮用水水源准保护区的岸线和河段范围内新建、改扩建对水体污染严重的建设项目，禁止改建增加排污量的建设项目。</w:t>
            </w:r>
          </w:p>
        </w:tc>
        <w:tc>
          <w:tcPr>
            <w:tcW w:w="1006" w:type="pct"/>
            <w:vAlign w:val="center"/>
          </w:tcPr>
          <w:p>
            <w:pPr>
              <w:spacing w:line="240" w:lineRule="auto"/>
              <w:ind w:firstLine="0" w:firstLineChars="0"/>
              <w:jc w:val="center"/>
              <w:rPr>
                <w:sz w:val="21"/>
                <w:szCs w:val="21"/>
              </w:rPr>
            </w:pPr>
            <w:r>
              <w:rPr>
                <w:sz w:val="21"/>
                <w:szCs w:val="21"/>
              </w:rPr>
              <w:t>本项目不涉及饮用水源保护区及在准保护区。</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6</w:t>
            </w:r>
          </w:p>
        </w:tc>
        <w:tc>
          <w:tcPr>
            <w:tcW w:w="3105" w:type="pct"/>
            <w:vAlign w:val="center"/>
          </w:tcPr>
          <w:p>
            <w:pPr>
              <w:spacing w:line="240" w:lineRule="auto"/>
              <w:ind w:firstLine="0" w:firstLineChars="0"/>
              <w:rPr>
                <w:sz w:val="21"/>
                <w:szCs w:val="21"/>
              </w:rPr>
            </w:pPr>
            <w:r>
              <w:rPr>
                <w:sz w:val="21"/>
                <w:szCs w:val="21"/>
              </w:rPr>
              <w:t>饮用水水源二级保护区的岸线和河段范围内，除遵守准保护区规定外，禁止新建、改建、改扩建排放污染物的投资建设项目，禁止从事对水体有污染的水产养殖等活动。</w:t>
            </w:r>
          </w:p>
        </w:tc>
        <w:tc>
          <w:tcPr>
            <w:tcW w:w="1006" w:type="pct"/>
            <w:vAlign w:val="center"/>
          </w:tcPr>
          <w:p>
            <w:pPr>
              <w:spacing w:line="240" w:lineRule="auto"/>
              <w:ind w:firstLine="0" w:firstLineChars="0"/>
              <w:jc w:val="center"/>
              <w:rPr>
                <w:sz w:val="21"/>
                <w:szCs w:val="21"/>
              </w:rPr>
            </w:pPr>
            <w:r>
              <w:rPr>
                <w:sz w:val="21"/>
                <w:szCs w:val="21"/>
              </w:rPr>
              <w:t>本项目不涉及饮用水源保护区。</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0" w:type="pct"/>
            <w:vAlign w:val="center"/>
          </w:tcPr>
          <w:p>
            <w:pPr>
              <w:spacing w:line="240" w:lineRule="auto"/>
              <w:ind w:firstLine="0" w:firstLineChars="0"/>
              <w:jc w:val="center"/>
              <w:rPr>
                <w:sz w:val="21"/>
                <w:szCs w:val="21"/>
              </w:rPr>
            </w:pPr>
            <w:r>
              <w:rPr>
                <w:sz w:val="21"/>
                <w:szCs w:val="21"/>
              </w:rPr>
              <w:t>7</w:t>
            </w:r>
          </w:p>
        </w:tc>
        <w:tc>
          <w:tcPr>
            <w:tcW w:w="3105" w:type="pct"/>
            <w:vAlign w:val="center"/>
          </w:tcPr>
          <w:p>
            <w:pPr>
              <w:spacing w:line="240" w:lineRule="auto"/>
              <w:ind w:firstLine="0" w:firstLineChars="0"/>
              <w:rPr>
                <w:sz w:val="21"/>
                <w:szCs w:val="21"/>
              </w:rPr>
            </w:pPr>
            <w:r>
              <w:rPr>
                <w:sz w:val="21"/>
                <w:szCs w:val="21"/>
              </w:rPr>
              <w:t>饮用水水源一级保护区的岸线和河段范围内，除遵守二级保护区规定外，禁止新建、改建、改扩建与供水设施和保护水源无关的项目，以及网箱养殖、畜禽养殖、旅游等可能污染饮用水水体的投资建设项目。</w:t>
            </w:r>
          </w:p>
        </w:tc>
        <w:tc>
          <w:tcPr>
            <w:tcW w:w="1006" w:type="pct"/>
            <w:vAlign w:val="center"/>
          </w:tcPr>
          <w:p>
            <w:pPr>
              <w:spacing w:line="240" w:lineRule="auto"/>
              <w:ind w:firstLine="0" w:firstLineChars="0"/>
              <w:jc w:val="center"/>
              <w:rPr>
                <w:sz w:val="21"/>
                <w:szCs w:val="21"/>
              </w:rPr>
            </w:pPr>
            <w:r>
              <w:rPr>
                <w:sz w:val="21"/>
                <w:szCs w:val="21"/>
              </w:rPr>
              <w:t>本项目不涉及饮用水源保护区。</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8</w:t>
            </w:r>
          </w:p>
        </w:tc>
        <w:tc>
          <w:tcPr>
            <w:tcW w:w="3105" w:type="pct"/>
            <w:vAlign w:val="center"/>
          </w:tcPr>
          <w:p>
            <w:pPr>
              <w:spacing w:line="240" w:lineRule="auto"/>
              <w:ind w:firstLine="0" w:firstLineChars="0"/>
              <w:rPr>
                <w:sz w:val="21"/>
                <w:szCs w:val="21"/>
              </w:rPr>
            </w:pPr>
            <w:r>
              <w:rPr>
                <w:sz w:val="21"/>
                <w:szCs w:val="21"/>
              </w:rPr>
              <w:t>禁止在水产种质资源保护区岸线和河段范围内新建围湖造田、围湖造地或挖沙采石等投资建设项目。</w:t>
            </w:r>
          </w:p>
        </w:tc>
        <w:tc>
          <w:tcPr>
            <w:tcW w:w="1006" w:type="pct"/>
            <w:vAlign w:val="center"/>
          </w:tcPr>
          <w:p>
            <w:pPr>
              <w:spacing w:line="240" w:lineRule="auto"/>
              <w:ind w:firstLine="0" w:firstLineChars="0"/>
              <w:jc w:val="center"/>
              <w:rPr>
                <w:sz w:val="21"/>
                <w:szCs w:val="21"/>
              </w:rPr>
            </w:pPr>
            <w:r>
              <w:rPr>
                <w:sz w:val="21"/>
                <w:szCs w:val="21"/>
              </w:rPr>
              <w:t>本项目为矿山开采项目，不涉及水产种质资源保护区。</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9</w:t>
            </w:r>
          </w:p>
        </w:tc>
        <w:tc>
          <w:tcPr>
            <w:tcW w:w="3105" w:type="pct"/>
            <w:vAlign w:val="center"/>
          </w:tcPr>
          <w:p>
            <w:pPr>
              <w:spacing w:line="240" w:lineRule="auto"/>
              <w:ind w:firstLine="0" w:firstLineChars="0"/>
              <w:rPr>
                <w:sz w:val="21"/>
                <w:szCs w:val="21"/>
              </w:rPr>
            </w:pPr>
            <w:r>
              <w:rPr>
                <w:sz w:val="21"/>
                <w:szCs w:val="21"/>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006" w:type="pct"/>
            <w:vAlign w:val="center"/>
          </w:tcPr>
          <w:p>
            <w:pPr>
              <w:spacing w:line="240" w:lineRule="auto"/>
              <w:ind w:firstLine="0" w:firstLineChars="0"/>
              <w:jc w:val="center"/>
              <w:rPr>
                <w:sz w:val="21"/>
                <w:szCs w:val="21"/>
              </w:rPr>
            </w:pPr>
            <w:r>
              <w:rPr>
                <w:sz w:val="21"/>
                <w:szCs w:val="21"/>
              </w:rPr>
              <w:t>本项目为矿山开采项目，不涉及国家湿地公园。</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10</w:t>
            </w:r>
          </w:p>
        </w:tc>
        <w:tc>
          <w:tcPr>
            <w:tcW w:w="3105" w:type="pct"/>
            <w:vAlign w:val="center"/>
          </w:tcPr>
          <w:p>
            <w:pPr>
              <w:spacing w:line="240" w:lineRule="auto"/>
              <w:ind w:firstLine="0" w:firstLineChars="0"/>
              <w:rPr>
                <w:sz w:val="21"/>
                <w:szCs w:val="21"/>
              </w:rPr>
            </w:pPr>
            <w:r>
              <w:rPr>
                <w:sz w:val="21"/>
                <w:szCs w:val="21"/>
              </w:rPr>
              <w:t>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006" w:type="pct"/>
            <w:vAlign w:val="center"/>
          </w:tcPr>
          <w:p>
            <w:pPr>
              <w:spacing w:line="240" w:lineRule="auto"/>
              <w:ind w:firstLine="0" w:firstLineChars="0"/>
              <w:jc w:val="center"/>
              <w:rPr>
                <w:sz w:val="21"/>
                <w:szCs w:val="21"/>
              </w:rPr>
            </w:pPr>
            <w:r>
              <w:rPr>
                <w:sz w:val="21"/>
                <w:szCs w:val="21"/>
              </w:rPr>
              <w:t>本项目不涉及占用长江流域河湖岸线。</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0" w:type="pct"/>
            <w:vAlign w:val="center"/>
          </w:tcPr>
          <w:p>
            <w:pPr>
              <w:spacing w:line="240" w:lineRule="auto"/>
              <w:ind w:firstLine="0" w:firstLineChars="0"/>
              <w:jc w:val="center"/>
              <w:rPr>
                <w:sz w:val="21"/>
                <w:szCs w:val="21"/>
              </w:rPr>
            </w:pPr>
            <w:r>
              <w:rPr>
                <w:sz w:val="21"/>
                <w:szCs w:val="21"/>
              </w:rPr>
              <w:t>11</w:t>
            </w:r>
          </w:p>
        </w:tc>
        <w:tc>
          <w:tcPr>
            <w:tcW w:w="3105" w:type="pct"/>
            <w:vAlign w:val="center"/>
          </w:tcPr>
          <w:p>
            <w:pPr>
              <w:spacing w:line="240" w:lineRule="auto"/>
              <w:ind w:firstLine="0" w:firstLineChars="0"/>
              <w:rPr>
                <w:sz w:val="21"/>
                <w:szCs w:val="21"/>
              </w:rPr>
            </w:pPr>
            <w:r>
              <w:rPr>
                <w:sz w:val="21"/>
                <w:szCs w:val="21"/>
              </w:rPr>
              <w:t>禁止在《全国重要江河湖泊水功能区划》划定的河段及湖泊保护区、保留区内投资建设不利于水资源及自然生态保护的项目。</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12</w:t>
            </w:r>
          </w:p>
        </w:tc>
        <w:tc>
          <w:tcPr>
            <w:tcW w:w="3105" w:type="pct"/>
            <w:vAlign w:val="center"/>
          </w:tcPr>
          <w:p>
            <w:pPr>
              <w:spacing w:line="240" w:lineRule="auto"/>
              <w:ind w:firstLine="0" w:firstLineChars="0"/>
              <w:rPr>
                <w:sz w:val="21"/>
                <w:szCs w:val="21"/>
              </w:rPr>
            </w:pPr>
            <w:r>
              <w:rPr>
                <w:sz w:val="21"/>
                <w:szCs w:val="21"/>
              </w:rPr>
              <w:t>禁止在长江流域江河、湖泊新设、改设或者扩大排污口，经有管辖权的生态环境主管部门或者长江流域生态环境监督管理机构同意的除外。</w:t>
            </w:r>
          </w:p>
        </w:tc>
        <w:tc>
          <w:tcPr>
            <w:tcW w:w="1006" w:type="pct"/>
            <w:vAlign w:val="center"/>
          </w:tcPr>
          <w:p>
            <w:pPr>
              <w:spacing w:line="240" w:lineRule="auto"/>
              <w:ind w:firstLine="0" w:firstLineChars="0"/>
              <w:jc w:val="center"/>
              <w:rPr>
                <w:sz w:val="21"/>
                <w:szCs w:val="21"/>
              </w:rPr>
            </w:pPr>
            <w:r>
              <w:rPr>
                <w:sz w:val="21"/>
                <w:szCs w:val="21"/>
              </w:rPr>
              <w:t>本项目为矿山开采项目，运营期间不排放废水。</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13</w:t>
            </w:r>
          </w:p>
        </w:tc>
        <w:tc>
          <w:tcPr>
            <w:tcW w:w="3105" w:type="pct"/>
            <w:vAlign w:val="center"/>
          </w:tcPr>
          <w:p>
            <w:pPr>
              <w:spacing w:line="240" w:lineRule="auto"/>
              <w:ind w:firstLine="0" w:firstLineChars="0"/>
              <w:rPr>
                <w:sz w:val="21"/>
                <w:szCs w:val="21"/>
              </w:rPr>
            </w:pPr>
            <w:r>
              <w:rPr>
                <w:sz w:val="21"/>
                <w:szCs w:val="21"/>
              </w:rPr>
              <w:t>禁止在长江干流、大渡河、岷江、赤水河、沱江、嘉陵江、乌江、汉江和51个（四川省45个、重庆市6个）水生生物保护区开展生产性捕捞。</w:t>
            </w:r>
          </w:p>
        </w:tc>
        <w:tc>
          <w:tcPr>
            <w:tcW w:w="1006" w:type="pct"/>
            <w:vAlign w:val="center"/>
          </w:tcPr>
          <w:p>
            <w:pPr>
              <w:spacing w:line="240" w:lineRule="auto"/>
              <w:ind w:firstLine="0" w:firstLineChars="0"/>
              <w:jc w:val="center"/>
              <w:rPr>
                <w:sz w:val="21"/>
                <w:szCs w:val="21"/>
              </w:rPr>
            </w:pPr>
            <w:r>
              <w:rPr>
                <w:sz w:val="21"/>
                <w:szCs w:val="21"/>
              </w:rPr>
              <w:t>本项目为矿山开采项目，不涉及水生生物。</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14</w:t>
            </w:r>
          </w:p>
        </w:tc>
        <w:tc>
          <w:tcPr>
            <w:tcW w:w="3105" w:type="pct"/>
            <w:vAlign w:val="center"/>
          </w:tcPr>
          <w:p>
            <w:pPr>
              <w:spacing w:line="240" w:lineRule="auto"/>
              <w:ind w:firstLine="0" w:firstLineChars="0"/>
              <w:rPr>
                <w:sz w:val="21"/>
                <w:szCs w:val="21"/>
              </w:rPr>
            </w:pPr>
            <w:r>
              <w:rPr>
                <w:sz w:val="21"/>
                <w:szCs w:val="21"/>
              </w:rPr>
              <w:t>禁止在长江干支流、重要湖泊岸线一公里范围内新建、改扩建化工园区和化工项目。</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0" w:type="pct"/>
            <w:vAlign w:val="center"/>
          </w:tcPr>
          <w:p>
            <w:pPr>
              <w:spacing w:line="240" w:lineRule="auto"/>
              <w:ind w:firstLine="0" w:firstLineChars="0"/>
              <w:jc w:val="center"/>
              <w:rPr>
                <w:sz w:val="21"/>
                <w:szCs w:val="21"/>
              </w:rPr>
            </w:pPr>
            <w:r>
              <w:rPr>
                <w:sz w:val="21"/>
                <w:szCs w:val="21"/>
              </w:rPr>
              <w:t>15</w:t>
            </w:r>
          </w:p>
        </w:tc>
        <w:tc>
          <w:tcPr>
            <w:tcW w:w="3105" w:type="pct"/>
            <w:vAlign w:val="center"/>
          </w:tcPr>
          <w:p>
            <w:pPr>
              <w:spacing w:line="240" w:lineRule="auto"/>
              <w:ind w:firstLine="0" w:firstLineChars="0"/>
              <w:rPr>
                <w:sz w:val="21"/>
                <w:szCs w:val="21"/>
              </w:rPr>
            </w:pPr>
            <w:r>
              <w:rPr>
                <w:sz w:val="21"/>
                <w:szCs w:val="21"/>
              </w:rPr>
              <w:t>禁止在长江干流岸线三公里范围内和重要支流岸线一公里范围内新建、改建、改扩建尾矿库、冶炼渣库、磷石膏库，以提升安全、生态环境保护水平为目的的改建除外。</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16</w:t>
            </w:r>
          </w:p>
        </w:tc>
        <w:tc>
          <w:tcPr>
            <w:tcW w:w="3105" w:type="pct"/>
            <w:vAlign w:val="center"/>
          </w:tcPr>
          <w:p>
            <w:pPr>
              <w:spacing w:line="240" w:lineRule="auto"/>
              <w:ind w:firstLine="0" w:firstLineChars="0"/>
              <w:rPr>
                <w:sz w:val="21"/>
                <w:szCs w:val="21"/>
              </w:rPr>
            </w:pPr>
            <w:r>
              <w:rPr>
                <w:sz w:val="21"/>
                <w:szCs w:val="21"/>
              </w:rPr>
              <w:t>禁止在生态保护红线区域、永久基本农田集中区域和其他需要特别保护的区域内选址建设尾矿库、冶炼渣库、磷石膏库。</w:t>
            </w:r>
          </w:p>
        </w:tc>
        <w:tc>
          <w:tcPr>
            <w:tcW w:w="1006" w:type="pct"/>
            <w:vAlign w:val="center"/>
          </w:tcPr>
          <w:p>
            <w:pPr>
              <w:spacing w:line="240" w:lineRule="auto"/>
              <w:ind w:firstLine="0" w:firstLineChars="0"/>
              <w:jc w:val="center"/>
              <w:rPr>
                <w:sz w:val="21"/>
                <w:szCs w:val="21"/>
              </w:rPr>
            </w:pPr>
            <w:r>
              <w:rPr>
                <w:sz w:val="21"/>
                <w:szCs w:val="21"/>
              </w:rPr>
              <w:t>本项目为矿山开采项目，占地范围不涉及生态保护红线和基本农田。</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17</w:t>
            </w:r>
          </w:p>
        </w:tc>
        <w:tc>
          <w:tcPr>
            <w:tcW w:w="3105" w:type="pct"/>
            <w:vAlign w:val="center"/>
          </w:tcPr>
          <w:p>
            <w:pPr>
              <w:spacing w:line="240" w:lineRule="auto"/>
              <w:ind w:firstLine="0" w:firstLineChars="0"/>
              <w:rPr>
                <w:sz w:val="21"/>
                <w:szCs w:val="21"/>
              </w:rPr>
            </w:pPr>
            <w:r>
              <w:rPr>
                <w:sz w:val="21"/>
                <w:szCs w:val="21"/>
              </w:rPr>
              <w:t>禁止在合规园区外新建、改扩建钢铁、石化、化工、焦化、建材、有色、制浆造纸等高污染项目。</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18</w:t>
            </w:r>
          </w:p>
        </w:tc>
        <w:tc>
          <w:tcPr>
            <w:tcW w:w="3105" w:type="pct"/>
            <w:vAlign w:val="center"/>
          </w:tcPr>
          <w:p>
            <w:pPr>
              <w:spacing w:line="240" w:lineRule="auto"/>
              <w:ind w:firstLine="0" w:firstLineChars="0"/>
              <w:rPr>
                <w:sz w:val="21"/>
                <w:szCs w:val="21"/>
              </w:rPr>
            </w:pPr>
            <w:r>
              <w:rPr>
                <w:sz w:val="21"/>
                <w:szCs w:val="21"/>
              </w:rPr>
              <w:t>第二十二条 禁止新建、改扩建不符合国家石化、现代煤化工等产业布局规划的项目。</w:t>
            </w:r>
          </w:p>
          <w:p>
            <w:pPr>
              <w:spacing w:line="240" w:lineRule="auto"/>
              <w:ind w:firstLine="0" w:firstLineChars="0"/>
              <w:rPr>
                <w:sz w:val="21"/>
                <w:szCs w:val="21"/>
              </w:rPr>
            </w:pPr>
            <w:r>
              <w:rPr>
                <w:sz w:val="21"/>
                <w:szCs w:val="21"/>
              </w:rPr>
              <w:t>（一）严格控制新增炼油产能，未列入《石化产业规划布局方案（修订版）》的新增炼油产能一律不得建设。</w:t>
            </w:r>
          </w:p>
          <w:p>
            <w:pPr>
              <w:spacing w:line="240" w:lineRule="auto"/>
              <w:ind w:firstLine="0" w:firstLineChars="0"/>
              <w:rPr>
                <w:sz w:val="21"/>
                <w:szCs w:val="21"/>
              </w:rPr>
            </w:pPr>
            <w:r>
              <w:rPr>
                <w:sz w:val="21"/>
                <w:szCs w:val="21"/>
              </w:rPr>
              <w:t>（二）新建煤制烯烃、煤制芳烃项目必须列入《现代煤化工产业创新发展布局方案》，必须符合《现代煤化工建设项目环境准入条件（试行）》要求。</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0" w:type="pct"/>
            <w:vAlign w:val="center"/>
          </w:tcPr>
          <w:p>
            <w:pPr>
              <w:spacing w:line="240" w:lineRule="auto"/>
              <w:ind w:firstLine="0" w:firstLineChars="0"/>
              <w:jc w:val="center"/>
              <w:rPr>
                <w:sz w:val="21"/>
                <w:szCs w:val="21"/>
              </w:rPr>
            </w:pPr>
            <w:r>
              <w:rPr>
                <w:sz w:val="21"/>
                <w:szCs w:val="21"/>
              </w:rPr>
              <w:t>19</w:t>
            </w:r>
          </w:p>
        </w:tc>
        <w:tc>
          <w:tcPr>
            <w:tcW w:w="3105" w:type="pct"/>
            <w:vAlign w:val="center"/>
          </w:tcPr>
          <w:p>
            <w:pPr>
              <w:spacing w:line="240" w:lineRule="auto"/>
              <w:ind w:firstLine="0" w:firstLineChars="0"/>
              <w:rPr>
                <w:sz w:val="21"/>
                <w:szCs w:val="21"/>
              </w:rPr>
            </w:pPr>
            <w:r>
              <w:rPr>
                <w:sz w:val="21"/>
                <w:szCs w:val="21"/>
              </w:rPr>
              <w:t>禁止新建、改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006" w:type="pct"/>
            <w:vAlign w:val="center"/>
          </w:tcPr>
          <w:p>
            <w:pPr>
              <w:spacing w:line="240" w:lineRule="auto"/>
              <w:ind w:firstLine="0" w:firstLineChars="0"/>
              <w:jc w:val="center"/>
              <w:rPr>
                <w:sz w:val="21"/>
                <w:szCs w:val="21"/>
              </w:rPr>
            </w:pPr>
            <w:r>
              <w:rPr>
                <w:sz w:val="21"/>
                <w:szCs w:val="21"/>
              </w:rPr>
              <w:t>本项目为矿山开采项目，属《产业结构调整指导目录》中的允许类。</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20</w:t>
            </w:r>
          </w:p>
        </w:tc>
        <w:tc>
          <w:tcPr>
            <w:tcW w:w="3105" w:type="pct"/>
            <w:vAlign w:val="center"/>
          </w:tcPr>
          <w:p>
            <w:pPr>
              <w:spacing w:line="240" w:lineRule="auto"/>
              <w:ind w:firstLine="0" w:firstLineChars="0"/>
              <w:rPr>
                <w:sz w:val="21"/>
                <w:szCs w:val="21"/>
              </w:rPr>
            </w:pPr>
            <w:r>
              <w:rPr>
                <w:sz w:val="21"/>
                <w:szCs w:val="21"/>
              </w:rPr>
              <w:t>禁止新建、改扩建不符合国家产能置换要求的严重过剩产能行业的项目。对于不符合国家产能置换要求的严重过剩产能行业，不得以其他任何名义、任何方式备案新增产能项目。</w:t>
            </w:r>
          </w:p>
        </w:tc>
        <w:tc>
          <w:tcPr>
            <w:tcW w:w="1006" w:type="pct"/>
            <w:vAlign w:val="center"/>
          </w:tcPr>
          <w:p>
            <w:pPr>
              <w:spacing w:line="240" w:lineRule="auto"/>
              <w:ind w:firstLine="0" w:firstLineChars="0"/>
              <w:jc w:val="center"/>
              <w:rPr>
                <w:sz w:val="21"/>
                <w:szCs w:val="21"/>
              </w:rPr>
            </w:pPr>
            <w:r>
              <w:rPr>
                <w:sz w:val="21"/>
                <w:szCs w:val="21"/>
              </w:rPr>
              <w:t>本项目为矿山开采项目，不属于产能过剩项目。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21</w:t>
            </w:r>
          </w:p>
        </w:tc>
        <w:tc>
          <w:tcPr>
            <w:tcW w:w="3105" w:type="pct"/>
            <w:vAlign w:val="center"/>
          </w:tcPr>
          <w:p>
            <w:pPr>
              <w:spacing w:line="240" w:lineRule="auto"/>
              <w:ind w:firstLine="0" w:firstLineChars="0"/>
              <w:rPr>
                <w:sz w:val="21"/>
                <w:szCs w:val="21"/>
              </w:rPr>
            </w:pPr>
            <w:r>
              <w:rPr>
                <w:sz w:val="21"/>
                <w:szCs w:val="21"/>
              </w:rPr>
              <w:t>禁止建设以下燃油汽车投资项目（不在中国境内销售产品的投资项目除外）：</w:t>
            </w:r>
          </w:p>
          <w:p>
            <w:pPr>
              <w:spacing w:line="240" w:lineRule="auto"/>
              <w:ind w:firstLine="0" w:firstLineChars="0"/>
              <w:rPr>
                <w:sz w:val="21"/>
                <w:szCs w:val="21"/>
              </w:rPr>
            </w:pPr>
            <w:r>
              <w:rPr>
                <w:sz w:val="21"/>
                <w:szCs w:val="21"/>
              </w:rPr>
              <w:t>（一）新建独立燃油汽车企业；</w:t>
            </w:r>
          </w:p>
          <w:p>
            <w:pPr>
              <w:spacing w:line="240" w:lineRule="auto"/>
              <w:ind w:firstLine="0" w:firstLineChars="0"/>
              <w:rPr>
                <w:sz w:val="21"/>
                <w:szCs w:val="21"/>
              </w:rPr>
            </w:pPr>
            <w:r>
              <w:rPr>
                <w:sz w:val="21"/>
                <w:szCs w:val="21"/>
              </w:rPr>
              <w:t>（二）现有汽车企业跨乘用车、商用车类别建设燃油汽车生产能力；</w:t>
            </w:r>
          </w:p>
          <w:p>
            <w:pPr>
              <w:spacing w:line="240" w:lineRule="auto"/>
              <w:ind w:firstLine="0" w:firstLineChars="0"/>
              <w:rPr>
                <w:sz w:val="21"/>
                <w:szCs w:val="21"/>
              </w:rPr>
            </w:pPr>
            <w:r>
              <w:rPr>
                <w:sz w:val="21"/>
                <w:szCs w:val="21"/>
              </w:rPr>
              <w:t>（三）外省现有燃油汽车企业整体搬迁至本省（列入国家级区域发展规划或不改变企业股权结构的项目除外）；</w:t>
            </w:r>
          </w:p>
          <w:p>
            <w:pPr>
              <w:spacing w:line="240" w:lineRule="auto"/>
              <w:ind w:firstLine="0" w:firstLineChars="0"/>
              <w:rPr>
                <w:sz w:val="21"/>
                <w:szCs w:val="21"/>
              </w:rPr>
            </w:pPr>
            <w:r>
              <w:rPr>
                <w:sz w:val="21"/>
                <w:szCs w:val="21"/>
              </w:rPr>
              <w:t>（四）对行业管理部门特别公示的燃油汽车企业进行投资（企业原有股东投资或将该企业转为非独立法人的投资项目除外）。</w:t>
            </w:r>
          </w:p>
        </w:tc>
        <w:tc>
          <w:tcPr>
            <w:tcW w:w="1006" w:type="pct"/>
            <w:vAlign w:val="center"/>
          </w:tcPr>
          <w:p>
            <w:pPr>
              <w:spacing w:line="240" w:lineRule="auto"/>
              <w:ind w:firstLine="0" w:firstLineChars="0"/>
              <w:jc w:val="center"/>
              <w:rPr>
                <w:sz w:val="21"/>
                <w:szCs w:val="21"/>
              </w:rPr>
            </w:pPr>
            <w:r>
              <w:rPr>
                <w:sz w:val="21"/>
                <w:szCs w:val="21"/>
              </w:rPr>
              <w:t>本项目为矿山开采项目。</w:t>
            </w:r>
          </w:p>
        </w:tc>
        <w:tc>
          <w:tcPr>
            <w:tcW w:w="45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vAlign w:val="center"/>
          </w:tcPr>
          <w:p>
            <w:pPr>
              <w:spacing w:line="240" w:lineRule="auto"/>
              <w:ind w:firstLine="0" w:firstLineChars="0"/>
              <w:jc w:val="center"/>
              <w:rPr>
                <w:sz w:val="21"/>
                <w:szCs w:val="21"/>
              </w:rPr>
            </w:pPr>
            <w:r>
              <w:rPr>
                <w:sz w:val="21"/>
                <w:szCs w:val="21"/>
              </w:rPr>
              <w:t>22</w:t>
            </w:r>
          </w:p>
        </w:tc>
        <w:tc>
          <w:tcPr>
            <w:tcW w:w="3105" w:type="pct"/>
            <w:vAlign w:val="center"/>
          </w:tcPr>
          <w:p>
            <w:pPr>
              <w:spacing w:line="240" w:lineRule="auto"/>
              <w:ind w:firstLine="0" w:firstLineChars="0"/>
              <w:rPr>
                <w:sz w:val="21"/>
                <w:szCs w:val="21"/>
              </w:rPr>
            </w:pPr>
            <w:r>
              <w:rPr>
                <w:sz w:val="21"/>
                <w:szCs w:val="21"/>
              </w:rPr>
              <w:t>禁止新建、改扩建不符合要求的高耗能、高排放、低水平项目。</w:t>
            </w:r>
          </w:p>
        </w:tc>
        <w:tc>
          <w:tcPr>
            <w:tcW w:w="1006" w:type="pct"/>
            <w:vAlign w:val="center"/>
          </w:tcPr>
          <w:p>
            <w:pPr>
              <w:spacing w:line="240" w:lineRule="auto"/>
              <w:ind w:firstLine="0" w:firstLineChars="0"/>
              <w:jc w:val="center"/>
              <w:rPr>
                <w:sz w:val="21"/>
                <w:szCs w:val="21"/>
              </w:rPr>
            </w:pPr>
            <w:r>
              <w:rPr>
                <w:sz w:val="21"/>
                <w:szCs w:val="21"/>
              </w:rPr>
              <w:t>本项目为矿山开采项目，不属于高耗能、高排放、低水平项目。</w:t>
            </w:r>
          </w:p>
        </w:tc>
        <w:tc>
          <w:tcPr>
            <w:tcW w:w="459" w:type="pct"/>
            <w:vAlign w:val="center"/>
          </w:tcPr>
          <w:p>
            <w:pPr>
              <w:spacing w:line="240" w:lineRule="auto"/>
              <w:ind w:firstLine="0" w:firstLineChars="0"/>
              <w:jc w:val="center"/>
              <w:rPr>
                <w:sz w:val="21"/>
                <w:szCs w:val="21"/>
              </w:rPr>
            </w:pPr>
            <w:r>
              <w:rPr>
                <w:sz w:val="21"/>
                <w:szCs w:val="21"/>
              </w:rPr>
              <w:t>符合</w:t>
            </w:r>
          </w:p>
        </w:tc>
      </w:tr>
    </w:tbl>
    <w:p>
      <w:pPr>
        <w:pStyle w:val="300"/>
      </w:pPr>
      <w:r>
        <w:t>由上表可知，本项目符合《四川省、重庆市长江经济带发展负面清单实施细则》（2022，试行）要求。</w:t>
      </w:r>
    </w:p>
    <w:p>
      <w:pPr>
        <w:pStyle w:val="5"/>
        <w:rPr>
          <w:color w:val="auto"/>
        </w:rPr>
      </w:pPr>
      <w:r>
        <w:rPr>
          <w:color w:val="auto"/>
        </w:rPr>
        <w:t>1.9.11与《重庆市绿色矿山建设标准（2021年版）》（渝规资〔2021〕745号）符合性分析</w:t>
      </w:r>
    </w:p>
    <w:p>
      <w:pPr>
        <w:pStyle w:val="84"/>
      </w:pPr>
      <w:r>
        <w:t>表1.9-4  与重庆市绿色矿山建设标准符合性分析</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6"/>
        <w:gridCol w:w="3392"/>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相关规定</w:t>
            </w:r>
          </w:p>
        </w:tc>
        <w:tc>
          <w:tcPr>
            <w:tcW w:w="186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58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vAlign w:val="center"/>
          </w:tcPr>
          <w:p>
            <w:pPr>
              <w:spacing w:line="240" w:lineRule="auto"/>
              <w:ind w:firstLine="0" w:firstLineChars="0"/>
              <w:jc w:val="center"/>
              <w:rPr>
                <w:b/>
                <w:sz w:val="21"/>
                <w:szCs w:val="21"/>
              </w:rPr>
            </w:pPr>
            <w:r>
              <w:rPr>
                <w:b/>
                <w:sz w:val="21"/>
                <w:szCs w:val="21"/>
              </w:rPr>
              <w:t>矿容矿貌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矿区功能区布局合理、管理规范，各功能区布局应符合GB50187 的规定。矿山开采管理用房、仓储等基础设施齐全布置合理。矿山机械设备、物资材料等摆放有序，场地保持整洁。</w:t>
            </w:r>
          </w:p>
        </w:tc>
        <w:tc>
          <w:tcPr>
            <w:tcW w:w="1860" w:type="pct"/>
            <w:vAlign w:val="center"/>
          </w:tcPr>
          <w:p>
            <w:pPr>
              <w:spacing w:line="240" w:lineRule="auto"/>
              <w:ind w:firstLine="0" w:firstLineChars="0"/>
              <w:rPr>
                <w:sz w:val="21"/>
                <w:szCs w:val="21"/>
              </w:rPr>
            </w:pPr>
            <w:r>
              <w:rPr>
                <w:sz w:val="21"/>
                <w:szCs w:val="21"/>
              </w:rPr>
              <w:t>本项目开采区、管理用房布局合理。设置了管理用房、仓储等基础设施，矿山机械设备、物资材料等摆放有序，场地整洁。</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59" w:type="pct"/>
            <w:vAlign w:val="center"/>
          </w:tcPr>
          <w:p>
            <w:pPr>
              <w:spacing w:line="240" w:lineRule="auto"/>
              <w:ind w:firstLine="0" w:firstLineChars="0"/>
              <w:rPr>
                <w:sz w:val="21"/>
                <w:szCs w:val="21"/>
              </w:rPr>
            </w:pPr>
            <w:r>
              <w:rPr>
                <w:sz w:val="21"/>
                <w:szCs w:val="21"/>
              </w:rPr>
              <w:t>矿区工业广场及道路实现硬化。矿区工业广场、矿区道路以及地热温泉区、矿泉水加工处理区等硬化道路设计应符合GBJ22 规定。硬化道路应实施洒水、喷雾等措施，并保持道路排水畅通，做到路面无积尘、无积水、无淤泥。</w:t>
            </w:r>
          </w:p>
        </w:tc>
        <w:tc>
          <w:tcPr>
            <w:tcW w:w="1860" w:type="pct"/>
            <w:vAlign w:val="center"/>
          </w:tcPr>
          <w:p>
            <w:pPr>
              <w:spacing w:line="240" w:lineRule="auto"/>
              <w:ind w:firstLine="0" w:firstLineChars="0"/>
              <w:rPr>
                <w:sz w:val="21"/>
                <w:szCs w:val="21"/>
              </w:rPr>
            </w:pPr>
            <w:r>
              <w:rPr>
                <w:sz w:val="21"/>
                <w:szCs w:val="21"/>
              </w:rPr>
              <w:t>本项目依托已建设工业场地，不在进行建设，对矿区内的道路进行硬化，采取洒水喷雾降尘，对排水进行收集进入沉淀池。</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矿区加工车间密闭美化。破碎生产线、料库、成品库物料输送皮带等应实行全密闭式管理。密闭厂房应安全坚固、维护完好。厂房外观整洁、美观、大方。厂房车间四壁和顶棚无尘垢。</w:t>
            </w:r>
          </w:p>
        </w:tc>
        <w:tc>
          <w:tcPr>
            <w:tcW w:w="1860" w:type="pct"/>
            <w:vAlign w:val="center"/>
          </w:tcPr>
          <w:p>
            <w:pPr>
              <w:spacing w:line="240" w:lineRule="auto"/>
              <w:ind w:firstLine="0" w:firstLineChars="0"/>
              <w:rPr>
                <w:sz w:val="21"/>
                <w:szCs w:val="21"/>
              </w:rPr>
            </w:pPr>
            <w:r>
              <w:rPr>
                <w:sz w:val="21"/>
                <w:szCs w:val="21"/>
              </w:rPr>
              <w:t>本项目工业场地加工车间采用封闭车间，外观美丽，破碎、堆场、传输带位于车间内，维护良好，设备性能好，厂房外观整洁美观大方，车间四壁和顶棚尘垢少。</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露天开采矿山采剥工作面规范。露天采场工作面推进均衡有序，遵循采剥并举、剥离先行的原则，最大限度保留原生自然环境。露天采场开采面、作业平台以及采场路面干净、整洁，无剥离表土、废石、矿石等乱堆、乱放现象。露天采场终了平台应覆土植绿，终了坡面应挂网复绿。</w:t>
            </w:r>
          </w:p>
        </w:tc>
        <w:tc>
          <w:tcPr>
            <w:tcW w:w="1860" w:type="pct"/>
            <w:vAlign w:val="center"/>
          </w:tcPr>
          <w:p>
            <w:pPr>
              <w:spacing w:line="240" w:lineRule="auto"/>
              <w:ind w:firstLine="0" w:firstLineChars="0"/>
              <w:rPr>
                <w:sz w:val="21"/>
                <w:szCs w:val="21"/>
              </w:rPr>
            </w:pPr>
            <w:r>
              <w:rPr>
                <w:sz w:val="21"/>
                <w:szCs w:val="21"/>
              </w:rPr>
              <w:t>露天开采采用边剥离边复垦，台阶式从上往下开采，最大限度进行复垦。规范采场作业，终了平台覆土植绿，坡面复绿。</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矿区应设置车辆专用停放场所，做好车辆保洁。车辆驶离矿区应当冲洗，宜采用厢式密闭或有效遮盖，做到车辆不带泥上路、途中物料不洒落，保持矿区及周边环境卫生。</w:t>
            </w:r>
          </w:p>
        </w:tc>
        <w:tc>
          <w:tcPr>
            <w:tcW w:w="1860" w:type="pct"/>
            <w:vAlign w:val="center"/>
          </w:tcPr>
          <w:p>
            <w:pPr>
              <w:spacing w:line="240" w:lineRule="auto"/>
              <w:ind w:firstLine="0" w:firstLineChars="0"/>
              <w:rPr>
                <w:sz w:val="21"/>
                <w:szCs w:val="21"/>
              </w:rPr>
            </w:pPr>
            <w:r>
              <w:rPr>
                <w:sz w:val="21"/>
                <w:szCs w:val="21"/>
              </w:rPr>
              <w:t>设置停车场，每日进行保洁工作；车辆出厂进行冲洗，设置有清洗池，不带泥上路作业、不洒落。</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3"/>
            <w:vAlign w:val="center"/>
          </w:tcPr>
          <w:p>
            <w:pPr>
              <w:spacing w:line="240" w:lineRule="auto"/>
              <w:ind w:firstLine="0" w:firstLineChars="0"/>
              <w:jc w:val="center"/>
              <w:rPr>
                <w:sz w:val="21"/>
                <w:szCs w:val="21"/>
              </w:rPr>
            </w:pPr>
            <w:r>
              <w:rPr>
                <w:sz w:val="21"/>
                <w:szCs w:val="21"/>
              </w:rPr>
              <w:t>矿区绿化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矿区绿化覆盖率应达到100%。绿化树草布局科学、搭配合理、长势良好。矿区范围入口、临近公路等可视范围区域应进行景观式美化。</w:t>
            </w:r>
          </w:p>
        </w:tc>
        <w:tc>
          <w:tcPr>
            <w:tcW w:w="1860" w:type="pct"/>
            <w:vAlign w:val="center"/>
          </w:tcPr>
          <w:p>
            <w:pPr>
              <w:spacing w:line="240" w:lineRule="auto"/>
              <w:ind w:firstLine="0" w:firstLineChars="0"/>
              <w:rPr>
                <w:sz w:val="21"/>
                <w:szCs w:val="21"/>
              </w:rPr>
            </w:pPr>
            <w:r>
              <w:rPr>
                <w:sz w:val="21"/>
                <w:szCs w:val="21"/>
              </w:rPr>
              <w:t>矿区绿化覆盖率达到100%，布局科学颗粒，矿区入口、临近公路等进行景观式美化。</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矿区工业广场、运输道路以及露天开采矿山矿区范围边界等应植树种草、形成绿化隔离带，并加强绿植养护、保持绿植树叶干净，构建防尘、滞尘绿色屏障。</w:t>
            </w:r>
          </w:p>
        </w:tc>
        <w:tc>
          <w:tcPr>
            <w:tcW w:w="1860" w:type="pct"/>
            <w:vAlign w:val="center"/>
          </w:tcPr>
          <w:p>
            <w:pPr>
              <w:spacing w:line="240" w:lineRule="auto"/>
              <w:ind w:firstLine="0" w:firstLineChars="0"/>
              <w:rPr>
                <w:sz w:val="21"/>
                <w:szCs w:val="21"/>
              </w:rPr>
            </w:pPr>
            <w:r>
              <w:rPr>
                <w:sz w:val="21"/>
                <w:szCs w:val="21"/>
              </w:rPr>
              <w:t>矿山边界植树种草、形成绿化带，并定期对绿植洒水、养护，构件防尘屏障。</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vAlign w:val="center"/>
          </w:tcPr>
          <w:p>
            <w:pPr>
              <w:spacing w:line="240" w:lineRule="auto"/>
              <w:ind w:firstLine="0" w:firstLineChars="0"/>
              <w:jc w:val="center"/>
              <w:rPr>
                <w:b/>
                <w:sz w:val="21"/>
                <w:szCs w:val="21"/>
              </w:rPr>
            </w:pPr>
            <w:r>
              <w:rPr>
                <w:b/>
                <w:sz w:val="21"/>
                <w:szCs w:val="21"/>
              </w:rPr>
              <w:t>环境保护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59" w:type="pct"/>
            <w:vAlign w:val="center"/>
          </w:tcPr>
          <w:p>
            <w:pPr>
              <w:spacing w:line="240" w:lineRule="auto"/>
              <w:ind w:firstLine="0" w:firstLineChars="0"/>
              <w:rPr>
                <w:sz w:val="21"/>
                <w:szCs w:val="21"/>
              </w:rPr>
            </w:pPr>
            <w:r>
              <w:rPr>
                <w:sz w:val="21"/>
                <w:szCs w:val="21"/>
              </w:rPr>
              <w:t>矿山环境保护设施应与主体工程同时设计、同时施工、同时投产使用。新建、改扩建矿山环境保护设施应通过竣工验收。生产矿山环境保护设施应通过竣工验收，并保持正常运行。</w:t>
            </w:r>
          </w:p>
        </w:tc>
        <w:tc>
          <w:tcPr>
            <w:tcW w:w="1860" w:type="pct"/>
            <w:vAlign w:val="center"/>
          </w:tcPr>
          <w:p>
            <w:pPr>
              <w:spacing w:line="240" w:lineRule="auto"/>
              <w:ind w:firstLine="0" w:firstLineChars="0"/>
              <w:rPr>
                <w:sz w:val="21"/>
                <w:szCs w:val="21"/>
              </w:rPr>
            </w:pPr>
            <w:r>
              <w:rPr>
                <w:sz w:val="21"/>
                <w:szCs w:val="21"/>
              </w:rPr>
              <w:t>矿山环境保护三同时，后期按照要求进行验收。</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矿山应按照大气污染防治法、水污染防治法、环境噪声污染防治法等法律法规要求，采取有效防治措施，确保大气水、噪声等污染物达标排放。</w:t>
            </w:r>
          </w:p>
        </w:tc>
        <w:tc>
          <w:tcPr>
            <w:tcW w:w="1860" w:type="pct"/>
            <w:vAlign w:val="center"/>
          </w:tcPr>
          <w:p>
            <w:pPr>
              <w:spacing w:line="240" w:lineRule="auto"/>
              <w:ind w:firstLine="0" w:firstLineChars="0"/>
              <w:rPr>
                <w:sz w:val="21"/>
                <w:szCs w:val="21"/>
              </w:rPr>
            </w:pPr>
            <w:r>
              <w:rPr>
                <w:sz w:val="21"/>
                <w:szCs w:val="21"/>
              </w:rPr>
              <w:t>本项目按照相关法律法规、技术要求采取有效的防治措施，确保污染物达标排放。</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矿山应按照生态环境保护法律法规要求，落实物料堆场“三防”措施，即防扬散、防流失、防渗漏。</w:t>
            </w:r>
          </w:p>
        </w:tc>
        <w:tc>
          <w:tcPr>
            <w:tcW w:w="1860" w:type="pct"/>
            <w:vAlign w:val="center"/>
          </w:tcPr>
          <w:p>
            <w:pPr>
              <w:spacing w:line="240" w:lineRule="auto"/>
              <w:ind w:firstLine="0" w:firstLineChars="0"/>
              <w:rPr>
                <w:sz w:val="21"/>
                <w:szCs w:val="21"/>
              </w:rPr>
            </w:pPr>
            <w:r>
              <w:rPr>
                <w:sz w:val="21"/>
                <w:szCs w:val="21"/>
              </w:rPr>
              <w:t>矿山物料堆场严格落实“三防”措施。</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矿山弃土、废石、废渣等固体废物不得依山依沟倾倒、破坏植被，应有专用堆积场所。堆积场所建设、运行和管理符合 GB18599 的规定。</w:t>
            </w:r>
          </w:p>
        </w:tc>
        <w:tc>
          <w:tcPr>
            <w:tcW w:w="1860" w:type="pct"/>
            <w:vAlign w:val="center"/>
          </w:tcPr>
          <w:p>
            <w:pPr>
              <w:spacing w:line="240" w:lineRule="auto"/>
              <w:ind w:firstLine="0" w:firstLineChars="0"/>
              <w:rPr>
                <w:sz w:val="21"/>
                <w:szCs w:val="21"/>
              </w:rPr>
            </w:pPr>
            <w:r>
              <w:rPr>
                <w:sz w:val="21"/>
                <w:szCs w:val="21"/>
              </w:rPr>
              <w:t>矿山设置有临时堆场，用于堆放矿石、弃土、废石等。</w:t>
            </w:r>
          </w:p>
        </w:tc>
        <w:tc>
          <w:tcPr>
            <w:tcW w:w="581"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000" w:type="pct"/>
            <w:gridSpan w:val="3"/>
            <w:vAlign w:val="center"/>
          </w:tcPr>
          <w:p>
            <w:pPr>
              <w:spacing w:line="240" w:lineRule="auto"/>
              <w:ind w:firstLine="0" w:firstLineChars="0"/>
              <w:jc w:val="center"/>
              <w:rPr>
                <w:b/>
                <w:sz w:val="21"/>
                <w:szCs w:val="21"/>
              </w:rPr>
            </w:pPr>
            <w:r>
              <w:rPr>
                <w:b/>
                <w:sz w:val="21"/>
                <w:szCs w:val="21"/>
              </w:rPr>
              <w:t>安全生产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9" w:type="pct"/>
            <w:vAlign w:val="center"/>
          </w:tcPr>
          <w:p>
            <w:pPr>
              <w:spacing w:line="240" w:lineRule="auto"/>
              <w:ind w:firstLine="0" w:firstLineChars="0"/>
              <w:rPr>
                <w:sz w:val="21"/>
                <w:szCs w:val="21"/>
              </w:rPr>
            </w:pPr>
            <w:r>
              <w:rPr>
                <w:sz w:val="21"/>
                <w:szCs w:val="21"/>
              </w:rPr>
              <w:t>[砂石土矿]砂石土矿露天开采矿山应实行自上而下台阶式或分层开采。台阶式开采生产与终了边坡主要参数（台阶数量、高度、平台宽度及坡面角）、分层开采主要参数 （分层高度、最大开采高度、分层数、最终边坡角、凿岩平台宽度、底部装运平台宽度）应符合矿山开采设计、开发利用方案要求砂石土矿地下开采矿山采矿方法应符合开采设计、开发利用方案的要求； 采用房柱式开采的，房柱的留设应安全规范。</w:t>
            </w:r>
          </w:p>
        </w:tc>
        <w:tc>
          <w:tcPr>
            <w:tcW w:w="1860" w:type="pct"/>
            <w:vAlign w:val="center"/>
          </w:tcPr>
          <w:p>
            <w:pPr>
              <w:spacing w:line="240" w:lineRule="auto"/>
              <w:ind w:firstLine="0" w:firstLineChars="0"/>
              <w:rPr>
                <w:sz w:val="21"/>
                <w:szCs w:val="21"/>
              </w:rPr>
            </w:pPr>
            <w:r>
              <w:rPr>
                <w:sz w:val="21"/>
                <w:szCs w:val="21"/>
              </w:rPr>
              <w:t>本项目试行自上而下台阶式开采，已开展矿山设计、开发利用方案，严格按照设计、方案进行开采与终了。</w:t>
            </w:r>
          </w:p>
        </w:tc>
        <w:tc>
          <w:tcPr>
            <w:tcW w:w="581" w:type="pct"/>
            <w:vAlign w:val="center"/>
          </w:tcPr>
          <w:p>
            <w:pPr>
              <w:spacing w:line="240" w:lineRule="auto"/>
              <w:ind w:firstLine="0" w:firstLineChars="0"/>
              <w:rPr>
                <w:sz w:val="21"/>
                <w:szCs w:val="21"/>
              </w:rPr>
            </w:pPr>
            <w:r>
              <w:rPr>
                <w:sz w:val="21"/>
                <w:szCs w:val="21"/>
              </w:rPr>
              <w:t>符合</w:t>
            </w:r>
          </w:p>
        </w:tc>
      </w:tr>
    </w:tbl>
    <w:p>
      <w:pPr>
        <w:pStyle w:val="4"/>
      </w:pPr>
      <w:bookmarkStart w:id="115" w:name="_Toc161676092"/>
      <w:r>
        <w:t>1.10规划符合性分析</w:t>
      </w:r>
      <w:bookmarkEnd w:id="115"/>
    </w:p>
    <w:p>
      <w:pPr>
        <w:pStyle w:val="5"/>
        <w:rPr>
          <w:color w:val="auto"/>
        </w:rPr>
      </w:pPr>
      <w:r>
        <w:rPr>
          <w:color w:val="auto"/>
        </w:rPr>
        <w:t>1.10.1与《重庆市矿产资源总体规划（2021-2025年）》符合性分析</w:t>
      </w:r>
    </w:p>
    <w:p>
      <w:pPr>
        <w:pStyle w:val="222"/>
      </w:pPr>
      <w:r>
        <w:t>根据《重庆市矿产资源总体规划（2021-2025年）》中“五、矿产资源开发利用与保护中明确提出提高普通建筑用砂石土开发利用水平，统筹划定27个建筑石料用灰岩集中开采区，集中开采区内采矿权总数控制在160个左右，产能17500万吨/年，就近保障城市建设和重大基础设施建设的砂石资源需求，承担区域联动促进供需平衡的调节器和稳定器作用。集中开采区外设置大型骨干矿山40个左右，产能5500万吨/年，重点承担区域中心城市建设的砂石资源需求，兼顾供需平衡调配保障功能。</w:t>
      </w:r>
    </w:p>
    <w:p>
      <w:pPr>
        <w:pStyle w:val="222"/>
      </w:pPr>
      <w:r>
        <w:t>为加快建设绿色矿山建设，坚持从理念、制度、技术、监管等方面推动资源绿色开采，将绿色发展理念贯穿于矿产资源利用与保护全过程，引导和督促企业采用环境友好、资源利用效率高、能耗低、排放少的开采方式、工艺和设备，将资源开发对矿区及周边生态环境扰动控制在最小范围，努力构建科技含量高、资源消耗低、环境污染少的绿色发展模式。新建矿山按照绿色矿山建设标准进行规划、设计、建设和运营管理，生产矿山加快升级改造、逐步达标。</w:t>
      </w:r>
    </w:p>
    <w:p>
      <w:pPr>
        <w:pStyle w:val="222"/>
      </w:pPr>
      <w:r>
        <w:t>健全完善绿色矿山建设长效机制，在矿业权出让、延续登记时，明确矿业权人落实绿色开采的要求。依法依规落实绿色矿山建设支持政策，在资源配置、矿业用地用林用草等方面优先支持。对达不到绿色矿山建设标准的，按照规定在用矿用地政策方面予以限制。巩固夯实区县属地组织领导、部门协同监管、矿山企业主体的绿色矿山建设推进体系，全面落实矿产资源开发利用和生态修复、污染防治、安全生产、</w:t>
      </w:r>
      <w:r>
        <w:rPr>
          <w:rFonts w:hint="eastAsia"/>
          <w:lang w:eastAsia="zh-CN"/>
        </w:rPr>
        <w:t>水土保持</w:t>
      </w:r>
      <w:r>
        <w:t>、林地保护法定要求，建设矿区环境生态化、开采方式科学化、资源利用高效化、企业管理规范化、矿区社区和谐化的现代化矿山，打造展示矿业良好形象的窗口。</w:t>
      </w:r>
    </w:p>
    <w:p>
      <w:pPr>
        <w:pStyle w:val="222"/>
      </w:pPr>
      <w:r>
        <w:t>本项目位于合川盐井街道，开采规模为100万t/a，因此开采规模符合《重庆市矿产资源总体规划（2021-2025年）》。</w:t>
      </w:r>
    </w:p>
    <w:p>
      <w:pPr>
        <w:pStyle w:val="5"/>
        <w:rPr>
          <w:color w:val="auto"/>
        </w:rPr>
      </w:pPr>
      <w:r>
        <w:rPr>
          <w:color w:val="auto"/>
        </w:rPr>
        <w:t>1.10.2与《重庆市矿产资源总体规划（2021-2025年）》环境影响评价报告书及审查意见函（环审〔2022〕64号）的符合性分析</w:t>
      </w:r>
    </w:p>
    <w:p>
      <w:pPr>
        <w:pStyle w:val="222"/>
      </w:pPr>
      <w:bookmarkStart w:id="116" w:name="_Hlk515004999"/>
      <w:r>
        <w:t>根据《重庆市矿产资源总体规划（2021-2025年）环境影响报告书》以生态优先、绿色发展理念为指导，着力统筹矿产资源开发与生态环境保护；提出严格产业准入，合理控制矿山开采种类和规模。</w:t>
      </w:r>
    </w:p>
    <w:p>
      <w:pPr>
        <w:pStyle w:val="222"/>
      </w:pPr>
      <w:r>
        <w:t>《重庆市矿产资源总体规划（2021-2025年）环境影响报告书》提出全市矿山总数控制在1000个左右、45种重点矿种矿山最低开采规模准入要求、大中型矿山比例达到60%等要求，进一步整合普通建筑用砂石土、毒重石、锶等小型矿山，加大低效产能压减、无效产能腾退力度，逐步关闭退出安全隐患突出、生态环境问题明显、违法违规问题多的“小弱散”矿山和未达到最低生产规模的矿山。禁止开发汞、砖瓦用粘土及其他对生态环境可能产生严重破坏且难以恢复的矿产，限制开发耐火粘土、高岭石粘土、硫铁矿、煤、锰等矿产。</w:t>
      </w:r>
    </w:p>
    <w:p>
      <w:pPr>
        <w:pStyle w:val="222"/>
      </w:pPr>
      <w:r>
        <w:t>按照重庆市生态环境分区管控方案、生态环境保护规划等要求，与一般生态空间存在冲突的已设探矿权保留区块、空白区新设勘查区块、已设采矿权调整区块、探转采区块和空白区新设开采区块，应按照一般生态空间管控要求，严格控制勘查、开采活动范围和强度，严格落实绿色勘查、绿色开采及矿山环境保护、生态修复相关要求，确保生态系统结构稳定和生态功能不退化。严格控制涉及生物多样性保护优先区域、国家重点生态功能区、水土流失重点防治区等具有重要生态功能的区域矿产开采活动，并采取严格有针对性的保护措施，防止对区域生态功能产生不良环境影响。</w:t>
      </w:r>
    </w:p>
    <w:p>
      <w:pPr>
        <w:pStyle w:val="222"/>
      </w:pPr>
      <w:r>
        <w:t>本项目属于“合川盐井集中开采区”，本项目与规划环评环境管控要求的符合性分析见下表。</w:t>
      </w:r>
    </w:p>
    <w:p>
      <w:pPr>
        <w:pStyle w:val="84"/>
      </w:pPr>
      <w:r>
        <w:t>表1.10-1  本项目与规划环评环境管控要求的符合性分析</w:t>
      </w:r>
    </w:p>
    <w:tbl>
      <w:tblPr>
        <w:tblStyle w:val="89"/>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4"/>
        <w:gridCol w:w="943"/>
        <w:gridCol w:w="2570"/>
        <w:gridCol w:w="2761"/>
        <w:gridCol w:w="1506"/>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gridSpan w:val="2"/>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分类</w:t>
            </w:r>
          </w:p>
        </w:tc>
        <w:tc>
          <w:tcPr>
            <w:tcW w:w="5343" w:type="dxa"/>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管控要求</w:t>
            </w:r>
          </w:p>
        </w:tc>
        <w:tc>
          <w:tcPr>
            <w:tcW w:w="1506" w:type="dxa"/>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705" w:type="dxa"/>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gridSpan w:val="2"/>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575"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禁止类</w:t>
            </w:r>
          </w:p>
        </w:tc>
        <w:tc>
          <w:tcPr>
            <w:tcW w:w="2768"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限制类</w:t>
            </w:r>
          </w:p>
        </w:tc>
        <w:tc>
          <w:tcPr>
            <w:tcW w:w="1506" w:type="dxa"/>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705" w:type="dxa"/>
            <w:vMerge w:val="continue"/>
            <w:shd w:val="clear" w:color="auto" w:fill="D8D8D8" w:themeFill="background1" w:themeFillShade="D9"/>
            <w:vAlign w:val="center"/>
          </w:tcPr>
          <w:p>
            <w:pPr>
              <w:spacing w:line="240" w:lineRule="auto"/>
              <w:ind w:firstLine="0" w:firstLineChars="0"/>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restart"/>
            <w:vAlign w:val="center"/>
          </w:tcPr>
          <w:p>
            <w:pPr>
              <w:spacing w:line="240" w:lineRule="auto"/>
              <w:ind w:firstLine="0" w:firstLineChars="0"/>
              <w:rPr>
                <w:sz w:val="21"/>
                <w:szCs w:val="21"/>
              </w:rPr>
            </w:pPr>
            <w:r>
              <w:rPr>
                <w:sz w:val="21"/>
                <w:szCs w:val="21"/>
              </w:rPr>
              <w:t>空间布局约束</w:t>
            </w:r>
          </w:p>
        </w:tc>
        <w:tc>
          <w:tcPr>
            <w:tcW w:w="941" w:type="dxa"/>
            <w:vAlign w:val="center"/>
          </w:tcPr>
          <w:p>
            <w:pPr>
              <w:spacing w:line="240" w:lineRule="auto"/>
              <w:ind w:firstLine="0" w:firstLineChars="0"/>
              <w:rPr>
                <w:sz w:val="21"/>
                <w:szCs w:val="21"/>
              </w:rPr>
            </w:pPr>
            <w:r>
              <w:rPr>
                <w:sz w:val="21"/>
                <w:szCs w:val="21"/>
              </w:rPr>
              <w:t>生态保护红线</w:t>
            </w:r>
          </w:p>
        </w:tc>
        <w:tc>
          <w:tcPr>
            <w:tcW w:w="2575" w:type="dxa"/>
            <w:vAlign w:val="center"/>
          </w:tcPr>
          <w:p>
            <w:pPr>
              <w:spacing w:line="240" w:lineRule="auto"/>
              <w:ind w:firstLine="0" w:firstLineChars="0"/>
              <w:jc w:val="both"/>
              <w:rPr>
                <w:sz w:val="21"/>
                <w:szCs w:val="21"/>
              </w:rPr>
            </w:pPr>
            <w:r>
              <w:rPr>
                <w:sz w:val="21"/>
                <w:szCs w:val="21"/>
              </w:rPr>
              <w:t>生态保护红线内，自然保护地核心保护区原则上禁止人为活动，其他区域严格禁止开发性、生产性建设活动。</w:t>
            </w:r>
          </w:p>
        </w:tc>
        <w:tc>
          <w:tcPr>
            <w:tcW w:w="2768" w:type="dxa"/>
            <w:vAlign w:val="center"/>
          </w:tcPr>
          <w:p>
            <w:pPr>
              <w:spacing w:line="240" w:lineRule="auto"/>
              <w:ind w:firstLine="0" w:firstLineChars="0"/>
              <w:jc w:val="both"/>
              <w:rPr>
                <w:sz w:val="21"/>
                <w:szCs w:val="21"/>
              </w:rPr>
            </w:pPr>
            <w:r>
              <w:rPr>
                <w:sz w:val="21"/>
                <w:szCs w:val="21"/>
              </w:rPr>
              <w:t>在符合现行法律法规前提下，允许因国家重大能源资源安全需要开展的战略性能源资源勘查，公益性自然资源调查和地质勘查。</w:t>
            </w:r>
          </w:p>
        </w:tc>
        <w:tc>
          <w:tcPr>
            <w:tcW w:w="1506" w:type="dxa"/>
            <w:vAlign w:val="center"/>
          </w:tcPr>
          <w:p>
            <w:pPr>
              <w:spacing w:line="240" w:lineRule="auto"/>
              <w:ind w:firstLine="0" w:firstLineChars="0"/>
              <w:jc w:val="both"/>
              <w:rPr>
                <w:sz w:val="21"/>
                <w:szCs w:val="21"/>
              </w:rPr>
            </w:pPr>
            <w:r>
              <w:rPr>
                <w:sz w:val="21"/>
                <w:szCs w:val="21"/>
              </w:rPr>
              <w:t>本项目占地范围不涉及生态红线。</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一般生态空间</w:t>
            </w:r>
          </w:p>
        </w:tc>
        <w:tc>
          <w:tcPr>
            <w:tcW w:w="2575" w:type="dxa"/>
            <w:vAlign w:val="center"/>
          </w:tcPr>
          <w:p>
            <w:pPr>
              <w:spacing w:line="240" w:lineRule="auto"/>
              <w:ind w:firstLine="0" w:firstLineChars="0"/>
              <w:jc w:val="both"/>
              <w:rPr>
                <w:sz w:val="21"/>
                <w:szCs w:val="21"/>
              </w:rPr>
            </w:pPr>
            <w:r>
              <w:rPr>
                <w:sz w:val="21"/>
                <w:szCs w:val="21"/>
              </w:rPr>
              <w:t>/</w:t>
            </w:r>
          </w:p>
        </w:tc>
        <w:tc>
          <w:tcPr>
            <w:tcW w:w="2768" w:type="dxa"/>
            <w:vAlign w:val="center"/>
          </w:tcPr>
          <w:p>
            <w:pPr>
              <w:spacing w:line="240" w:lineRule="auto"/>
              <w:ind w:firstLine="0" w:firstLineChars="0"/>
              <w:jc w:val="both"/>
              <w:rPr>
                <w:sz w:val="21"/>
                <w:szCs w:val="21"/>
              </w:rPr>
            </w:pPr>
            <w:r>
              <w:rPr>
                <w:sz w:val="21"/>
                <w:szCs w:val="21"/>
              </w:rPr>
              <w:t>严格控制新增建设占用生态保护红线外的生态空间。涉及”三线一单”一般生态空间类优先保护单元的矿业权，矿产开发活动应严格控制矿业活动范围和强度，保证其结构和主要功能不受破坏。</w:t>
            </w:r>
          </w:p>
        </w:tc>
        <w:tc>
          <w:tcPr>
            <w:tcW w:w="1506" w:type="dxa"/>
            <w:vAlign w:val="center"/>
          </w:tcPr>
          <w:p>
            <w:pPr>
              <w:spacing w:line="240" w:lineRule="auto"/>
              <w:ind w:firstLine="0" w:firstLineChars="0"/>
              <w:jc w:val="both"/>
              <w:rPr>
                <w:sz w:val="21"/>
                <w:szCs w:val="21"/>
              </w:rPr>
            </w:pPr>
            <w:r>
              <w:rPr>
                <w:sz w:val="21"/>
                <w:szCs w:val="21"/>
              </w:rPr>
              <w:t>本项目占地范围不涉及生态红线、一般生态空间类优先保护单元。</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自然保护区</w:t>
            </w:r>
          </w:p>
        </w:tc>
        <w:tc>
          <w:tcPr>
            <w:tcW w:w="2575" w:type="dxa"/>
            <w:vAlign w:val="center"/>
          </w:tcPr>
          <w:p>
            <w:pPr>
              <w:spacing w:line="240" w:lineRule="auto"/>
              <w:ind w:firstLine="0" w:firstLineChars="0"/>
              <w:jc w:val="both"/>
              <w:rPr>
                <w:sz w:val="21"/>
                <w:szCs w:val="21"/>
              </w:rPr>
            </w:pPr>
            <w:r>
              <w:rPr>
                <w:sz w:val="21"/>
                <w:szCs w:val="21"/>
              </w:rPr>
              <w:t>禁止在自然保护区内进行开矿、采石、挖沙等活动；但是，法律、行政法规另有规定的除外。</w:t>
            </w:r>
          </w:p>
        </w:tc>
        <w:tc>
          <w:tcPr>
            <w:tcW w:w="2768" w:type="dxa"/>
            <w:vAlign w:val="center"/>
          </w:tcPr>
          <w:p>
            <w:pPr>
              <w:spacing w:line="240" w:lineRule="auto"/>
              <w:ind w:firstLine="0" w:firstLineChars="0"/>
              <w:jc w:val="both"/>
              <w:rPr>
                <w:sz w:val="21"/>
                <w:szCs w:val="21"/>
              </w:rPr>
            </w:pPr>
            <w:r>
              <w:rPr>
                <w:sz w:val="21"/>
                <w:szCs w:val="21"/>
              </w:rPr>
              <w:t>/</w:t>
            </w:r>
          </w:p>
        </w:tc>
        <w:tc>
          <w:tcPr>
            <w:tcW w:w="1506" w:type="dxa"/>
            <w:vAlign w:val="center"/>
          </w:tcPr>
          <w:p>
            <w:pPr>
              <w:spacing w:line="240" w:lineRule="auto"/>
              <w:ind w:firstLine="0" w:firstLineChars="0"/>
              <w:jc w:val="both"/>
              <w:rPr>
                <w:sz w:val="21"/>
                <w:szCs w:val="21"/>
              </w:rPr>
            </w:pPr>
            <w:r>
              <w:rPr>
                <w:sz w:val="21"/>
                <w:szCs w:val="21"/>
              </w:rPr>
              <w:t>本项目不涉及自然保护区。</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自然遗产地/地质公园</w:t>
            </w:r>
          </w:p>
        </w:tc>
        <w:tc>
          <w:tcPr>
            <w:tcW w:w="2575" w:type="dxa"/>
            <w:vAlign w:val="center"/>
          </w:tcPr>
          <w:p>
            <w:pPr>
              <w:spacing w:line="240" w:lineRule="auto"/>
              <w:ind w:firstLine="0" w:firstLineChars="0"/>
              <w:jc w:val="both"/>
              <w:rPr>
                <w:sz w:val="21"/>
                <w:szCs w:val="21"/>
              </w:rPr>
            </w:pPr>
            <w:r>
              <w:rPr>
                <w:sz w:val="21"/>
                <w:szCs w:val="21"/>
              </w:rPr>
              <w:t>在遗产保护范围内，禁止下列行为：开山、采石、采矿、采砂等破坏景观、植被和地形地貌的活动。</w:t>
            </w:r>
          </w:p>
        </w:tc>
        <w:tc>
          <w:tcPr>
            <w:tcW w:w="2768" w:type="dxa"/>
            <w:vAlign w:val="center"/>
          </w:tcPr>
          <w:p>
            <w:pPr>
              <w:spacing w:line="240" w:lineRule="auto"/>
              <w:ind w:firstLine="0" w:firstLineChars="0"/>
              <w:jc w:val="both"/>
              <w:rPr>
                <w:sz w:val="21"/>
                <w:szCs w:val="21"/>
              </w:rPr>
            </w:pPr>
            <w:r>
              <w:rPr>
                <w:sz w:val="21"/>
                <w:szCs w:val="21"/>
              </w:rPr>
              <w:t>缓冲区范围应划入限制建设区域，严格控制各类景观游赏及旅游服务设施建设活动。</w:t>
            </w:r>
          </w:p>
        </w:tc>
        <w:tc>
          <w:tcPr>
            <w:tcW w:w="1506" w:type="dxa"/>
            <w:vAlign w:val="center"/>
          </w:tcPr>
          <w:p>
            <w:pPr>
              <w:spacing w:line="240" w:lineRule="auto"/>
              <w:ind w:firstLine="0" w:firstLineChars="0"/>
              <w:jc w:val="both"/>
              <w:rPr>
                <w:sz w:val="21"/>
                <w:szCs w:val="21"/>
              </w:rPr>
            </w:pPr>
            <w:r>
              <w:rPr>
                <w:sz w:val="21"/>
                <w:szCs w:val="21"/>
              </w:rPr>
              <w:t>本项目不涉及遗产保护范围及缓冲区范围内。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风景名胜区</w:t>
            </w:r>
          </w:p>
        </w:tc>
        <w:tc>
          <w:tcPr>
            <w:tcW w:w="2575" w:type="dxa"/>
            <w:vAlign w:val="center"/>
          </w:tcPr>
          <w:p>
            <w:pPr>
              <w:spacing w:line="240" w:lineRule="auto"/>
              <w:ind w:firstLine="0" w:firstLineChars="0"/>
              <w:jc w:val="both"/>
              <w:rPr>
                <w:sz w:val="21"/>
                <w:szCs w:val="21"/>
              </w:rPr>
            </w:pPr>
            <w:r>
              <w:rPr>
                <w:sz w:val="21"/>
                <w:szCs w:val="21"/>
              </w:rPr>
              <w:t>禁止在风景名胜区内开山、采石、开矿、开荒、修坟立碑等破坏景观、植被和地形地貌的活动。</w:t>
            </w:r>
          </w:p>
        </w:tc>
        <w:tc>
          <w:tcPr>
            <w:tcW w:w="2768" w:type="dxa"/>
            <w:vAlign w:val="center"/>
          </w:tcPr>
          <w:p>
            <w:pPr>
              <w:spacing w:line="240" w:lineRule="auto"/>
              <w:ind w:firstLine="0" w:firstLineChars="0"/>
              <w:jc w:val="both"/>
              <w:rPr>
                <w:sz w:val="21"/>
                <w:szCs w:val="21"/>
              </w:rPr>
            </w:pPr>
            <w:r>
              <w:rPr>
                <w:sz w:val="21"/>
                <w:szCs w:val="21"/>
              </w:rPr>
              <w:t>/</w:t>
            </w:r>
          </w:p>
        </w:tc>
        <w:tc>
          <w:tcPr>
            <w:tcW w:w="1506" w:type="dxa"/>
            <w:vAlign w:val="center"/>
          </w:tcPr>
          <w:p>
            <w:pPr>
              <w:spacing w:line="240" w:lineRule="auto"/>
              <w:ind w:firstLine="0" w:firstLineChars="0"/>
              <w:jc w:val="both"/>
              <w:rPr>
                <w:sz w:val="21"/>
                <w:szCs w:val="21"/>
              </w:rPr>
            </w:pPr>
            <w:r>
              <w:rPr>
                <w:sz w:val="21"/>
                <w:szCs w:val="21"/>
              </w:rPr>
              <w:t>本项目不涉及风景名胜区内。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森林公园</w:t>
            </w:r>
          </w:p>
        </w:tc>
        <w:tc>
          <w:tcPr>
            <w:tcW w:w="2575" w:type="dxa"/>
            <w:vAlign w:val="center"/>
          </w:tcPr>
          <w:p>
            <w:pPr>
              <w:spacing w:line="240" w:lineRule="auto"/>
              <w:ind w:firstLine="0" w:firstLineChars="0"/>
              <w:jc w:val="both"/>
              <w:rPr>
                <w:sz w:val="21"/>
                <w:szCs w:val="21"/>
              </w:rPr>
            </w:pPr>
            <w:r>
              <w:rPr>
                <w:sz w:val="21"/>
                <w:szCs w:val="21"/>
              </w:rPr>
              <w:t>禁止在森林公园内从事毁林开垦、开矿、采石、取土等破坏森林景观和非法侵占林地的活动。</w:t>
            </w:r>
          </w:p>
        </w:tc>
        <w:tc>
          <w:tcPr>
            <w:tcW w:w="2768" w:type="dxa"/>
            <w:vAlign w:val="center"/>
          </w:tcPr>
          <w:p>
            <w:pPr>
              <w:spacing w:line="240" w:lineRule="auto"/>
              <w:ind w:firstLine="0" w:firstLineChars="0"/>
              <w:jc w:val="both"/>
              <w:rPr>
                <w:sz w:val="21"/>
                <w:szCs w:val="21"/>
              </w:rPr>
            </w:pPr>
            <w:r>
              <w:rPr>
                <w:sz w:val="21"/>
                <w:szCs w:val="21"/>
              </w:rPr>
              <w:t>建设项目可能对森林公园景观和生态造成较大影响或者导致森林风景资源质量明显降低的，应当在取得国家级森林公园撤销或者改变经营范围的行政许可后，依法办理林地占用、征收审核审批手续。</w:t>
            </w:r>
          </w:p>
        </w:tc>
        <w:tc>
          <w:tcPr>
            <w:tcW w:w="1506" w:type="dxa"/>
            <w:vAlign w:val="center"/>
          </w:tcPr>
          <w:p>
            <w:pPr>
              <w:spacing w:line="240" w:lineRule="auto"/>
              <w:ind w:firstLine="0" w:firstLineChars="0"/>
              <w:jc w:val="both"/>
              <w:rPr>
                <w:sz w:val="21"/>
                <w:szCs w:val="21"/>
              </w:rPr>
            </w:pPr>
            <w:r>
              <w:rPr>
                <w:sz w:val="21"/>
                <w:szCs w:val="21"/>
              </w:rPr>
              <w:t>本项目占地范围不涉及九峰山森林公园内。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湿地公园</w:t>
            </w:r>
          </w:p>
        </w:tc>
        <w:tc>
          <w:tcPr>
            <w:tcW w:w="2575" w:type="dxa"/>
            <w:vAlign w:val="center"/>
          </w:tcPr>
          <w:p>
            <w:pPr>
              <w:spacing w:line="240" w:lineRule="auto"/>
              <w:ind w:firstLine="0" w:firstLineChars="0"/>
              <w:jc w:val="both"/>
              <w:rPr>
                <w:sz w:val="21"/>
                <w:szCs w:val="21"/>
              </w:rPr>
            </w:pPr>
            <w:r>
              <w:rPr>
                <w:sz w:val="21"/>
                <w:szCs w:val="21"/>
              </w:rPr>
              <w:t>除法律法规有特别规定的以外，禁止在湿地公园范围内从事下列活动：开矿、采石、取土、修坟。</w:t>
            </w:r>
          </w:p>
        </w:tc>
        <w:tc>
          <w:tcPr>
            <w:tcW w:w="2768" w:type="dxa"/>
            <w:vAlign w:val="center"/>
          </w:tcPr>
          <w:p>
            <w:pPr>
              <w:spacing w:line="240" w:lineRule="auto"/>
              <w:ind w:firstLine="0" w:firstLineChars="0"/>
              <w:jc w:val="both"/>
              <w:rPr>
                <w:sz w:val="21"/>
                <w:szCs w:val="21"/>
              </w:rPr>
            </w:pPr>
            <w:r>
              <w:rPr>
                <w:sz w:val="21"/>
                <w:szCs w:val="21"/>
              </w:rPr>
              <w:t>/</w:t>
            </w:r>
          </w:p>
        </w:tc>
        <w:tc>
          <w:tcPr>
            <w:tcW w:w="1506" w:type="dxa"/>
            <w:vAlign w:val="center"/>
          </w:tcPr>
          <w:p>
            <w:pPr>
              <w:spacing w:line="240" w:lineRule="auto"/>
              <w:ind w:firstLine="0" w:firstLineChars="0"/>
              <w:jc w:val="both"/>
              <w:rPr>
                <w:sz w:val="21"/>
                <w:szCs w:val="21"/>
              </w:rPr>
            </w:pPr>
            <w:r>
              <w:rPr>
                <w:sz w:val="21"/>
                <w:szCs w:val="21"/>
              </w:rPr>
              <w:t>本项目不涉及湿地公园范围内。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国家公益林</w:t>
            </w:r>
          </w:p>
        </w:tc>
        <w:tc>
          <w:tcPr>
            <w:tcW w:w="2575" w:type="dxa"/>
            <w:vAlign w:val="center"/>
          </w:tcPr>
          <w:p>
            <w:pPr>
              <w:spacing w:line="240" w:lineRule="auto"/>
              <w:ind w:firstLine="0" w:firstLineChars="0"/>
              <w:jc w:val="both"/>
              <w:rPr>
                <w:sz w:val="21"/>
                <w:szCs w:val="21"/>
              </w:rPr>
            </w:pPr>
            <w:r>
              <w:rPr>
                <w:sz w:val="21"/>
                <w:szCs w:val="21"/>
              </w:rPr>
              <w:t>禁止在国家级公益林地开垦、采石、采沙、取土，严格控制勘查、开采矿藏和工程建设占用征收国家级公益林地。</w:t>
            </w:r>
          </w:p>
          <w:p>
            <w:pPr>
              <w:spacing w:line="240" w:lineRule="auto"/>
              <w:ind w:firstLine="0" w:firstLineChars="0"/>
              <w:jc w:val="both"/>
              <w:rPr>
                <w:sz w:val="21"/>
                <w:szCs w:val="21"/>
              </w:rPr>
            </w:pPr>
            <w:r>
              <w:rPr>
                <w:sz w:val="21"/>
                <w:szCs w:val="21"/>
              </w:rPr>
              <w:t>严禁使用Ⅰ级国家级公益林地开展勘查、开采矿藏。</w:t>
            </w:r>
          </w:p>
        </w:tc>
        <w:tc>
          <w:tcPr>
            <w:tcW w:w="2768" w:type="dxa"/>
            <w:vAlign w:val="center"/>
          </w:tcPr>
          <w:p>
            <w:pPr>
              <w:spacing w:line="240" w:lineRule="auto"/>
              <w:ind w:firstLine="0" w:firstLineChars="0"/>
              <w:jc w:val="both"/>
              <w:rPr>
                <w:sz w:val="21"/>
                <w:szCs w:val="21"/>
              </w:rPr>
            </w:pPr>
            <w:r>
              <w:rPr>
                <w:sz w:val="21"/>
                <w:szCs w:val="21"/>
              </w:rPr>
              <w:t>大中型矿山可以使用Ⅱ级及其以下保护林地。大中型矿山占用Ⅱ级及其以下保护林地的，应首先优化矿区布局，应当不占或者少占林地，不占或者少占公益林林地。确需使用的，严格按照《建设项目使用林地审核批管理办法》有关规定办理使用林地手续。涉及林木采伐的，按相关规定依法办理林木采伐手续。</w:t>
            </w:r>
          </w:p>
        </w:tc>
        <w:tc>
          <w:tcPr>
            <w:tcW w:w="1506" w:type="dxa"/>
            <w:vAlign w:val="center"/>
          </w:tcPr>
          <w:p>
            <w:pPr>
              <w:spacing w:line="240" w:lineRule="auto"/>
              <w:ind w:firstLine="0" w:firstLineChars="0"/>
              <w:jc w:val="both"/>
              <w:rPr>
                <w:sz w:val="21"/>
                <w:szCs w:val="21"/>
              </w:rPr>
            </w:pPr>
            <w:r>
              <w:rPr>
                <w:sz w:val="21"/>
                <w:szCs w:val="21"/>
              </w:rPr>
              <w:t>本项目占地范围内不涉及国家公益林，占地范围内涉及林地和旱地。</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主城区 “四山”范围</w:t>
            </w:r>
          </w:p>
        </w:tc>
        <w:tc>
          <w:tcPr>
            <w:tcW w:w="2575" w:type="dxa"/>
            <w:vAlign w:val="center"/>
          </w:tcPr>
          <w:p>
            <w:pPr>
              <w:spacing w:line="240" w:lineRule="auto"/>
              <w:ind w:firstLine="0" w:firstLineChars="0"/>
              <w:jc w:val="both"/>
              <w:rPr>
                <w:sz w:val="21"/>
                <w:szCs w:val="21"/>
              </w:rPr>
            </w:pPr>
            <w:r>
              <w:rPr>
                <w:sz w:val="21"/>
                <w:szCs w:val="21"/>
              </w:rPr>
              <w:t>/</w:t>
            </w:r>
          </w:p>
        </w:tc>
        <w:tc>
          <w:tcPr>
            <w:tcW w:w="2768" w:type="dxa"/>
            <w:vAlign w:val="center"/>
          </w:tcPr>
          <w:p>
            <w:pPr>
              <w:spacing w:line="240" w:lineRule="auto"/>
              <w:ind w:firstLine="0" w:firstLineChars="0"/>
              <w:jc w:val="both"/>
              <w:rPr>
                <w:sz w:val="21"/>
                <w:szCs w:val="21"/>
              </w:rPr>
            </w:pPr>
            <w:r>
              <w:rPr>
                <w:sz w:val="21"/>
                <w:szCs w:val="21"/>
              </w:rPr>
              <w:t>推进矿业权有序退出，”四山”范围内不再新设矿业权，对已设采矿权进行分类处置，无法通过调整矿区范围线退出生态保护红线的采矿权（地热、矿泉水除外）应退出；其余保留的采矿权在依法履行矿山地质环境治理恢复与土地复垦义务后，按绿色矿山建设标准达标入库；采矿权合同到期后不再续签，探矿权逐步有序退出。</w:t>
            </w:r>
          </w:p>
        </w:tc>
        <w:tc>
          <w:tcPr>
            <w:tcW w:w="1506" w:type="dxa"/>
            <w:vAlign w:val="center"/>
          </w:tcPr>
          <w:p>
            <w:pPr>
              <w:spacing w:line="240" w:lineRule="auto"/>
              <w:ind w:firstLine="0" w:firstLineChars="0"/>
              <w:jc w:val="both"/>
              <w:rPr>
                <w:sz w:val="21"/>
                <w:szCs w:val="21"/>
              </w:rPr>
            </w:pPr>
            <w:r>
              <w:rPr>
                <w:sz w:val="21"/>
                <w:szCs w:val="21"/>
              </w:rPr>
              <w:t>本项目不在主城区“四山”范围内。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永久基本农田</w:t>
            </w:r>
          </w:p>
        </w:tc>
        <w:tc>
          <w:tcPr>
            <w:tcW w:w="2575" w:type="dxa"/>
            <w:vAlign w:val="center"/>
          </w:tcPr>
          <w:p>
            <w:pPr>
              <w:spacing w:line="240" w:lineRule="auto"/>
              <w:ind w:firstLine="0" w:firstLineChars="0"/>
              <w:jc w:val="both"/>
              <w:rPr>
                <w:sz w:val="21"/>
                <w:szCs w:val="21"/>
              </w:rPr>
            </w:pPr>
            <w:r>
              <w:rPr>
                <w:sz w:val="21"/>
                <w:szCs w:val="21"/>
              </w:rPr>
              <w:t>禁止任何单位和个人在永久基本农田保护区范围内建窑、建房、建坟、挖沙、采石、采矿、取土、堆放固体废弃物或者进行其他破坏永久基本农田的</w:t>
            </w:r>
          </w:p>
          <w:p>
            <w:pPr>
              <w:spacing w:line="240" w:lineRule="auto"/>
              <w:ind w:firstLine="0" w:firstLineChars="0"/>
              <w:jc w:val="both"/>
              <w:rPr>
                <w:sz w:val="21"/>
                <w:szCs w:val="21"/>
              </w:rPr>
            </w:pPr>
            <w:r>
              <w:rPr>
                <w:sz w:val="21"/>
                <w:szCs w:val="21"/>
              </w:rPr>
              <w:t>活动。</w:t>
            </w:r>
          </w:p>
        </w:tc>
        <w:tc>
          <w:tcPr>
            <w:tcW w:w="2768" w:type="dxa"/>
            <w:vAlign w:val="center"/>
          </w:tcPr>
          <w:p>
            <w:pPr>
              <w:spacing w:line="240" w:lineRule="auto"/>
              <w:ind w:firstLine="0" w:firstLineChars="0"/>
              <w:jc w:val="both"/>
              <w:rPr>
                <w:sz w:val="21"/>
                <w:szCs w:val="21"/>
              </w:rPr>
            </w:pPr>
            <w:r>
              <w:rPr>
                <w:sz w:val="21"/>
                <w:szCs w:val="21"/>
              </w:rPr>
              <w:t>非战略性矿产，申请新设矿业权，应避让永久基本农田。矿业权人申请采矿权涉及永久基本农田的，开采项目应符合占用永久基本农田重大建设项目用地要求。</w:t>
            </w:r>
          </w:p>
        </w:tc>
        <w:tc>
          <w:tcPr>
            <w:tcW w:w="1506" w:type="dxa"/>
            <w:vAlign w:val="center"/>
          </w:tcPr>
          <w:p>
            <w:pPr>
              <w:spacing w:line="240" w:lineRule="auto"/>
              <w:ind w:firstLine="0" w:firstLineChars="0"/>
              <w:jc w:val="both"/>
              <w:rPr>
                <w:sz w:val="21"/>
                <w:szCs w:val="21"/>
              </w:rPr>
            </w:pPr>
            <w:r>
              <w:rPr>
                <w:sz w:val="21"/>
                <w:szCs w:val="21"/>
              </w:rPr>
              <w:t>本项目不涉及永久基本农田。</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饮用水水源保护区</w:t>
            </w:r>
          </w:p>
        </w:tc>
        <w:tc>
          <w:tcPr>
            <w:tcW w:w="2575" w:type="dxa"/>
            <w:vAlign w:val="center"/>
          </w:tcPr>
          <w:p>
            <w:pPr>
              <w:spacing w:line="240" w:lineRule="auto"/>
              <w:ind w:firstLine="0" w:firstLineChars="0"/>
              <w:jc w:val="both"/>
              <w:rPr>
                <w:sz w:val="21"/>
                <w:szCs w:val="21"/>
              </w:rPr>
            </w:pPr>
            <w:r>
              <w:rPr>
                <w:sz w:val="21"/>
                <w:szCs w:val="21"/>
              </w:rPr>
              <w:t>饮用水水源一级保护区内，禁止新建、改建、扩建与供水设施和保护水源无关的建设项目。</w:t>
            </w:r>
          </w:p>
        </w:tc>
        <w:tc>
          <w:tcPr>
            <w:tcW w:w="2768" w:type="dxa"/>
            <w:vAlign w:val="center"/>
          </w:tcPr>
          <w:p>
            <w:pPr>
              <w:spacing w:line="240" w:lineRule="auto"/>
              <w:ind w:firstLine="0" w:firstLineChars="0"/>
              <w:jc w:val="both"/>
              <w:rPr>
                <w:sz w:val="21"/>
                <w:szCs w:val="21"/>
              </w:rPr>
            </w:pPr>
            <w:r>
              <w:rPr>
                <w:sz w:val="21"/>
                <w:szCs w:val="21"/>
              </w:rPr>
              <w:t>饮用水水源准保护区内禁止设置排污口，禁止新建、扩建对水体污染严重的建设项目、改建增加排污</w:t>
            </w:r>
          </w:p>
          <w:p>
            <w:pPr>
              <w:spacing w:line="240" w:lineRule="auto"/>
              <w:ind w:firstLine="0" w:firstLineChars="0"/>
              <w:jc w:val="both"/>
              <w:rPr>
                <w:sz w:val="21"/>
                <w:szCs w:val="21"/>
              </w:rPr>
            </w:pPr>
            <w:r>
              <w:rPr>
                <w:sz w:val="21"/>
                <w:szCs w:val="21"/>
              </w:rPr>
              <w:t>量的建设项目。</w:t>
            </w:r>
          </w:p>
          <w:p>
            <w:pPr>
              <w:spacing w:line="240" w:lineRule="auto"/>
              <w:ind w:firstLine="0" w:firstLineChars="0"/>
              <w:jc w:val="both"/>
              <w:rPr>
                <w:sz w:val="21"/>
                <w:szCs w:val="21"/>
              </w:rPr>
            </w:pPr>
            <w:r>
              <w:rPr>
                <w:sz w:val="21"/>
                <w:szCs w:val="21"/>
              </w:rPr>
              <w:t>饮用水水源二级保护区内禁止新建、改建、扩建排放污染物的建设项目。</w:t>
            </w:r>
          </w:p>
        </w:tc>
        <w:tc>
          <w:tcPr>
            <w:tcW w:w="1506" w:type="dxa"/>
            <w:vAlign w:val="center"/>
          </w:tcPr>
          <w:p>
            <w:pPr>
              <w:spacing w:line="240" w:lineRule="auto"/>
              <w:ind w:firstLine="0" w:firstLineChars="0"/>
              <w:jc w:val="both"/>
              <w:rPr>
                <w:sz w:val="21"/>
                <w:szCs w:val="21"/>
              </w:rPr>
            </w:pPr>
            <w:r>
              <w:rPr>
                <w:sz w:val="21"/>
                <w:szCs w:val="21"/>
              </w:rPr>
              <w:t>本项目不涉及饮用水水源保护区。</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城镇开发边界、生态环境敏感区域、重大基础设施安全管控范围*</w:t>
            </w:r>
          </w:p>
        </w:tc>
        <w:tc>
          <w:tcPr>
            <w:tcW w:w="2575" w:type="dxa"/>
            <w:vAlign w:val="center"/>
          </w:tcPr>
          <w:p>
            <w:pPr>
              <w:spacing w:line="240" w:lineRule="auto"/>
              <w:ind w:firstLine="0" w:firstLineChars="0"/>
              <w:jc w:val="both"/>
              <w:rPr>
                <w:sz w:val="21"/>
                <w:szCs w:val="21"/>
              </w:rPr>
            </w:pPr>
            <w:r>
              <w:rPr>
                <w:sz w:val="21"/>
                <w:szCs w:val="21"/>
              </w:rPr>
              <w:t>禁止在城镇开发边界范围，地质灾害易发区，长江、嘉陵江、乌江干流河道管理范围两侧向外五公里范围内（地热、矿泉水除外），水陆主要交通干线直观可视范围（露天矿山），长江干流第一山脊线及其主要支流（乌江、嘉陵江、大宁河、阿蓬江、涪江、渠江）两侧直观可视范围，重大基础设施安全管控范围内新设矿业权和已设矿业权扩大范围，有关法律法规、自然资源部和市政府规范性文件另有规定的除外。</w:t>
            </w:r>
          </w:p>
        </w:tc>
        <w:tc>
          <w:tcPr>
            <w:tcW w:w="2768" w:type="dxa"/>
            <w:vAlign w:val="center"/>
          </w:tcPr>
          <w:p>
            <w:pPr>
              <w:spacing w:line="240" w:lineRule="auto"/>
              <w:ind w:firstLine="0" w:firstLineChars="0"/>
              <w:jc w:val="both"/>
              <w:rPr>
                <w:sz w:val="21"/>
                <w:szCs w:val="21"/>
              </w:rPr>
            </w:pPr>
            <w:r>
              <w:rPr>
                <w:sz w:val="21"/>
                <w:szCs w:val="21"/>
              </w:rPr>
              <w:t>/</w:t>
            </w:r>
          </w:p>
        </w:tc>
        <w:tc>
          <w:tcPr>
            <w:tcW w:w="1506" w:type="dxa"/>
            <w:vAlign w:val="center"/>
          </w:tcPr>
          <w:p>
            <w:pPr>
              <w:spacing w:line="240" w:lineRule="auto"/>
              <w:ind w:firstLine="0" w:firstLineChars="0"/>
              <w:jc w:val="both"/>
              <w:rPr>
                <w:sz w:val="21"/>
                <w:szCs w:val="21"/>
              </w:rPr>
            </w:pPr>
            <w:r>
              <w:rPr>
                <w:sz w:val="21"/>
                <w:szCs w:val="21"/>
              </w:rPr>
              <w:t>本项目不在城镇开发边界、生态环境敏感区域、重大基础设施安全管控范围内。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Merge w:val="restart"/>
            <w:vAlign w:val="center"/>
          </w:tcPr>
          <w:p>
            <w:pPr>
              <w:spacing w:line="240" w:lineRule="auto"/>
              <w:ind w:firstLine="0" w:firstLineChars="0"/>
              <w:rPr>
                <w:sz w:val="21"/>
                <w:szCs w:val="21"/>
              </w:rPr>
            </w:pPr>
            <w:r>
              <w:rPr>
                <w:sz w:val="21"/>
                <w:szCs w:val="21"/>
              </w:rPr>
              <w:t>其他区域</w:t>
            </w:r>
          </w:p>
        </w:tc>
        <w:tc>
          <w:tcPr>
            <w:tcW w:w="2575" w:type="dxa"/>
            <w:vAlign w:val="center"/>
          </w:tcPr>
          <w:p>
            <w:pPr>
              <w:spacing w:line="240" w:lineRule="auto"/>
              <w:ind w:firstLine="0" w:firstLineChars="0"/>
              <w:jc w:val="both"/>
              <w:rPr>
                <w:sz w:val="21"/>
                <w:szCs w:val="21"/>
              </w:rPr>
            </w:pPr>
            <w:r>
              <w:rPr>
                <w:sz w:val="21"/>
                <w:szCs w:val="21"/>
              </w:rPr>
              <w:t>禁止在长江干流及主要支流（指乌江、嘉陵江、大宁河、阿蓬江、涪江、渠江）175 米库岸沿线至第一山脊线范围内采矿。</w:t>
            </w:r>
          </w:p>
        </w:tc>
        <w:tc>
          <w:tcPr>
            <w:tcW w:w="2768" w:type="dxa"/>
            <w:vAlign w:val="center"/>
          </w:tcPr>
          <w:p>
            <w:pPr>
              <w:spacing w:line="240" w:lineRule="auto"/>
              <w:ind w:firstLine="0" w:firstLineChars="0"/>
              <w:jc w:val="both"/>
              <w:rPr>
                <w:sz w:val="21"/>
                <w:szCs w:val="21"/>
              </w:rPr>
            </w:pPr>
            <w:r>
              <w:rPr>
                <w:sz w:val="21"/>
                <w:szCs w:val="21"/>
              </w:rPr>
              <w:t>东北部地区、东南部地区限制发展破坏生态植被的采矿业、建材等工业项目。</w:t>
            </w:r>
          </w:p>
        </w:tc>
        <w:tc>
          <w:tcPr>
            <w:tcW w:w="1506" w:type="dxa"/>
            <w:vAlign w:val="center"/>
          </w:tcPr>
          <w:p>
            <w:pPr>
              <w:spacing w:line="240" w:lineRule="auto"/>
              <w:ind w:firstLine="0" w:firstLineChars="0"/>
              <w:jc w:val="both"/>
              <w:rPr>
                <w:sz w:val="21"/>
                <w:szCs w:val="21"/>
              </w:rPr>
            </w:pPr>
            <w:r>
              <w:rPr>
                <w:sz w:val="21"/>
                <w:szCs w:val="21"/>
              </w:rPr>
              <w:t>本项目距离嘉陵江约4.8km，不在长江干流及主要支流 175米库岸沿线至第一山脊线范围内。</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Merge w:val="continue"/>
            <w:vAlign w:val="center"/>
          </w:tcPr>
          <w:p>
            <w:pPr>
              <w:spacing w:line="240" w:lineRule="auto"/>
              <w:ind w:firstLine="0" w:firstLineChars="0"/>
              <w:rPr>
                <w:sz w:val="21"/>
                <w:szCs w:val="21"/>
              </w:rPr>
            </w:pPr>
          </w:p>
        </w:tc>
        <w:tc>
          <w:tcPr>
            <w:tcW w:w="2575" w:type="dxa"/>
            <w:vAlign w:val="center"/>
          </w:tcPr>
          <w:p>
            <w:pPr>
              <w:spacing w:line="240" w:lineRule="auto"/>
              <w:ind w:firstLine="0" w:firstLineChars="0"/>
              <w:jc w:val="both"/>
              <w:rPr>
                <w:sz w:val="21"/>
                <w:szCs w:val="21"/>
              </w:rPr>
            </w:pPr>
            <w:r>
              <w:rPr>
                <w:sz w:val="21"/>
                <w:szCs w:val="21"/>
              </w:rPr>
              <w:t>禁止在依法划定的重要湖泊周边、文物古迹所在地等区域内采矿。</w:t>
            </w:r>
          </w:p>
        </w:tc>
        <w:tc>
          <w:tcPr>
            <w:tcW w:w="2768" w:type="dxa"/>
            <w:vAlign w:val="center"/>
          </w:tcPr>
          <w:p>
            <w:pPr>
              <w:spacing w:line="240" w:lineRule="auto"/>
              <w:ind w:firstLine="0" w:firstLineChars="0"/>
              <w:jc w:val="both"/>
              <w:rPr>
                <w:sz w:val="21"/>
                <w:szCs w:val="21"/>
              </w:rPr>
            </w:pPr>
            <w:r>
              <w:rPr>
                <w:sz w:val="21"/>
                <w:szCs w:val="21"/>
              </w:rPr>
              <w:t>限制在生态功能保护区内开采矿产资源。生态功能保护区内的开采活动必须符合当地的环境功能区规划，并按规定进行控制性开采，开采活动不得影响本功能区内的主导生态功能。</w:t>
            </w:r>
          </w:p>
          <w:p>
            <w:pPr>
              <w:spacing w:line="240" w:lineRule="auto"/>
              <w:ind w:firstLine="0" w:firstLineChars="0"/>
              <w:jc w:val="both"/>
              <w:rPr>
                <w:sz w:val="21"/>
                <w:szCs w:val="21"/>
              </w:rPr>
            </w:pPr>
            <w:r>
              <w:rPr>
                <w:sz w:val="21"/>
                <w:szCs w:val="21"/>
              </w:rPr>
              <w:t>限制在地质灾害易发区、水土流失严重区域等生态脆弱区内开采矿产资源。</w:t>
            </w:r>
          </w:p>
        </w:tc>
        <w:tc>
          <w:tcPr>
            <w:tcW w:w="1506" w:type="dxa"/>
            <w:vAlign w:val="center"/>
          </w:tcPr>
          <w:p>
            <w:pPr>
              <w:spacing w:line="240" w:lineRule="auto"/>
              <w:ind w:firstLine="0" w:firstLineChars="0"/>
              <w:jc w:val="both"/>
              <w:rPr>
                <w:sz w:val="21"/>
                <w:szCs w:val="21"/>
              </w:rPr>
            </w:pPr>
            <w:r>
              <w:rPr>
                <w:sz w:val="21"/>
                <w:szCs w:val="21"/>
              </w:rPr>
              <w:t>本项目占地范围不涉及生态功能保护区，本项目已按照要求编制《重庆峰磊矿业有限公司建筑石料用灰岩矿地质环境保护与土地复垦方案（变更）》（以下简称二合一报告），并取得重庆市合川区规划和自然资源局的相关批复文件。</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8" w:type="dxa"/>
            <w:vMerge w:val="continue"/>
            <w:vAlign w:val="center"/>
          </w:tcPr>
          <w:p>
            <w:pPr>
              <w:spacing w:line="240" w:lineRule="auto"/>
              <w:ind w:firstLine="0" w:firstLineChars="0"/>
              <w:rPr>
                <w:sz w:val="21"/>
                <w:szCs w:val="21"/>
              </w:rPr>
            </w:pPr>
          </w:p>
        </w:tc>
        <w:tc>
          <w:tcPr>
            <w:tcW w:w="941" w:type="dxa"/>
            <w:vAlign w:val="center"/>
          </w:tcPr>
          <w:p>
            <w:pPr>
              <w:spacing w:line="240" w:lineRule="auto"/>
              <w:ind w:firstLine="0" w:firstLineChars="0"/>
              <w:rPr>
                <w:sz w:val="21"/>
                <w:szCs w:val="21"/>
              </w:rPr>
            </w:pPr>
            <w:r>
              <w:rPr>
                <w:sz w:val="21"/>
                <w:szCs w:val="21"/>
              </w:rPr>
              <w:t>大气优先保单元</w:t>
            </w:r>
          </w:p>
        </w:tc>
        <w:tc>
          <w:tcPr>
            <w:tcW w:w="5343" w:type="dxa"/>
            <w:gridSpan w:val="2"/>
            <w:vAlign w:val="center"/>
          </w:tcPr>
          <w:p>
            <w:pPr>
              <w:spacing w:line="240" w:lineRule="auto"/>
              <w:ind w:firstLine="0" w:firstLineChars="0"/>
              <w:jc w:val="both"/>
              <w:rPr>
                <w:sz w:val="21"/>
                <w:szCs w:val="21"/>
              </w:rPr>
            </w:pPr>
            <w:r>
              <w:rPr>
                <w:sz w:val="21"/>
                <w:szCs w:val="21"/>
              </w:rPr>
              <w:t>一类功能区内的建设用地及其以外所设300米宽的缓冲带，原则上按一类功能区对应的标准执行。</w:t>
            </w:r>
          </w:p>
        </w:tc>
        <w:tc>
          <w:tcPr>
            <w:tcW w:w="1506" w:type="dxa"/>
            <w:vAlign w:val="center"/>
          </w:tcPr>
          <w:p>
            <w:pPr>
              <w:spacing w:line="240" w:lineRule="auto"/>
              <w:ind w:firstLine="0" w:firstLineChars="0"/>
              <w:jc w:val="both"/>
              <w:rPr>
                <w:sz w:val="21"/>
                <w:szCs w:val="21"/>
              </w:rPr>
            </w:pPr>
            <w:r>
              <w:rPr>
                <w:sz w:val="21"/>
                <w:szCs w:val="21"/>
              </w:rPr>
              <w:t>本项目距离九峰山森林公园较近，300m范围内执行大气一级标准限值。</w:t>
            </w:r>
          </w:p>
        </w:tc>
        <w:tc>
          <w:tcPr>
            <w:tcW w:w="705" w:type="dxa"/>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gridSpan w:val="2"/>
            <w:vAlign w:val="center"/>
          </w:tcPr>
          <w:p>
            <w:pPr>
              <w:spacing w:line="240" w:lineRule="auto"/>
              <w:ind w:firstLine="0" w:firstLineChars="0"/>
              <w:rPr>
                <w:sz w:val="21"/>
                <w:szCs w:val="21"/>
              </w:rPr>
            </w:pPr>
            <w:r>
              <w:rPr>
                <w:sz w:val="21"/>
                <w:szCs w:val="21"/>
              </w:rPr>
              <w:t>资源开发利用要求</w:t>
            </w:r>
          </w:p>
        </w:tc>
        <w:tc>
          <w:tcPr>
            <w:tcW w:w="5343" w:type="dxa"/>
            <w:gridSpan w:val="2"/>
            <w:vAlign w:val="center"/>
          </w:tcPr>
          <w:p>
            <w:pPr>
              <w:spacing w:line="240" w:lineRule="auto"/>
              <w:ind w:firstLine="0" w:firstLineChars="0"/>
              <w:jc w:val="both"/>
              <w:rPr>
                <w:sz w:val="21"/>
                <w:szCs w:val="21"/>
              </w:rPr>
            </w:pPr>
            <w:r>
              <w:rPr>
                <w:sz w:val="21"/>
                <w:szCs w:val="21"/>
              </w:rPr>
              <w:t>（1）建筑石料用灰岩、水泥用灰岩开采总量不得高于规划设置指标值；</w:t>
            </w:r>
          </w:p>
          <w:p>
            <w:pPr>
              <w:spacing w:line="240" w:lineRule="auto"/>
              <w:ind w:firstLine="0" w:firstLineChars="0"/>
              <w:jc w:val="both"/>
              <w:rPr>
                <w:sz w:val="21"/>
                <w:szCs w:val="21"/>
              </w:rPr>
            </w:pPr>
            <w:r>
              <w:rPr>
                <w:sz w:val="21"/>
                <w:szCs w:val="21"/>
              </w:rPr>
              <w:t>（2）单个矿山最低开采规模不得低于规划设计标准；</w:t>
            </w:r>
          </w:p>
          <w:p>
            <w:pPr>
              <w:spacing w:line="240" w:lineRule="auto"/>
              <w:ind w:firstLine="0" w:firstLineChars="0"/>
              <w:jc w:val="both"/>
              <w:rPr>
                <w:sz w:val="21"/>
                <w:szCs w:val="21"/>
              </w:rPr>
            </w:pPr>
            <w:r>
              <w:rPr>
                <w:sz w:val="21"/>
                <w:szCs w:val="21"/>
              </w:rPr>
              <w:t>（3）新建项目清洁生产水平不得低于国内先进水平，现有企业自发文之日起 3 年内完成升级改造。</w:t>
            </w:r>
          </w:p>
        </w:tc>
        <w:tc>
          <w:tcPr>
            <w:tcW w:w="1506" w:type="dxa"/>
            <w:vAlign w:val="center"/>
          </w:tcPr>
          <w:p>
            <w:pPr>
              <w:spacing w:line="240" w:lineRule="auto"/>
              <w:ind w:firstLine="0" w:firstLineChars="0"/>
              <w:jc w:val="both"/>
              <w:rPr>
                <w:sz w:val="21"/>
                <w:szCs w:val="21"/>
              </w:rPr>
            </w:pPr>
            <w:r>
              <w:rPr>
                <w:sz w:val="21"/>
                <w:szCs w:val="21"/>
              </w:rPr>
              <w:t>本项目开采量按照采矿许可证上的规模进行，对配套的工业场地进行提产，生产规模仍为70万吨/年。</w:t>
            </w:r>
          </w:p>
        </w:tc>
        <w:tc>
          <w:tcPr>
            <w:tcW w:w="705" w:type="dxa"/>
            <w:vAlign w:val="center"/>
          </w:tcPr>
          <w:p>
            <w:pPr>
              <w:spacing w:line="240" w:lineRule="auto"/>
              <w:ind w:firstLine="0" w:firstLineChars="0"/>
              <w:rPr>
                <w:sz w:val="21"/>
                <w:szCs w:val="21"/>
              </w:rPr>
            </w:pPr>
            <w:r>
              <w:rPr>
                <w:sz w:val="21"/>
                <w:szCs w:val="21"/>
              </w:rPr>
              <w:t>符合</w:t>
            </w:r>
          </w:p>
        </w:tc>
      </w:tr>
    </w:tbl>
    <w:p>
      <w:pPr>
        <w:pStyle w:val="222"/>
      </w:pPr>
      <w:r>
        <w:t>综上所述，本项目符合《重庆市矿产资源总体规划（2021-2025年）环境影响报告书》相关要求。</w:t>
      </w:r>
    </w:p>
    <w:p>
      <w:pPr>
        <w:pStyle w:val="84"/>
      </w:pPr>
      <w:r>
        <w:t>表1.10-2  本项目与《重庆市矿产资源总体规划（2021-2025年）环境影响报告书》的审查意见（环审〔2022〕64号）的符合分析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46"/>
        <w:gridCol w:w="5150"/>
        <w:gridCol w:w="2043"/>
        <w:gridCol w:w="87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shd w:val="clear" w:color="auto" w:fill="D8D8D8" w:themeFill="background1" w:themeFillShade="D9"/>
            <w:vAlign w:val="center"/>
          </w:tcPr>
          <w:p>
            <w:pPr>
              <w:pStyle w:val="35"/>
              <w:rPr>
                <w:sz w:val="21"/>
                <w:szCs w:val="21"/>
              </w:rPr>
            </w:pPr>
            <w:r>
              <w:rPr>
                <w:sz w:val="21"/>
                <w:szCs w:val="21"/>
              </w:rPr>
              <w:t>类别</w:t>
            </w:r>
          </w:p>
        </w:tc>
        <w:tc>
          <w:tcPr>
            <w:tcW w:w="5150" w:type="dxa"/>
            <w:shd w:val="clear" w:color="auto" w:fill="D8D8D8" w:themeFill="background1" w:themeFillShade="D9"/>
            <w:vAlign w:val="center"/>
          </w:tcPr>
          <w:p>
            <w:pPr>
              <w:pStyle w:val="35"/>
              <w:rPr>
                <w:sz w:val="21"/>
                <w:szCs w:val="21"/>
              </w:rPr>
            </w:pPr>
            <w:r>
              <w:rPr>
                <w:sz w:val="21"/>
                <w:szCs w:val="21"/>
              </w:rPr>
              <w:t>审查意见具体内容</w:t>
            </w:r>
          </w:p>
        </w:tc>
        <w:tc>
          <w:tcPr>
            <w:tcW w:w="2043" w:type="dxa"/>
            <w:shd w:val="clear" w:color="auto" w:fill="D8D8D8" w:themeFill="background1" w:themeFillShade="D9"/>
            <w:vAlign w:val="center"/>
          </w:tcPr>
          <w:p>
            <w:pPr>
              <w:pStyle w:val="35"/>
              <w:rPr>
                <w:sz w:val="21"/>
                <w:szCs w:val="21"/>
              </w:rPr>
            </w:pPr>
            <w:r>
              <w:rPr>
                <w:sz w:val="21"/>
                <w:szCs w:val="21"/>
              </w:rPr>
              <w:t>本项目情况</w:t>
            </w:r>
          </w:p>
        </w:tc>
        <w:tc>
          <w:tcPr>
            <w:tcW w:w="878" w:type="dxa"/>
            <w:shd w:val="clear" w:color="auto" w:fill="D8D8D8" w:themeFill="background1" w:themeFillShade="D9"/>
            <w:vAlign w:val="center"/>
          </w:tcPr>
          <w:p>
            <w:pPr>
              <w:pStyle w:val="35"/>
              <w:rPr>
                <w:sz w:val="21"/>
                <w:szCs w:val="21"/>
              </w:rPr>
            </w:pPr>
            <w:r>
              <w:rPr>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vAlign w:val="center"/>
          </w:tcPr>
          <w:p>
            <w:pPr>
              <w:pStyle w:val="35"/>
              <w:rPr>
                <w:sz w:val="21"/>
                <w:szCs w:val="21"/>
              </w:rPr>
            </w:pPr>
            <w:r>
              <w:rPr>
                <w:sz w:val="21"/>
                <w:szCs w:val="21"/>
              </w:rPr>
              <w:t>（一）坚持生态优先、绿色发展。</w:t>
            </w:r>
          </w:p>
        </w:tc>
        <w:tc>
          <w:tcPr>
            <w:tcW w:w="5150" w:type="dxa"/>
            <w:vAlign w:val="center"/>
          </w:tcPr>
          <w:p>
            <w:pPr>
              <w:pStyle w:val="35"/>
              <w:rPr>
                <w:sz w:val="21"/>
                <w:szCs w:val="21"/>
              </w:rPr>
            </w:pPr>
            <w:r>
              <w:rPr>
                <w:sz w:val="21"/>
                <w:szCs w:val="21"/>
              </w:rPr>
              <w:t>坚持以习近平生态文明思想为指导，严格落实《中华人民共和国长江保护法》，按照”共抓大保护、不搞大开发”的要求，立足于生态系统稳定和生态环境质量改善，处理好生态环境保护与矿产资源开发的关系，合理控制矿产资源开发规模与强度，不得占用依法应当禁止开发的区域，优先避让生态环境敏感区域。</w:t>
            </w:r>
          </w:p>
        </w:tc>
        <w:tc>
          <w:tcPr>
            <w:tcW w:w="2043" w:type="dxa"/>
            <w:vAlign w:val="center"/>
          </w:tcPr>
          <w:p>
            <w:pPr>
              <w:pStyle w:val="35"/>
              <w:rPr>
                <w:sz w:val="21"/>
                <w:szCs w:val="21"/>
              </w:rPr>
            </w:pPr>
            <w:r>
              <w:rPr>
                <w:sz w:val="21"/>
                <w:szCs w:val="21"/>
              </w:rPr>
              <w:t>本项目符合《中华人民共和国长江保护法》，不占用禁止开发的区域。</w:t>
            </w:r>
          </w:p>
        </w:tc>
        <w:tc>
          <w:tcPr>
            <w:tcW w:w="878" w:type="dxa"/>
            <w:vAlign w:val="center"/>
          </w:tcPr>
          <w:p>
            <w:pPr>
              <w:pStyle w:val="35"/>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vAlign w:val="center"/>
          </w:tcPr>
          <w:p>
            <w:pPr>
              <w:pStyle w:val="35"/>
              <w:rPr>
                <w:sz w:val="21"/>
                <w:szCs w:val="21"/>
              </w:rPr>
            </w:pPr>
            <w:r>
              <w:rPr>
                <w:sz w:val="21"/>
                <w:szCs w:val="21"/>
              </w:rPr>
              <w:t>（二）严格保护生态空间，优化《规划》空间布局。</w:t>
            </w:r>
          </w:p>
        </w:tc>
        <w:tc>
          <w:tcPr>
            <w:tcW w:w="5150" w:type="dxa"/>
            <w:vAlign w:val="center"/>
          </w:tcPr>
          <w:p>
            <w:pPr>
              <w:pStyle w:val="35"/>
              <w:rPr>
                <w:sz w:val="21"/>
                <w:szCs w:val="21"/>
              </w:rPr>
            </w:pPr>
            <w:r>
              <w:rPr>
                <w:sz w:val="21"/>
                <w:szCs w:val="21"/>
              </w:rPr>
              <w:t>将生态保护红线作为保障和维护区域生态安全的底线，应进一步优化矿业权设置和空间布局，依法依规对生态空间实施严格保护。针对与生态保护红线存在空间冲突的国家规划矿区GK001、重点勘查区KZ001及KZ003</w:t>
            </w:r>
            <w:r>
              <w:rPr>
                <w:rFonts w:eastAsia="微软雅黑"/>
                <w:sz w:val="21"/>
                <w:szCs w:val="21"/>
              </w:rPr>
              <w:t>〜</w:t>
            </w:r>
            <w:r>
              <w:rPr>
                <w:sz w:val="21"/>
                <w:szCs w:val="21"/>
              </w:rPr>
              <w:t>KZ009、重点开采区CZ001</w:t>
            </w:r>
            <w:r>
              <w:rPr>
                <w:rFonts w:eastAsia="微软雅黑"/>
                <w:sz w:val="21"/>
                <w:szCs w:val="21"/>
              </w:rPr>
              <w:t>〜</w:t>
            </w:r>
            <w:r>
              <w:rPr>
                <w:sz w:val="21"/>
                <w:szCs w:val="21"/>
              </w:rPr>
              <w:t>CZ009、勘查区块KQ007</w:t>
            </w:r>
            <w:r>
              <w:rPr>
                <w:rFonts w:eastAsia="微软雅黑"/>
                <w:sz w:val="21"/>
                <w:szCs w:val="21"/>
              </w:rPr>
              <w:t>〜</w:t>
            </w:r>
            <w:r>
              <w:rPr>
                <w:sz w:val="21"/>
                <w:szCs w:val="21"/>
              </w:rPr>
              <w:t>KQ010、开采区块CQ064及CQ075等，应进一步优化布局，确保满足生态保护红线管控要求。与自然保护地（自然保护区、森林公园、地质公园、湿地公园等）存在空间冲突的空白区新设勘查区块（KQ007</w:t>
            </w:r>
            <w:r>
              <w:rPr>
                <w:rFonts w:eastAsia="微软雅黑"/>
                <w:sz w:val="21"/>
                <w:szCs w:val="21"/>
              </w:rPr>
              <w:t>〜</w:t>
            </w:r>
            <w:r>
              <w:rPr>
                <w:sz w:val="21"/>
                <w:szCs w:val="21"/>
              </w:rPr>
              <w:t>KQ010、KQ018、KQ028、KQ036，应进一步优化布局，确保与自然保护地管控要求相协调。与风景名胜区存在空间冲突的空白区新设勘查区块KQ009、KQ022</w:t>
            </w:r>
            <w:r>
              <w:rPr>
                <w:rFonts w:eastAsia="微软雅黑"/>
                <w:sz w:val="21"/>
                <w:szCs w:val="21"/>
              </w:rPr>
              <w:t>〜</w:t>
            </w:r>
            <w:r>
              <w:rPr>
                <w:sz w:val="21"/>
                <w:szCs w:val="21"/>
              </w:rPr>
              <w:t>KQ024、KQ028、KQ030和空白区新设开采区块KQ063，应进一步优化布局，确保满足风景名胜区相关法规规定 和管控要求。已依法取得采矿权的地热开采区块CQ030、CQ031、CQ033、CQ034、CQ036、CQ043</w:t>
            </w:r>
            <w:r>
              <w:rPr>
                <w:rFonts w:eastAsia="微软雅黑"/>
                <w:sz w:val="21"/>
                <w:szCs w:val="21"/>
              </w:rPr>
              <w:t>〜</w:t>
            </w:r>
            <w:r>
              <w:rPr>
                <w:sz w:val="21"/>
                <w:szCs w:val="21"/>
              </w:rPr>
              <w:t>CQ050和矿泉水开采区块CQ054，应进一步优化布局，强化生态环境保护措施，确保满足生态环境敏感区相关管控要求。</w:t>
            </w:r>
          </w:p>
        </w:tc>
        <w:tc>
          <w:tcPr>
            <w:tcW w:w="2043" w:type="dxa"/>
            <w:vAlign w:val="center"/>
          </w:tcPr>
          <w:p>
            <w:pPr>
              <w:pStyle w:val="35"/>
              <w:rPr>
                <w:sz w:val="21"/>
                <w:szCs w:val="21"/>
              </w:rPr>
            </w:pPr>
            <w:r>
              <w:rPr>
                <w:sz w:val="21"/>
                <w:szCs w:val="21"/>
              </w:rPr>
              <w:t>本项目已取得采矿许可证，位于露天开采区，占地范围不涉及生态环境敏感区。</w:t>
            </w:r>
          </w:p>
        </w:tc>
        <w:tc>
          <w:tcPr>
            <w:tcW w:w="878" w:type="dxa"/>
            <w:vAlign w:val="center"/>
          </w:tcPr>
          <w:p>
            <w:pPr>
              <w:pStyle w:val="35"/>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vAlign w:val="center"/>
          </w:tcPr>
          <w:p>
            <w:pPr>
              <w:pStyle w:val="35"/>
              <w:rPr>
                <w:sz w:val="21"/>
                <w:szCs w:val="21"/>
              </w:rPr>
            </w:pPr>
            <w:r>
              <w:rPr>
                <w:sz w:val="21"/>
                <w:szCs w:val="21"/>
              </w:rPr>
              <w:t>（三）严格产业准入，合理控制矿山开采种类和规模。</w:t>
            </w:r>
          </w:p>
        </w:tc>
        <w:tc>
          <w:tcPr>
            <w:tcW w:w="5150" w:type="dxa"/>
            <w:vAlign w:val="center"/>
          </w:tcPr>
          <w:p>
            <w:pPr>
              <w:pStyle w:val="35"/>
              <w:rPr>
                <w:sz w:val="21"/>
                <w:szCs w:val="21"/>
              </w:rPr>
            </w:pPr>
            <w:r>
              <w:rPr>
                <w:sz w:val="21"/>
                <w:szCs w:val="21"/>
              </w:rPr>
              <w:t>落实《规划》提出的全市矿山总数控制在1000个左右、45种重点矿种矿山最低开采规模准入要求、大中型矿山比例达到60%等要求，进一步整合普通建筑用砂石土、毒重石、锶等小型矿山，加大低效产能压减、无效产能腾退力度，逐步关闭退出安全隐患突出、生态环境问题明显、违法违规问题多的“小弱散”矿山和未达到最低生产规模的矿山。禁止开发汞、砖瓦用粘土及其 他对生态环境可能产生严重破坏且难以恢复的矿产，限制开发耐火粘土、高岭石粘土、硫铁矿、煤、锰等矿产。严格尾矿库的新建和管理，确保符合相关要求。</w:t>
            </w:r>
          </w:p>
        </w:tc>
        <w:tc>
          <w:tcPr>
            <w:tcW w:w="2043" w:type="dxa"/>
            <w:vAlign w:val="center"/>
          </w:tcPr>
          <w:p>
            <w:pPr>
              <w:pStyle w:val="35"/>
              <w:rPr>
                <w:sz w:val="21"/>
                <w:szCs w:val="21"/>
              </w:rPr>
            </w:pPr>
            <w:r>
              <w:rPr>
                <w:sz w:val="21"/>
                <w:szCs w:val="21"/>
              </w:rPr>
              <w:t>本项目开采规模为100万吨/年，矿种为建筑石料用灰岩，开采规模符合准入条件，将按照绿色矿山建设指标要求进行绿色矿山建设。</w:t>
            </w:r>
          </w:p>
        </w:tc>
        <w:tc>
          <w:tcPr>
            <w:tcW w:w="878" w:type="dxa"/>
            <w:vAlign w:val="center"/>
          </w:tcPr>
          <w:p>
            <w:pPr>
              <w:pStyle w:val="35"/>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vAlign w:val="center"/>
          </w:tcPr>
          <w:p>
            <w:pPr>
              <w:pStyle w:val="35"/>
              <w:rPr>
                <w:sz w:val="21"/>
                <w:szCs w:val="21"/>
              </w:rPr>
            </w:pPr>
            <w:r>
              <w:rPr>
                <w:sz w:val="21"/>
                <w:szCs w:val="21"/>
              </w:rPr>
              <w:t>（四）严格环境准入，保护区域生态功能。</w:t>
            </w:r>
          </w:p>
        </w:tc>
        <w:tc>
          <w:tcPr>
            <w:tcW w:w="5150" w:type="dxa"/>
            <w:vAlign w:val="center"/>
          </w:tcPr>
          <w:p>
            <w:pPr>
              <w:pStyle w:val="35"/>
              <w:rPr>
                <w:sz w:val="21"/>
                <w:szCs w:val="21"/>
              </w:rPr>
            </w:pPr>
            <w:r>
              <w:rPr>
                <w:sz w:val="21"/>
                <w:szCs w:val="21"/>
              </w:rPr>
              <w:t>按照重庆市生态 环境分区管控方案、生态环境保护规划等要求，与一般生态空间存在冲突的已设探矿权保留区块、空白区新设勘查区块、已设采矿权调整区块、探转采区块和空白区新设开采区块，应按照一般生态空间管控要求，严格控制勘查、开采活动范围和强度，严格落实绿色勘查、绿色开采及矿山环境保护、生态修复相关要求，确保生态系统结构稳定和生态功能不退化。严格控制涉及生物多样性保护优先区域、国家重点生态功能区、水土流失重点防治区等具有重要生态功能的区域矿产开采活动，并采取严格有针对性 的保护措施，防止对区域生态功能产生不良环境影响。</w:t>
            </w:r>
          </w:p>
        </w:tc>
        <w:tc>
          <w:tcPr>
            <w:tcW w:w="2043" w:type="dxa"/>
            <w:vAlign w:val="center"/>
          </w:tcPr>
          <w:p>
            <w:pPr>
              <w:pStyle w:val="35"/>
              <w:rPr>
                <w:sz w:val="21"/>
                <w:szCs w:val="21"/>
              </w:rPr>
            </w:pPr>
            <w:r>
              <w:rPr>
                <w:sz w:val="21"/>
                <w:szCs w:val="21"/>
              </w:rPr>
              <w:t>本项目已取得开采许可证，位于露天开采区，用地范围不占用生态保护红线和公益林，也不涉及生物多样性保护优先区域、国家重点生态功能区，在开采过程严格落实各项污染防治措施。</w:t>
            </w:r>
          </w:p>
        </w:tc>
        <w:tc>
          <w:tcPr>
            <w:tcW w:w="878" w:type="dxa"/>
            <w:vAlign w:val="center"/>
          </w:tcPr>
          <w:p>
            <w:pPr>
              <w:pStyle w:val="35"/>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vAlign w:val="center"/>
          </w:tcPr>
          <w:p>
            <w:pPr>
              <w:pStyle w:val="35"/>
              <w:rPr>
                <w:sz w:val="21"/>
                <w:szCs w:val="21"/>
              </w:rPr>
            </w:pPr>
            <w:r>
              <w:rPr>
                <w:sz w:val="21"/>
                <w:szCs w:val="21"/>
              </w:rPr>
              <w:t>（五）加强矿山生态修复和环境治理。</w:t>
            </w:r>
          </w:p>
        </w:tc>
        <w:tc>
          <w:tcPr>
            <w:tcW w:w="5150" w:type="dxa"/>
            <w:vAlign w:val="center"/>
          </w:tcPr>
          <w:p>
            <w:pPr>
              <w:pStyle w:val="35"/>
              <w:rPr>
                <w:sz w:val="21"/>
                <w:szCs w:val="21"/>
              </w:rPr>
            </w:pPr>
            <w:r>
              <w:rPr>
                <w:sz w:val="21"/>
                <w:szCs w:val="21"/>
              </w:rPr>
              <w:t>结合区域生态环境质量改善目标和主要生态环境问题，分区域、分矿种确定矿山生态修复和环境治理总体要求，强化生态环境保护。重视关闭矿山及历史遗留矿山的生态环境问题，明确污染治理、生态修复的任务、要求和时限。对可能造成重金属污染等环境问题的矿区，进一步优化开发方式，推进结构调整，加大治理投入。</w:t>
            </w:r>
          </w:p>
        </w:tc>
        <w:tc>
          <w:tcPr>
            <w:tcW w:w="2043" w:type="dxa"/>
            <w:vAlign w:val="center"/>
          </w:tcPr>
          <w:p>
            <w:pPr>
              <w:pStyle w:val="35"/>
              <w:rPr>
                <w:sz w:val="21"/>
                <w:szCs w:val="21"/>
              </w:rPr>
            </w:pPr>
            <w:r>
              <w:rPr>
                <w:sz w:val="21"/>
                <w:szCs w:val="21"/>
              </w:rPr>
              <w:t>本项目严格落实“边开采边生态恢复”。</w:t>
            </w:r>
          </w:p>
        </w:tc>
        <w:tc>
          <w:tcPr>
            <w:tcW w:w="878" w:type="dxa"/>
            <w:vAlign w:val="center"/>
          </w:tcPr>
          <w:p>
            <w:pPr>
              <w:pStyle w:val="35"/>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1" w:hRule="atLeast"/>
          <w:jc w:val="center"/>
        </w:trPr>
        <w:tc>
          <w:tcPr>
            <w:tcW w:w="1046" w:type="dxa"/>
            <w:vAlign w:val="center"/>
          </w:tcPr>
          <w:p>
            <w:pPr>
              <w:pStyle w:val="35"/>
              <w:rPr>
                <w:sz w:val="21"/>
                <w:szCs w:val="21"/>
              </w:rPr>
            </w:pPr>
            <w:r>
              <w:rPr>
                <w:sz w:val="21"/>
                <w:szCs w:val="21"/>
              </w:rPr>
              <w:t>（六）加强生态环境保护监测和预警。</w:t>
            </w:r>
          </w:p>
        </w:tc>
        <w:tc>
          <w:tcPr>
            <w:tcW w:w="5150" w:type="dxa"/>
            <w:vAlign w:val="center"/>
          </w:tcPr>
          <w:p>
            <w:pPr>
              <w:pStyle w:val="35"/>
              <w:rPr>
                <w:sz w:val="21"/>
                <w:szCs w:val="21"/>
              </w:rPr>
            </w:pPr>
            <w:r>
              <w:rPr>
                <w:sz w:val="21"/>
                <w:szCs w:val="21"/>
              </w:rPr>
              <w:t>结合生态保护、饮用水水源保护区及水环境功能区水质保护及改善要求、土壤污染防治目标等，明确责任主体、强化资金保障，推进重点矿区建立生态、地表水、地下水、土壤等环境要素的长期监测监控体系，在用尾矿库100%安装在线监测装置；组织开展主要矿种集中开采区域生态修复效果评估，并根据监测和评估结果增加和优化必要的保护措施。针对地表水环境及土壤环境累积影响、地下水环境 质量下降、生态退化等情形，建立预警机制。</w:t>
            </w:r>
          </w:p>
        </w:tc>
        <w:tc>
          <w:tcPr>
            <w:tcW w:w="2043" w:type="dxa"/>
            <w:vAlign w:val="center"/>
          </w:tcPr>
          <w:p>
            <w:pPr>
              <w:pStyle w:val="35"/>
              <w:rPr>
                <w:sz w:val="21"/>
                <w:szCs w:val="21"/>
              </w:rPr>
            </w:pPr>
            <w:r>
              <w:rPr>
                <w:sz w:val="21"/>
                <w:szCs w:val="21"/>
              </w:rPr>
              <w:t>本项目矿山开采过程中采用除尘、洒水降尘控制扬尘，生产废水回用，生活废水用于林地与耕地灌溉，矿山加工选用低噪声设备，采取消声、隔声、减振等措施，减缓噪声不利影响，满足噪声排放标准。危险废物贮存间已采取防渗措施，并通过验收。</w:t>
            </w:r>
          </w:p>
        </w:tc>
        <w:tc>
          <w:tcPr>
            <w:tcW w:w="878" w:type="dxa"/>
            <w:vAlign w:val="center"/>
          </w:tcPr>
          <w:p>
            <w:pPr>
              <w:pStyle w:val="35"/>
              <w:rPr>
                <w:sz w:val="21"/>
                <w:szCs w:val="21"/>
              </w:rPr>
            </w:pPr>
            <w:r>
              <w:rPr>
                <w:sz w:val="21"/>
                <w:szCs w:val="21"/>
              </w:rPr>
              <w:t>符合</w:t>
            </w:r>
          </w:p>
        </w:tc>
      </w:tr>
    </w:tbl>
    <w:p>
      <w:pPr>
        <w:pStyle w:val="300"/>
      </w:pPr>
      <w:r>
        <w:t>由上表可知，本项目符合《重庆市矿产资源总体规划（2021-2025年）环境影响报告书》的审查意见（环审〔2022〕64号）中要求。</w:t>
      </w:r>
    </w:p>
    <w:bookmarkEnd w:id="116"/>
    <w:p>
      <w:pPr>
        <w:pStyle w:val="5"/>
        <w:rPr>
          <w:color w:val="auto"/>
        </w:rPr>
      </w:pPr>
      <w:r>
        <w:rPr>
          <w:color w:val="auto"/>
        </w:rPr>
        <w:t>1.10.3与《重庆市合川区矿产资源总体规划（2021-2025）》的符合性分析</w:t>
      </w:r>
    </w:p>
    <w:p>
      <w:pPr>
        <w:ind w:firstLine="480"/>
        <w:jc w:val="both"/>
        <w:rPr>
          <w:sz w:val="24"/>
          <w:szCs w:val="21"/>
        </w:rPr>
      </w:pPr>
      <w:r>
        <w:rPr>
          <w:sz w:val="24"/>
          <w:szCs w:val="21"/>
        </w:rPr>
        <w:t>根据规划：“三、矿产勘查开发与保护布局（二）矿产资源产业重点发展区域。3．集中开采区。合川区盐井集中开采区：位于盐井街道，面积17.4平方公里，主要开采建筑石料用灰岩、水泥用灰岩。设置6个开采规划区块，规划到2025年，该区建筑石料用灰岩开采总量达到400万吨/年，水泥用灰岩开采总量达到300万吨/年。”</w:t>
      </w:r>
    </w:p>
    <w:p>
      <w:pPr>
        <w:ind w:firstLine="480"/>
        <w:jc w:val="both"/>
        <w:rPr>
          <w:sz w:val="24"/>
          <w:szCs w:val="21"/>
        </w:rPr>
      </w:pPr>
      <w:r>
        <w:rPr>
          <w:sz w:val="24"/>
          <w:szCs w:val="21"/>
        </w:rPr>
        <w:t>“四、加强矿产资源勘查开发利用与保护（二）优化开发利用结构。1．最低开采规模。按照矿山开采规模与矿床（区）储量规模相适应的原则，设立矿山最低开采规模。2．产品结构优化。（1）加强煤层气地面抽采技术研究。（2）鼓励砂石土类矿产规模化开采，推动装配式建筑产业发展。（3）以盐化工为基础，发展盐卤精细化工，延长产业链，提高矿产品技术含量和附加值。（4）加强地热资源开发利用，促进温泉旅游相关产业发展。（5）在符合安全、生态环保要求的前提下，鼓励和支持综合利用废石、矿渣和尾矿等砂石资源，实现“变废为宝”。3．技术结构优化。加大科技投入，加快采矿废石等矿山废弃物综合利用的新技术、新工艺和新设备的研究和开发；提高矿山机械化开采水平，加速淘汰落后的工艺和技术；推行清洁生产，推广高效节能的新技术、新工艺、新设备和新材料。”</w:t>
      </w:r>
    </w:p>
    <w:p>
      <w:pPr>
        <w:ind w:firstLine="480"/>
        <w:jc w:val="both"/>
        <w:rPr>
          <w:sz w:val="24"/>
          <w:szCs w:val="21"/>
        </w:rPr>
      </w:pPr>
      <w:r>
        <w:rPr>
          <w:sz w:val="24"/>
          <w:szCs w:val="21"/>
        </w:rPr>
        <w:t>根据《重庆市合川区矿产资源总体规划（2021-2025）》中“十四五开采规划区块设置情况”，本项目属于其</w:t>
      </w:r>
      <w:r>
        <w:rPr>
          <w:bCs/>
          <w:sz w:val="24"/>
          <w:szCs w:val="21"/>
        </w:rPr>
        <w:t>已设</w:t>
      </w:r>
      <w:r>
        <w:rPr>
          <w:sz w:val="24"/>
          <w:szCs w:val="24"/>
        </w:rPr>
        <w:t>60个采矿权之一（编号CQ012）</w:t>
      </w:r>
      <w:r>
        <w:rPr>
          <w:sz w:val="24"/>
          <w:szCs w:val="21"/>
        </w:rPr>
        <w:t>，该区块面积为0.1415km</w:t>
      </w:r>
      <w:r>
        <w:rPr>
          <w:sz w:val="24"/>
          <w:szCs w:val="21"/>
          <w:vertAlign w:val="superscript"/>
        </w:rPr>
        <w:t>2</w:t>
      </w:r>
      <w:r>
        <w:rPr>
          <w:sz w:val="24"/>
          <w:szCs w:val="21"/>
        </w:rPr>
        <w:t>。本项目属于该区块中的一部分，占地面积为0.0466km</w:t>
      </w:r>
      <w:r>
        <w:rPr>
          <w:sz w:val="24"/>
          <w:szCs w:val="21"/>
          <w:vertAlign w:val="superscript"/>
        </w:rPr>
        <w:t>2</w:t>
      </w:r>
      <w:r>
        <w:rPr>
          <w:sz w:val="24"/>
          <w:szCs w:val="21"/>
        </w:rPr>
        <w:t>，占比33%。</w:t>
      </w:r>
    </w:p>
    <w:p>
      <w:pPr>
        <w:ind w:firstLine="480"/>
        <w:jc w:val="both"/>
        <w:rPr>
          <w:sz w:val="24"/>
          <w:szCs w:val="21"/>
        </w:rPr>
      </w:pPr>
      <w:r>
        <w:rPr>
          <w:sz w:val="24"/>
          <w:szCs w:val="21"/>
        </w:rPr>
        <w:t>本项目位于重庆市</w:t>
      </w:r>
      <w:r>
        <w:rPr>
          <w:snapToGrid w:val="0"/>
          <w:kern w:val="0"/>
          <w:sz w:val="24"/>
          <w:szCs w:val="24"/>
        </w:rPr>
        <w:t>合川区盐井街道办事处观音村，位于</w:t>
      </w:r>
      <w:r>
        <w:rPr>
          <w:sz w:val="24"/>
          <w:szCs w:val="21"/>
        </w:rPr>
        <w:t>合川区盐井集中开采区</w:t>
      </w:r>
      <w:r>
        <w:rPr>
          <w:snapToGrid w:val="0"/>
          <w:kern w:val="0"/>
          <w:sz w:val="24"/>
          <w:szCs w:val="24"/>
        </w:rPr>
        <w:t>，主要开采建筑石料用灰岩矿，开采规模为100万吨/年，并已取得采矿许可证，对配套的工业场地，生产规模仍为70万吨/年，生产碎石、机制砂，通过推动装配式建筑产业发展，</w:t>
      </w:r>
      <w:r>
        <w:rPr>
          <w:sz w:val="24"/>
          <w:szCs w:val="21"/>
        </w:rPr>
        <w:t>符合规划产品结构优化要求</w:t>
      </w:r>
      <w:r>
        <w:rPr>
          <w:snapToGrid w:val="0"/>
          <w:kern w:val="0"/>
          <w:sz w:val="24"/>
          <w:szCs w:val="24"/>
        </w:rPr>
        <w:t>。</w:t>
      </w:r>
    </w:p>
    <w:p>
      <w:pPr>
        <w:pStyle w:val="5"/>
        <w:rPr>
          <w:color w:val="auto"/>
        </w:rPr>
      </w:pPr>
      <w:r>
        <w:rPr>
          <w:color w:val="auto"/>
        </w:rPr>
        <w:t>1.10.4与《重庆市合川区矿产资源总体规划（2021-2025年）环境影响报告书》及审查意见（渝环函〔2022〕621号）的符合性分析</w:t>
      </w:r>
    </w:p>
    <w:p>
      <w:pPr>
        <w:spacing w:line="460" w:lineRule="exact"/>
        <w:ind w:firstLine="480"/>
        <w:jc w:val="both"/>
        <w:rPr>
          <w:sz w:val="24"/>
          <w:szCs w:val="24"/>
        </w:rPr>
      </w:pPr>
      <w:r>
        <w:rPr>
          <w:sz w:val="24"/>
          <w:szCs w:val="24"/>
        </w:rPr>
        <w:t>根据《重庆市合川区矿产资源总体规划（2021-2025年）环境影响报告书》提出对于与自然保护地、生态保护红线有部分范围重叠的规划勘查开采区块，建议调整区块范围，主动避让，不发生重叠；严守生态保护红线、环境质量底线、资源利用上线和生态环境准入清单；不得在生态保护红线、风景名胜区等各类自然保护地范围内新规划布局勘查开采规划区块等规定要求，与自然保护地和生态保护红线有大部分或全部范围重叠的规划勘查开采区块，建议取消或另行选址规划。针对与一般生态空间有范围重叠的勘查开采规划区块，提出应当按照限制性开发管理要求，严格控制矿产资源勘查开采活动范围和强度，保证其结构和主要功能不受破坏，并严格执行绿色勘查、绿色开采与矿山生态保护修复相关要求。规划到2025年，矿山总数控制在49个以内，大中型矿山比例90%。建筑石料用灰岩年开采总量不超过2700万吨，水泥用灰岩年开采总量不超过2400万吨，制灰用灰岩年开采总量达到100万吨，建筑用砂岩年开采总量达到150万吨，水泥配料用砂岩年开采总量达到160万吨，岩盐年开采总量60万吨，地热年开采总量50万立方米，并要求全面推进绿色矿山建设，提升资源开发利用和环境保护水平。</w:t>
      </w:r>
    </w:p>
    <w:p>
      <w:pPr>
        <w:ind w:firstLine="480"/>
        <w:rPr>
          <w:sz w:val="24"/>
          <w:szCs w:val="24"/>
        </w:rPr>
      </w:pPr>
      <w:r>
        <w:rPr>
          <w:sz w:val="24"/>
          <w:szCs w:val="24"/>
        </w:rPr>
        <w:t>根据《</w:t>
      </w:r>
      <w:r>
        <w:rPr>
          <w:sz w:val="24"/>
          <w:szCs w:val="21"/>
        </w:rPr>
        <w:t>重庆市合川区矿产资源总体规划（2021-2025）</w:t>
      </w:r>
      <w:r>
        <w:rPr>
          <w:sz w:val="24"/>
          <w:szCs w:val="24"/>
        </w:rPr>
        <w:t>》，</w:t>
      </w:r>
      <w:r>
        <w:rPr>
          <w:bCs/>
          <w:sz w:val="24"/>
          <w:szCs w:val="24"/>
        </w:rPr>
        <w:t>本项目属于</w:t>
      </w:r>
      <w:r>
        <w:rPr>
          <w:sz w:val="24"/>
          <w:szCs w:val="24"/>
        </w:rPr>
        <w:t>CQ012矿区，为规划的保留矿权，</w:t>
      </w:r>
      <w:r>
        <w:rPr>
          <w:bCs/>
          <w:sz w:val="24"/>
          <w:szCs w:val="24"/>
        </w:rPr>
        <w:t>不占用自然保护地、生态保护红线，不在禁止开采区或限制开采区。本</w:t>
      </w:r>
      <w:r>
        <w:rPr>
          <w:sz w:val="24"/>
          <w:szCs w:val="24"/>
        </w:rPr>
        <w:t>矿山</w:t>
      </w:r>
      <w:r>
        <w:rPr>
          <w:bCs/>
          <w:sz w:val="24"/>
          <w:szCs w:val="24"/>
        </w:rPr>
        <w:t>开采矿种为</w:t>
      </w:r>
      <w:r>
        <w:rPr>
          <w:sz w:val="24"/>
          <w:szCs w:val="24"/>
        </w:rPr>
        <w:t>建筑石料用灰岩，为规划的重点开采矿种，开采规模100万吨/年。综上，本矿山的建设符合《重庆市合川区矿产资源总体规划（2021-2025年）》的相关规定。</w:t>
      </w:r>
    </w:p>
    <w:p>
      <w:pPr>
        <w:ind w:firstLine="480"/>
        <w:rPr>
          <w:sz w:val="24"/>
          <w:szCs w:val="21"/>
        </w:rPr>
      </w:pPr>
      <w:r>
        <w:rPr>
          <w:sz w:val="24"/>
          <w:szCs w:val="21"/>
        </w:rPr>
        <w:t>本项目与《合川区矿产资源总体规划（2021-2025年）环境影响报告书审查意见的函》（渝环函[2022]621号）的符合分析见下表。</w:t>
      </w:r>
    </w:p>
    <w:p>
      <w:pPr>
        <w:pStyle w:val="84"/>
      </w:pPr>
      <w:r>
        <w:t>表1.10-3  与渝环函[2022]621号的符合性分析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5597"/>
        <w:gridCol w:w="1866"/>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939" w:type="dxa"/>
            <w:tcBorders>
              <w:tl2br w:val="nil"/>
              <w:tr2bl w:val="nil"/>
            </w:tcBorders>
            <w:shd w:val="clear" w:color="auto" w:fill="D8D8D8" w:themeFill="background1" w:themeFillShade="D9"/>
            <w:vAlign w:val="center"/>
          </w:tcPr>
          <w:p>
            <w:pPr>
              <w:pStyle w:val="35"/>
              <w:rPr>
                <w:b/>
                <w:sz w:val="21"/>
              </w:rPr>
            </w:pPr>
            <w:r>
              <w:rPr>
                <w:b/>
                <w:sz w:val="21"/>
              </w:rPr>
              <w:t>类别</w:t>
            </w:r>
          </w:p>
        </w:tc>
        <w:tc>
          <w:tcPr>
            <w:tcW w:w="5458" w:type="dxa"/>
            <w:tcBorders>
              <w:tl2br w:val="nil"/>
              <w:tr2bl w:val="nil"/>
            </w:tcBorders>
            <w:shd w:val="clear" w:color="auto" w:fill="D8D8D8" w:themeFill="background1" w:themeFillShade="D9"/>
            <w:vAlign w:val="center"/>
          </w:tcPr>
          <w:p>
            <w:pPr>
              <w:pStyle w:val="35"/>
              <w:rPr>
                <w:b/>
                <w:sz w:val="21"/>
              </w:rPr>
            </w:pPr>
            <w:r>
              <w:rPr>
                <w:b/>
                <w:sz w:val="21"/>
              </w:rPr>
              <w:t>审查意见具体内容</w:t>
            </w:r>
          </w:p>
        </w:tc>
        <w:tc>
          <w:tcPr>
            <w:tcW w:w="1820" w:type="dxa"/>
            <w:tcBorders>
              <w:tl2br w:val="nil"/>
              <w:tr2bl w:val="nil"/>
            </w:tcBorders>
            <w:shd w:val="clear" w:color="auto" w:fill="D8D8D8" w:themeFill="background1" w:themeFillShade="D9"/>
            <w:vAlign w:val="center"/>
          </w:tcPr>
          <w:p>
            <w:pPr>
              <w:pStyle w:val="35"/>
              <w:rPr>
                <w:b/>
                <w:sz w:val="21"/>
              </w:rPr>
            </w:pPr>
            <w:r>
              <w:rPr>
                <w:b/>
                <w:sz w:val="21"/>
              </w:rPr>
              <w:t>本项目情况</w:t>
            </w:r>
          </w:p>
        </w:tc>
        <w:tc>
          <w:tcPr>
            <w:tcW w:w="674" w:type="dxa"/>
            <w:tcBorders>
              <w:tl2br w:val="nil"/>
              <w:tr2bl w:val="nil"/>
            </w:tcBorders>
            <w:shd w:val="clear" w:color="auto" w:fill="D8D8D8" w:themeFill="background1" w:themeFillShade="D9"/>
            <w:vAlign w:val="center"/>
          </w:tcPr>
          <w:p>
            <w:pPr>
              <w:pStyle w:val="35"/>
              <w:rPr>
                <w:b/>
                <w:sz w:val="21"/>
              </w:rPr>
            </w:pPr>
            <w:r>
              <w:rPr>
                <w:b/>
                <w:sz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（一）坚持生态优先、绿色发展。</w:t>
            </w:r>
          </w:p>
        </w:tc>
        <w:tc>
          <w:tcPr>
            <w:tcW w:w="5458" w:type="dxa"/>
            <w:tcBorders>
              <w:tl2br w:val="nil"/>
              <w:tr2bl w:val="nil"/>
            </w:tcBorders>
            <w:vAlign w:val="center"/>
          </w:tcPr>
          <w:p>
            <w:pPr>
              <w:pStyle w:val="35"/>
              <w:rPr>
                <w:sz w:val="21"/>
              </w:rPr>
            </w:pPr>
            <w:r>
              <w:rPr>
                <w:sz w:val="21"/>
              </w:rPr>
              <w:t>坚持以习近平生态文明思想为指导，严格落实《中华人民共和国长江保护法》，按照“共抓大保护、不搞大开发”的要求，立足于生态系统稳定和生态环境质量改善，处理好生态环境保护与矿产资源开发的关系，合理控制矿产资源开发规模与强度，不得占用依法应当禁止开发的区域，优先避让生态环境敏感区域。进一步强化《规划》的生态环境保护总体要求，推动生态环境保护与矿产资源开发目标同步实现。</w:t>
            </w:r>
          </w:p>
        </w:tc>
        <w:tc>
          <w:tcPr>
            <w:tcW w:w="1820" w:type="dxa"/>
            <w:tcBorders>
              <w:tl2br w:val="nil"/>
              <w:tr2bl w:val="nil"/>
            </w:tcBorders>
            <w:vAlign w:val="center"/>
          </w:tcPr>
          <w:p>
            <w:pPr>
              <w:pStyle w:val="35"/>
              <w:rPr>
                <w:sz w:val="21"/>
              </w:rPr>
            </w:pPr>
            <w:r>
              <w:rPr>
                <w:sz w:val="21"/>
              </w:rPr>
              <w:t>本项目符合《中华人民共和国长江保护法》，不涉及依法应当禁止开发的区域。</w:t>
            </w:r>
          </w:p>
        </w:tc>
        <w:tc>
          <w:tcPr>
            <w:tcW w:w="674" w:type="dxa"/>
            <w:tcBorders>
              <w:tl2br w:val="nil"/>
              <w:tr2bl w:val="nil"/>
            </w:tcBorders>
            <w:vAlign w:val="center"/>
          </w:tcPr>
          <w:p>
            <w:pPr>
              <w:pStyle w:val="35"/>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（二）严格产业准入，合理控制开采。</w:t>
            </w:r>
          </w:p>
        </w:tc>
        <w:tc>
          <w:tcPr>
            <w:tcW w:w="5458" w:type="dxa"/>
            <w:tcBorders>
              <w:tl2br w:val="nil"/>
              <w:tr2bl w:val="nil"/>
            </w:tcBorders>
            <w:vAlign w:val="center"/>
          </w:tcPr>
          <w:p>
            <w:pPr>
              <w:pStyle w:val="35"/>
              <w:rPr>
                <w:sz w:val="21"/>
              </w:rPr>
            </w:pPr>
            <w:r>
              <w:rPr>
                <w:sz w:val="21"/>
              </w:rPr>
              <w:t>严格落实《规划》提出的全区矿山数量控制在49个以内、矿山最低开采规模准入要求、大中型矿山比例达到90%等要求，水泥用石灰岩、建筑石料用灰岩矿石产量严格控制在《规划》提出的约束性指标内。</w:t>
            </w:r>
          </w:p>
        </w:tc>
        <w:tc>
          <w:tcPr>
            <w:tcW w:w="1820" w:type="dxa"/>
            <w:tcBorders>
              <w:tl2br w:val="nil"/>
              <w:tr2bl w:val="nil"/>
            </w:tcBorders>
            <w:vAlign w:val="center"/>
          </w:tcPr>
          <w:p>
            <w:pPr>
              <w:pStyle w:val="35"/>
              <w:rPr>
                <w:sz w:val="21"/>
              </w:rPr>
            </w:pPr>
            <w:r>
              <w:rPr>
                <w:sz w:val="21"/>
              </w:rPr>
              <w:t>已取得采矿许可证，满足规划约束性指标要求。</w:t>
            </w:r>
          </w:p>
        </w:tc>
        <w:tc>
          <w:tcPr>
            <w:tcW w:w="674" w:type="dxa"/>
            <w:tcBorders>
              <w:tl2br w:val="nil"/>
              <w:tr2bl w:val="nil"/>
            </w:tcBorders>
            <w:vAlign w:val="center"/>
          </w:tcPr>
          <w:p>
            <w:pPr>
              <w:pStyle w:val="35"/>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（三）严格保护生态空间，维护区域生态功能。</w:t>
            </w:r>
          </w:p>
        </w:tc>
        <w:tc>
          <w:tcPr>
            <w:tcW w:w="5458" w:type="dxa"/>
            <w:tcBorders>
              <w:tl2br w:val="nil"/>
              <w:tr2bl w:val="nil"/>
            </w:tcBorders>
            <w:vAlign w:val="center"/>
          </w:tcPr>
          <w:p>
            <w:pPr>
              <w:pStyle w:val="35"/>
              <w:rPr>
                <w:sz w:val="21"/>
              </w:rPr>
            </w:pPr>
            <w:r>
              <w:rPr>
                <w:sz w:val="21"/>
              </w:rPr>
              <w:t>按照重庆市“三线一单”生态环境分区管控、生态环境保护规划等要求，进一步优化矿权设置和空间布局，依法依规对生态空间实施严格保护。针对与生态保护红线存在冲突的重点勘查区（KZ001） 勘查规划区块（KQ001、KQ002、KQ003、KQ004）、重点开采区（CZ001）集中开采区（CSO02）开采规划区块（ CQ003CQ008、CQ017、CQ029、CQ033、CQ034、CQ041、CQ042、CQ044、CQ047、CQ048、CQ049、CQ057、CQ059），应优化空间布局，避让生态保护红线，确保满足生态保护红线管控要求。与一般生态空间存在冲突的重点勘查区（ KZ001）勘查规划区块（KQ001、KQ002KQ003）、开采规划区块（ CQ008、CQ017、CQ042、CQ044、CQ046.CQ047、CQ048、CQ049、CQ059），应按照一般生态空间管控要求严格控制勘查、开采活动范围和强度，严格落实绿色勘查、绿色开采及矿山环境保护、生态修复相关要求，保证生态系统结构和功能不受破坏。重点勘查区（KZ001）、勘查规划区块（KQ001）与合川大口县级自然保护区、云山国家重点风景名胜区、九峰山森林公园、重庆合川三江国家湿地公园存在冲突，建议优化空间布局，确保满足相关管控要求。与合川大口禽县级自然保护区、重庆合川三江国家湿地公园存在冲突的重点开采区（CZ001），矿权设置时避让自然保护区和湿地公园，确保满足相关管控要求。与饮用水水源保护区存在冲突的勘查规划区块 （KQ001）在勘查活动中，应避开饮用水水源保护区，严格落实相应管控要求;开采规划区块（CO041）应优化调整区块范围，避让饮用水水源保护区。与二级国家级公益林存在冲突的勘查规划区块（KO001）、开采规划区块（CO058），应尽量避开二级国家级公益林，不占或少占公益林，确需使用的应按规定办理林地使用手续。开采规划区块（CQ017、CQ029、CQ034、CQ041、CQ030、CQ039、CQ040）位于现状省道、高速公路和规划道路可视范围内，应在矿权投放前结合道路形式、矿山开采方式等进一步核实矿区直观可视范围，禁止在直观可视范围内进行露天开采;开采规划区块（CQ016、CQ041、CQ043、CQ051）邻近规划高铁，应与相关规划协调，禁止在直观可视范围内进行露天开采与永久基本农田、城镇开发边界存在空间冲突的勘查开采规划区块应优化区块布局，避让永久基本农田和城镇开发边界，确保满足相应管理要求。勘查规划区块（KQ001、KQ002）、开采规划区块（CQ009、CQ027、CQ036、CQ056、CQ057、CQ058、CQ059）所在区域分布有银杏、皂英、黄葛、柿等古树名木，勘查或开采前应开展相应的植物详细调查，针对发现的古树名木应优先避让并采取有效的保护措施。邻近生态保护红线、自然保护区、森林公园、风景名胜区等开采区块应切实加强对生态环境的保护，严控生产建设活动，工业场地尽量远离生态环境敏感区布设，降低对生态环境的影响。严格控制涉及水土流失重点预防区和重点治理区等具有重要生态功能的区域矿产开采活动，并采取严格有针对性的保护措施防止对区域生态功能产生不良环境影响。</w:t>
            </w:r>
          </w:p>
        </w:tc>
        <w:tc>
          <w:tcPr>
            <w:tcW w:w="1820" w:type="dxa"/>
            <w:tcBorders>
              <w:tl2br w:val="nil"/>
              <w:tr2bl w:val="nil"/>
            </w:tcBorders>
            <w:vAlign w:val="center"/>
          </w:tcPr>
          <w:p>
            <w:pPr>
              <w:pStyle w:val="35"/>
              <w:rPr>
                <w:sz w:val="21"/>
              </w:rPr>
            </w:pPr>
            <w:r>
              <w:rPr>
                <w:sz w:val="21"/>
              </w:rPr>
              <w:t>本项目占地范围不涉及生态保护红线、自然保护地（自然保护区、森林公园、地质公园、湿地公园等）、风景名胜区。</w:t>
            </w:r>
          </w:p>
        </w:tc>
        <w:tc>
          <w:tcPr>
            <w:tcW w:w="674" w:type="dxa"/>
            <w:tcBorders>
              <w:tl2br w:val="nil"/>
              <w:tr2bl w:val="nil"/>
            </w:tcBorders>
            <w:vAlign w:val="center"/>
          </w:tcPr>
          <w:p>
            <w:pPr>
              <w:pStyle w:val="35"/>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（四）加强矿山生态修复和环境治理。</w:t>
            </w:r>
          </w:p>
        </w:tc>
        <w:tc>
          <w:tcPr>
            <w:tcW w:w="5458" w:type="dxa"/>
            <w:tcBorders>
              <w:tl2br w:val="nil"/>
              <w:tr2bl w:val="nil"/>
            </w:tcBorders>
            <w:vAlign w:val="center"/>
          </w:tcPr>
          <w:p>
            <w:pPr>
              <w:pStyle w:val="35"/>
              <w:rPr>
                <w:sz w:val="21"/>
              </w:rPr>
            </w:pPr>
            <w:r>
              <w:rPr>
                <w:sz w:val="21"/>
              </w:rPr>
              <w:t>结合区域生态环境质量改善目标和主要生态环境问题，分区域分矿种确定矿山生态修复和环境治理总体要求，强化生态环境保护重视关闭矿山及历史遗留矿山的生态环境问题，按照国家、重庆市和合川区相关文件规定和要求，落实矿山生态修复及土地复垦责任主体，采取自然恢复、工程修复或合法再利用措施加快推进重庆市龙多山建材有限公司、重庆治能建筑材料有限公司等7个关闭非煤矿山的生态修复和环境治理。重庆天府矿业有限责任公司三汇一矿和三汇三矿、重庆市伍家岩煤业有限公司等 14 家关闭煤矿，加快推进研石堆场、矿井水治理等工作。区内历史遗留和关闭矿山损毁尚未治理的区域，应严格按照重庆市相关文件要求和规定，有序推进矿山生态修复，确保按期完成治理。</w:t>
            </w:r>
          </w:p>
        </w:tc>
        <w:tc>
          <w:tcPr>
            <w:tcW w:w="1820" w:type="dxa"/>
            <w:tcBorders>
              <w:tl2br w:val="nil"/>
              <w:tr2bl w:val="nil"/>
            </w:tcBorders>
            <w:vAlign w:val="center"/>
          </w:tcPr>
          <w:p>
            <w:pPr>
              <w:pStyle w:val="35"/>
              <w:rPr>
                <w:sz w:val="21"/>
              </w:rPr>
            </w:pPr>
            <w:r>
              <w:rPr>
                <w:sz w:val="21"/>
              </w:rPr>
              <w:t>本项目严格落实“边开采边生态恢复”，已编制完成《重庆峰磊矿业有限公司建筑石料用灰岩矿地质环境保护与土地复垦方案》。</w:t>
            </w:r>
          </w:p>
        </w:tc>
        <w:tc>
          <w:tcPr>
            <w:tcW w:w="674" w:type="dxa"/>
            <w:tcBorders>
              <w:tl2br w:val="nil"/>
              <w:tr2bl w:val="nil"/>
            </w:tcBorders>
            <w:vAlign w:val="center"/>
          </w:tcPr>
          <w:p>
            <w:pPr>
              <w:pStyle w:val="35"/>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（五）严守环境质量底线，加强环境污染防治。</w:t>
            </w:r>
          </w:p>
        </w:tc>
        <w:tc>
          <w:tcPr>
            <w:tcW w:w="5458" w:type="dxa"/>
            <w:tcBorders>
              <w:tl2br w:val="nil"/>
              <w:tr2bl w:val="nil"/>
            </w:tcBorders>
            <w:vAlign w:val="center"/>
          </w:tcPr>
          <w:p>
            <w:pPr>
              <w:pStyle w:val="35"/>
              <w:rPr>
                <w:sz w:val="21"/>
              </w:rPr>
            </w:pPr>
            <w:r>
              <w:rPr>
                <w:sz w:val="21"/>
              </w:rPr>
              <w:t>矿产资源开发利用过程中采用经济技术可行、措施有效的污染防治措施，控制生产和运输产生的污染物排放。采矿生产、生活污废水应处理后尽量回用或达标排放。采取密闭、除尘、洒水降尘等有效措施控制矿山开采和破碎加工过程中粉尘排放，严格控制矿产品及弃渣运输过程中的粉尘污染：加强矿区绿化，邻近环境空气一类功能区矿山应强化粉尘排放控制措施，确保300米缓冲带内环境空气质量满足《环境空气质量标准》（GB3095-2012）一级标准要求。合理布局工业场地，合理安排作业时间，选用低噪声设备，采取消声、隔声、减振等措施，减缓噪声不利影响，确保符合声环境相关标准。矿山剥离表土、废石进行妥善处置，实现资源化利用，危险废物依法依规交有资质单位处置。做好矿区工业场地分区防渗措施做好废石场和弃渣场土壤和地下水预防措施。</w:t>
            </w:r>
          </w:p>
        </w:tc>
        <w:tc>
          <w:tcPr>
            <w:tcW w:w="1820" w:type="dxa"/>
            <w:tcBorders>
              <w:tl2br w:val="nil"/>
              <w:tr2bl w:val="nil"/>
            </w:tcBorders>
            <w:vAlign w:val="center"/>
          </w:tcPr>
          <w:p>
            <w:pPr>
              <w:pStyle w:val="35"/>
              <w:rPr>
                <w:sz w:val="21"/>
              </w:rPr>
            </w:pPr>
            <w:r>
              <w:rPr>
                <w:sz w:val="21"/>
              </w:rPr>
              <w:t>矿山开采过程中采用湿式作业，破碎筛分车间采用封闭结构，含尘废气收集处理后排放，占地范围不涉及合川区生态红线，生产废水回用，生活废水收集农用，矿山加工选用低噪声设备，采取消声、隔声、减振等措施，减缓噪声不利影响，满足噪声排放标准。危险废物贮存间采取防渗措施。</w:t>
            </w:r>
          </w:p>
        </w:tc>
        <w:tc>
          <w:tcPr>
            <w:tcW w:w="674" w:type="dxa"/>
            <w:tcBorders>
              <w:tl2br w:val="nil"/>
              <w:tr2bl w:val="nil"/>
            </w:tcBorders>
            <w:vAlign w:val="center"/>
          </w:tcPr>
          <w:p>
            <w:pPr>
              <w:pStyle w:val="35"/>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（六）强化环境风险防控。</w:t>
            </w:r>
          </w:p>
        </w:tc>
        <w:tc>
          <w:tcPr>
            <w:tcW w:w="5458" w:type="dxa"/>
            <w:tcBorders>
              <w:tl2br w:val="nil"/>
              <w:tr2bl w:val="nil"/>
            </w:tcBorders>
            <w:vAlign w:val="center"/>
          </w:tcPr>
          <w:p>
            <w:pPr>
              <w:pStyle w:val="35"/>
              <w:rPr>
                <w:sz w:val="21"/>
              </w:rPr>
            </w:pPr>
            <w:r>
              <w:rPr>
                <w:sz w:val="21"/>
              </w:rPr>
              <w:t>严格落实矿产资源开发各项环境风险防范措施，防范突发性环境风险事故发生。狮滩镇区域地下水丰富，且存在地下暗河，开采规划区块（CO018、CO019、CQ020、CQ023、CQ025、CQ026、CQ028）位于狮滩镇区域，矿权投放前应开展详细场地水文地质调查，确保矿山开采满足《地下水管理条例》要求，开采过程中应严格落实相关废水处理措施和环境风险防范措施，防止对地下水造成影响。</w:t>
            </w:r>
          </w:p>
        </w:tc>
        <w:tc>
          <w:tcPr>
            <w:tcW w:w="1820" w:type="dxa"/>
            <w:tcBorders>
              <w:tl2br w:val="nil"/>
              <w:tr2bl w:val="nil"/>
            </w:tcBorders>
            <w:vAlign w:val="center"/>
          </w:tcPr>
          <w:p>
            <w:pPr>
              <w:pStyle w:val="35"/>
              <w:rPr>
                <w:sz w:val="21"/>
              </w:rPr>
            </w:pPr>
            <w:r>
              <w:rPr>
                <w:sz w:val="21"/>
              </w:rPr>
              <w:t>本项目严格落实矿产资源开发各项环境风险防范措施。</w:t>
            </w:r>
          </w:p>
        </w:tc>
        <w:tc>
          <w:tcPr>
            <w:tcW w:w="674" w:type="dxa"/>
            <w:tcBorders>
              <w:tl2br w:val="nil"/>
              <w:tr2bl w:val="nil"/>
            </w:tcBorders>
            <w:vAlign w:val="center"/>
          </w:tcPr>
          <w:p>
            <w:pPr>
              <w:pStyle w:val="35"/>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9" w:type="dxa"/>
            <w:tcBorders>
              <w:tl2br w:val="nil"/>
              <w:tr2bl w:val="nil"/>
            </w:tcBorders>
            <w:vAlign w:val="center"/>
          </w:tcPr>
          <w:p>
            <w:pPr>
              <w:pStyle w:val="35"/>
              <w:rPr>
                <w:sz w:val="21"/>
              </w:rPr>
            </w:pPr>
            <w:r>
              <w:rPr>
                <w:sz w:val="21"/>
              </w:rPr>
              <w:t>（七）规范生态环境保护管理制度</w:t>
            </w:r>
          </w:p>
        </w:tc>
        <w:tc>
          <w:tcPr>
            <w:tcW w:w="5458" w:type="dxa"/>
            <w:tcBorders>
              <w:tl2br w:val="nil"/>
              <w:tr2bl w:val="nil"/>
            </w:tcBorders>
            <w:vAlign w:val="center"/>
          </w:tcPr>
          <w:p>
            <w:pPr>
              <w:pStyle w:val="35"/>
              <w:rPr>
                <w:sz w:val="21"/>
              </w:rPr>
            </w:pPr>
            <w:r>
              <w:rPr>
                <w:sz w:val="21"/>
              </w:rPr>
              <w:t>规划中所含建设项目开展环境影响评价时，应进一步与自然保护地、国土空间“三区三线”划定成果衔接，严格落实自然保护地国土空间用途管制等要求；应结合规划环评提出的指导意见和管控要求做好环境影响评价工作，加强与规划环评的联动，重点评价项目建设对区域生态系统、水环境、土壤环境等环境影响的途径、范围和程度，深入论证生态修复工程、环境保护措施及环境风险防范措施的可行性，规划协调性分析等内容可予以简化。规划在适用期限、规模、结构和布局等方面进行重大调整或者修订的，应当按规定重新或者补充开展环境影响评价。</w:t>
            </w:r>
          </w:p>
        </w:tc>
        <w:tc>
          <w:tcPr>
            <w:tcW w:w="1820" w:type="dxa"/>
            <w:tcBorders>
              <w:tl2br w:val="nil"/>
              <w:tr2bl w:val="nil"/>
            </w:tcBorders>
            <w:vAlign w:val="center"/>
          </w:tcPr>
          <w:p>
            <w:pPr>
              <w:pStyle w:val="35"/>
              <w:rPr>
                <w:sz w:val="21"/>
              </w:rPr>
            </w:pPr>
            <w:r>
              <w:rPr>
                <w:sz w:val="21"/>
              </w:rPr>
              <w:t>本项目不占用九峰山森林公园、生态保护红线等生态环境敏感区。</w:t>
            </w:r>
          </w:p>
        </w:tc>
        <w:tc>
          <w:tcPr>
            <w:tcW w:w="674" w:type="dxa"/>
            <w:tcBorders>
              <w:tl2br w:val="nil"/>
              <w:tr2bl w:val="nil"/>
            </w:tcBorders>
            <w:vAlign w:val="center"/>
          </w:tcPr>
          <w:p>
            <w:pPr>
              <w:pStyle w:val="35"/>
              <w:rPr>
                <w:sz w:val="21"/>
              </w:rPr>
            </w:pPr>
            <w:r>
              <w:rPr>
                <w:sz w:val="21"/>
              </w:rPr>
              <w:t>符合</w:t>
            </w:r>
          </w:p>
        </w:tc>
      </w:tr>
    </w:tbl>
    <w:p>
      <w:pPr>
        <w:pStyle w:val="5"/>
        <w:rPr>
          <w:color w:val="auto"/>
        </w:rPr>
      </w:pPr>
      <w:r>
        <w:rPr>
          <w:color w:val="auto"/>
        </w:rPr>
        <w:t>1.10.5与《自然资源部关于规范和完善砂石开采管理的通知》（自然资发〔2023〕57号）的符合性分析</w:t>
      </w:r>
    </w:p>
    <w:p>
      <w:pPr>
        <w:pStyle w:val="300"/>
      </w:pPr>
      <w:r>
        <w:t>本项目与《自然资源部关于规范和完善砂石开采管理的通知》（自然资发〔2023〕57号）的符合性分析见下表。</w:t>
      </w:r>
    </w:p>
    <w:p>
      <w:pPr>
        <w:pStyle w:val="84"/>
      </w:pPr>
      <w:r>
        <w:t>表1.10-4  与《自然资源部关于规范和完善砂石开采管理的通知》符合性分析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4"/>
        <w:gridCol w:w="5481"/>
        <w:gridCol w:w="2446"/>
        <w:gridCol w:w="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300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通知要求</w:t>
            </w:r>
          </w:p>
        </w:tc>
        <w:tc>
          <w:tcPr>
            <w:tcW w:w="134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本项目情况</w:t>
            </w:r>
          </w:p>
        </w:tc>
        <w:tc>
          <w:tcPr>
            <w:tcW w:w="36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spacing w:line="240" w:lineRule="auto"/>
              <w:ind w:firstLine="0" w:firstLineChars="0"/>
              <w:rPr>
                <w:sz w:val="21"/>
                <w:szCs w:val="21"/>
              </w:rPr>
            </w:pPr>
            <w:r>
              <w:rPr>
                <w:sz w:val="21"/>
                <w:szCs w:val="21"/>
              </w:rPr>
              <w:t>1</w:t>
            </w:r>
          </w:p>
        </w:tc>
        <w:tc>
          <w:tcPr>
            <w:tcW w:w="3005" w:type="pct"/>
            <w:vAlign w:val="center"/>
          </w:tcPr>
          <w:p>
            <w:pPr>
              <w:spacing w:line="240" w:lineRule="auto"/>
              <w:ind w:firstLine="0" w:firstLineChars="0"/>
              <w:rPr>
                <w:sz w:val="21"/>
                <w:szCs w:val="21"/>
              </w:rPr>
            </w:pPr>
            <w:r>
              <w:rPr>
                <w:sz w:val="21"/>
                <w:szCs w:val="21"/>
              </w:rPr>
              <w:t>一、科学规划开发布局</w:t>
            </w:r>
          </w:p>
          <w:p>
            <w:pPr>
              <w:spacing w:line="240" w:lineRule="auto"/>
              <w:ind w:firstLine="0" w:firstLineChars="0"/>
              <w:rPr>
                <w:sz w:val="21"/>
                <w:szCs w:val="21"/>
              </w:rPr>
            </w:pPr>
            <w:r>
              <w:rPr>
                <w:sz w:val="21"/>
                <w:szCs w:val="21"/>
              </w:rPr>
              <w:t>地方各级自然资源主管部门要认真落实国土空间总体规划、矿产资源规划要求，可结合实际需要组织编制砂石资源专项规划，统筹考虑资源赋存条件、耕地和永久基本农田保护红线、生态保护红线、历史文化保护红线、海洋生态保护和绿色矿山建设等管控要求，以及城镇发展、产业布局、供需平衡、运输距离等因素，划定砂石集中开采区或开采规划区块，并纳入国土空间规划“一张图”实施监督，合理引导砂石采矿权投放，避免出现以山脊线划界等开采后遗留残山残坡等不合理问题，实现砂石资源绿色开发、集约开采、系统修复、全生命周期管理。</w:t>
            </w:r>
          </w:p>
        </w:tc>
        <w:tc>
          <w:tcPr>
            <w:tcW w:w="1341" w:type="pct"/>
            <w:vAlign w:val="center"/>
          </w:tcPr>
          <w:p>
            <w:pPr>
              <w:spacing w:line="240" w:lineRule="auto"/>
              <w:ind w:firstLine="0" w:firstLineChars="0"/>
              <w:rPr>
                <w:sz w:val="21"/>
                <w:szCs w:val="21"/>
              </w:rPr>
            </w:pPr>
            <w:r>
              <w:rPr>
                <w:sz w:val="21"/>
                <w:szCs w:val="21"/>
              </w:rPr>
              <w:t>本项目属于合川区矿产资源规划矿山，矿区编号：CQ012，占地范围不占用生态保护红线，评价范围涉及生态保护红线，不涉及基本农田、历史文化保护红线等管控要求，不在城镇开发边界内，并已取得采矿许可证，已制定生态修复复垦方案。 并已纳入国土空间规划，依法取得了采矿许可证。</w:t>
            </w:r>
          </w:p>
        </w:tc>
        <w:tc>
          <w:tcPr>
            <w:tcW w:w="365"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spacing w:line="240" w:lineRule="auto"/>
              <w:ind w:firstLine="0" w:firstLineChars="0"/>
              <w:rPr>
                <w:sz w:val="21"/>
                <w:szCs w:val="21"/>
              </w:rPr>
            </w:pPr>
            <w:r>
              <w:rPr>
                <w:sz w:val="21"/>
                <w:szCs w:val="21"/>
              </w:rPr>
              <w:t>2</w:t>
            </w:r>
          </w:p>
        </w:tc>
        <w:tc>
          <w:tcPr>
            <w:tcW w:w="3005" w:type="pct"/>
            <w:vAlign w:val="center"/>
          </w:tcPr>
          <w:p>
            <w:pPr>
              <w:spacing w:line="240" w:lineRule="auto"/>
              <w:ind w:firstLine="0" w:firstLineChars="0"/>
              <w:rPr>
                <w:sz w:val="21"/>
                <w:szCs w:val="21"/>
              </w:rPr>
            </w:pPr>
            <w:r>
              <w:rPr>
                <w:sz w:val="21"/>
                <w:szCs w:val="21"/>
              </w:rPr>
              <w:t>二、合理有序投放采矿权</w:t>
            </w:r>
          </w:p>
          <w:p>
            <w:pPr>
              <w:spacing w:line="240" w:lineRule="auto"/>
              <w:ind w:firstLine="0" w:firstLineChars="0"/>
              <w:rPr>
                <w:sz w:val="21"/>
                <w:szCs w:val="21"/>
              </w:rPr>
            </w:pPr>
            <w:r>
              <w:rPr>
                <w:sz w:val="21"/>
                <w:szCs w:val="21"/>
              </w:rPr>
              <w:t>负责砂石资源采矿权出让登记的自然资源主管部门，要依据矿产资源规划或砂石资源专项规划，组织开展必要的勘查，建立砂石资源采矿权出让项目库。统筹考虑已有砂石资源采矿权分布和服务年限，加强砂石市场运行分析，合理确定一定时期内拟设置砂石资源采矿权数量和规模，根据市场需求积极有序投放。</w:t>
            </w:r>
          </w:p>
        </w:tc>
        <w:tc>
          <w:tcPr>
            <w:tcW w:w="1341" w:type="pct"/>
            <w:vAlign w:val="center"/>
          </w:tcPr>
          <w:p>
            <w:pPr>
              <w:spacing w:line="240" w:lineRule="auto"/>
              <w:ind w:firstLine="0" w:firstLineChars="0"/>
              <w:rPr>
                <w:sz w:val="21"/>
                <w:szCs w:val="21"/>
              </w:rPr>
            </w:pPr>
            <w:r>
              <w:rPr>
                <w:sz w:val="21"/>
                <w:szCs w:val="21"/>
              </w:rPr>
              <w:t>本项目符合《重庆市矿产资源总体规划（2021-2025年）》和《重庆市合川区矿产资源总体规划（2021-2025年）》，并依法取得了采矿许可证，属于合川区盐井集中开采区规划矿山，开采规模符合规划要求。</w:t>
            </w:r>
          </w:p>
        </w:tc>
        <w:tc>
          <w:tcPr>
            <w:tcW w:w="365"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8" w:type="pct"/>
            <w:vAlign w:val="center"/>
          </w:tcPr>
          <w:p>
            <w:pPr>
              <w:spacing w:line="240" w:lineRule="auto"/>
              <w:ind w:firstLine="0" w:firstLineChars="0"/>
              <w:rPr>
                <w:sz w:val="21"/>
                <w:szCs w:val="21"/>
              </w:rPr>
            </w:pPr>
            <w:r>
              <w:rPr>
                <w:sz w:val="21"/>
                <w:szCs w:val="21"/>
              </w:rPr>
              <w:t>3</w:t>
            </w:r>
          </w:p>
        </w:tc>
        <w:tc>
          <w:tcPr>
            <w:tcW w:w="3005" w:type="pct"/>
            <w:vAlign w:val="center"/>
          </w:tcPr>
          <w:p>
            <w:pPr>
              <w:spacing w:line="240" w:lineRule="auto"/>
              <w:ind w:firstLine="0" w:firstLineChars="0"/>
              <w:rPr>
                <w:sz w:val="21"/>
                <w:szCs w:val="21"/>
              </w:rPr>
            </w:pPr>
            <w:r>
              <w:rPr>
                <w:sz w:val="21"/>
                <w:szCs w:val="21"/>
              </w:rPr>
              <w:t>三、积极落实“净矿”出让</w:t>
            </w:r>
          </w:p>
          <w:p>
            <w:pPr>
              <w:spacing w:line="240" w:lineRule="auto"/>
              <w:ind w:firstLine="0" w:firstLineChars="0"/>
              <w:rPr>
                <w:sz w:val="21"/>
                <w:szCs w:val="21"/>
              </w:rPr>
            </w:pPr>
            <w:r>
              <w:rPr>
                <w:sz w:val="21"/>
                <w:szCs w:val="21"/>
              </w:rPr>
              <w:t>负责砂石资源采矿权出让登记的自然资源主管部门要在出让前会同相关部门开展实地踏勘，核查禁止、限制开采砂石区域，对禁止区严格落实空间避让，对限制区明确管控要求，合理确定采矿权出让范围。商有关部门明确用地（林、草）、用海、环保、水保、安全等涉矿手续办理的相关要求，避免后续出现禁止性障碍。出让海砂采矿权应严格执行海砂采矿权和海域使用权“两权合一”招标拍卖挂牌出让制度。在出让后积极优化采矿权登记流程，简化登记要件，提高登记服务效率，保障采矿权人及时顺利开采。</w:t>
            </w:r>
          </w:p>
        </w:tc>
        <w:tc>
          <w:tcPr>
            <w:tcW w:w="1341" w:type="pct"/>
            <w:vAlign w:val="center"/>
          </w:tcPr>
          <w:p>
            <w:pPr>
              <w:spacing w:line="240" w:lineRule="auto"/>
              <w:ind w:firstLine="0" w:firstLineChars="0"/>
              <w:rPr>
                <w:sz w:val="21"/>
                <w:szCs w:val="21"/>
              </w:rPr>
            </w:pPr>
            <w:r>
              <w:rPr>
                <w:sz w:val="21"/>
                <w:szCs w:val="21"/>
              </w:rPr>
              <w:t>本项目已依法取得采矿许可证，不在禁止、限制开采区域，符合相关法律法规。</w:t>
            </w:r>
          </w:p>
        </w:tc>
        <w:tc>
          <w:tcPr>
            <w:tcW w:w="365"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spacing w:line="240" w:lineRule="auto"/>
              <w:ind w:firstLine="0" w:firstLineChars="0"/>
              <w:rPr>
                <w:sz w:val="21"/>
                <w:szCs w:val="21"/>
              </w:rPr>
            </w:pPr>
            <w:r>
              <w:rPr>
                <w:sz w:val="21"/>
                <w:szCs w:val="21"/>
              </w:rPr>
              <w:t>4</w:t>
            </w:r>
          </w:p>
        </w:tc>
        <w:tc>
          <w:tcPr>
            <w:tcW w:w="3005" w:type="pct"/>
            <w:vAlign w:val="center"/>
          </w:tcPr>
          <w:p>
            <w:pPr>
              <w:spacing w:line="240" w:lineRule="auto"/>
              <w:ind w:firstLine="0" w:firstLineChars="0"/>
              <w:rPr>
                <w:sz w:val="21"/>
                <w:szCs w:val="21"/>
              </w:rPr>
            </w:pPr>
            <w:r>
              <w:rPr>
                <w:sz w:val="21"/>
                <w:szCs w:val="21"/>
              </w:rPr>
              <w:t>四、严格工程建设项目动用砂石的管理</w:t>
            </w:r>
          </w:p>
          <w:p>
            <w:pPr>
              <w:spacing w:line="240" w:lineRule="auto"/>
              <w:ind w:firstLine="0" w:firstLineChars="0"/>
              <w:rPr>
                <w:sz w:val="21"/>
                <w:szCs w:val="21"/>
              </w:rPr>
            </w:pPr>
            <w:r>
              <w:rPr>
                <w:sz w:val="21"/>
                <w:szCs w:val="21"/>
              </w:rPr>
              <w:t>经批准设立的能源、交通、水利等基础设施、线性工程等建设项目，应按照节约集约原则动用砂石，在自然资源部门批准的建设项目用地（不含临时用地）范围内，因工程施工产生的砂石料可直接用于该工程建设，不办理采矿许可证。上述自用仍有剩余的砂石料，由所在地的自然资源主管部门报县级以上地方人民政府组织纳入公共资源交易平台处置。严禁擅自扩大施工范围采挖砂石，以及私自出售或以赠予为名擅自处置工程建设动用的砂石料。航道疏浚工程产生的海砂参照办理。</w:t>
            </w:r>
          </w:p>
        </w:tc>
        <w:tc>
          <w:tcPr>
            <w:tcW w:w="1341" w:type="pct"/>
            <w:vAlign w:val="center"/>
          </w:tcPr>
          <w:p>
            <w:pPr>
              <w:spacing w:line="240" w:lineRule="auto"/>
              <w:ind w:firstLine="0" w:firstLineChars="0"/>
              <w:rPr>
                <w:sz w:val="21"/>
                <w:szCs w:val="21"/>
              </w:rPr>
            </w:pPr>
            <w:r>
              <w:rPr>
                <w:sz w:val="21"/>
                <w:szCs w:val="21"/>
              </w:rPr>
              <w:t>本项目已取得采矿许可证，在拐点范围内进行开采，不得越界开采。</w:t>
            </w:r>
          </w:p>
        </w:tc>
        <w:tc>
          <w:tcPr>
            <w:tcW w:w="365"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spacing w:line="240" w:lineRule="auto"/>
              <w:ind w:firstLine="0" w:firstLineChars="0"/>
              <w:rPr>
                <w:sz w:val="21"/>
                <w:szCs w:val="21"/>
              </w:rPr>
            </w:pPr>
            <w:r>
              <w:rPr>
                <w:sz w:val="21"/>
                <w:szCs w:val="21"/>
              </w:rPr>
              <w:t>5</w:t>
            </w:r>
          </w:p>
        </w:tc>
        <w:tc>
          <w:tcPr>
            <w:tcW w:w="3005" w:type="pct"/>
            <w:vAlign w:val="center"/>
          </w:tcPr>
          <w:p>
            <w:pPr>
              <w:spacing w:line="240" w:lineRule="auto"/>
              <w:ind w:firstLine="0" w:firstLineChars="0"/>
              <w:rPr>
                <w:sz w:val="21"/>
                <w:szCs w:val="21"/>
              </w:rPr>
            </w:pPr>
            <w:r>
              <w:rPr>
                <w:sz w:val="21"/>
                <w:szCs w:val="21"/>
              </w:rPr>
              <w:t>五、规范矿山开采产生的砂石料管理</w:t>
            </w:r>
          </w:p>
          <w:p>
            <w:pPr>
              <w:spacing w:line="240" w:lineRule="auto"/>
              <w:ind w:firstLine="0" w:firstLineChars="0"/>
              <w:rPr>
                <w:sz w:val="21"/>
                <w:szCs w:val="21"/>
              </w:rPr>
            </w:pPr>
            <w:r>
              <w:rPr>
                <w:sz w:val="21"/>
                <w:szCs w:val="21"/>
              </w:rPr>
              <w:t>非砂石类生产矿山在其矿区范围内按照矿山设计或开发利用方案，矿山剥离、井巷开拓、选矿产生的砂石料，应优先供该矿山井巷填充、修复治理及工程建设等综合利用，利用后仍有剩余的，由所在地的自然资源主管部门报县级以上地方人民政府组织纳入公共资源交易平台处置。</w:t>
            </w:r>
          </w:p>
        </w:tc>
        <w:tc>
          <w:tcPr>
            <w:tcW w:w="1341" w:type="pct"/>
            <w:vAlign w:val="center"/>
          </w:tcPr>
          <w:p>
            <w:pPr>
              <w:spacing w:line="240" w:lineRule="auto"/>
              <w:ind w:firstLine="0" w:firstLineChars="0"/>
              <w:rPr>
                <w:sz w:val="21"/>
                <w:szCs w:val="21"/>
              </w:rPr>
            </w:pPr>
            <w:r>
              <w:rPr>
                <w:sz w:val="21"/>
                <w:szCs w:val="21"/>
              </w:rPr>
              <w:t>本项目属于建筑石料用灰岩砂，产生剥离表土，作为矿山复绿复垦生态恢复修复工程使用。</w:t>
            </w:r>
          </w:p>
        </w:tc>
        <w:tc>
          <w:tcPr>
            <w:tcW w:w="365"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 w:type="pct"/>
            <w:vAlign w:val="center"/>
          </w:tcPr>
          <w:p>
            <w:pPr>
              <w:spacing w:line="240" w:lineRule="auto"/>
              <w:ind w:firstLine="0" w:firstLineChars="0"/>
              <w:rPr>
                <w:sz w:val="21"/>
                <w:szCs w:val="21"/>
              </w:rPr>
            </w:pPr>
            <w:r>
              <w:rPr>
                <w:sz w:val="21"/>
                <w:szCs w:val="21"/>
              </w:rPr>
              <w:t>6</w:t>
            </w:r>
          </w:p>
        </w:tc>
        <w:tc>
          <w:tcPr>
            <w:tcW w:w="3005" w:type="pct"/>
            <w:vAlign w:val="center"/>
          </w:tcPr>
          <w:p>
            <w:pPr>
              <w:spacing w:line="240" w:lineRule="auto"/>
              <w:ind w:firstLine="0" w:firstLineChars="0"/>
              <w:rPr>
                <w:sz w:val="21"/>
                <w:szCs w:val="21"/>
              </w:rPr>
            </w:pPr>
            <w:r>
              <w:rPr>
                <w:sz w:val="21"/>
                <w:szCs w:val="21"/>
              </w:rPr>
              <w:t>六、积极推进绿色矿山建设</w:t>
            </w:r>
          </w:p>
          <w:p>
            <w:pPr>
              <w:spacing w:line="240" w:lineRule="auto"/>
              <w:ind w:firstLine="0" w:firstLineChars="0"/>
              <w:rPr>
                <w:sz w:val="21"/>
                <w:szCs w:val="21"/>
              </w:rPr>
            </w:pPr>
            <w:r>
              <w:rPr>
                <w:sz w:val="21"/>
                <w:szCs w:val="21"/>
              </w:rPr>
              <w:t>绿色矿山建设要求应纳入采矿权出让公告，并在采矿权出让合同中明确绿色矿山创建要求和违约责任。新建砂石矿山应按绿色矿山标准要求建设，正在生产的矿山应积极推进绿色矿山建设，明确改进期限，逐步达到绿色矿山要求。矿山企业应当认真履行矿山生态保护修复义务，将生态保护修复贯穿采矿活动全过程。</w:t>
            </w:r>
          </w:p>
        </w:tc>
        <w:tc>
          <w:tcPr>
            <w:tcW w:w="1341" w:type="pct"/>
            <w:vAlign w:val="center"/>
          </w:tcPr>
          <w:p>
            <w:pPr>
              <w:spacing w:line="240" w:lineRule="auto"/>
              <w:ind w:firstLine="0" w:firstLineChars="0"/>
              <w:rPr>
                <w:sz w:val="21"/>
                <w:szCs w:val="21"/>
              </w:rPr>
            </w:pPr>
            <w:r>
              <w:rPr>
                <w:sz w:val="21"/>
                <w:szCs w:val="21"/>
              </w:rPr>
              <w:t>本项目将严格按照矿山生态环境保护与恢复治理方案进行矿山土地复垦和生态恢复，参照《重庆市绿色矿山建设标准（2021年版）》（渝规资〔2021〕745号）持续开展绿色矿山建设。</w:t>
            </w:r>
          </w:p>
        </w:tc>
        <w:tc>
          <w:tcPr>
            <w:tcW w:w="365" w:type="pct"/>
            <w:vAlign w:val="center"/>
          </w:tcPr>
          <w:p>
            <w:pPr>
              <w:spacing w:line="240" w:lineRule="auto"/>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8" w:type="pct"/>
            <w:vAlign w:val="center"/>
          </w:tcPr>
          <w:p>
            <w:pPr>
              <w:spacing w:line="240" w:lineRule="auto"/>
              <w:ind w:firstLine="0" w:firstLineChars="0"/>
              <w:rPr>
                <w:sz w:val="21"/>
                <w:szCs w:val="21"/>
              </w:rPr>
            </w:pPr>
            <w:r>
              <w:rPr>
                <w:sz w:val="21"/>
                <w:szCs w:val="21"/>
              </w:rPr>
              <w:t>7</w:t>
            </w:r>
          </w:p>
        </w:tc>
        <w:tc>
          <w:tcPr>
            <w:tcW w:w="3005" w:type="pct"/>
            <w:vAlign w:val="center"/>
          </w:tcPr>
          <w:p>
            <w:pPr>
              <w:spacing w:line="240" w:lineRule="auto"/>
              <w:ind w:firstLine="0" w:firstLineChars="0"/>
              <w:rPr>
                <w:sz w:val="21"/>
                <w:szCs w:val="21"/>
              </w:rPr>
            </w:pPr>
            <w:r>
              <w:rPr>
                <w:sz w:val="21"/>
                <w:szCs w:val="21"/>
              </w:rPr>
              <w:t>七、加强监管和执法</w:t>
            </w:r>
          </w:p>
          <w:p>
            <w:pPr>
              <w:spacing w:line="240" w:lineRule="auto"/>
              <w:ind w:firstLine="0" w:firstLineChars="0"/>
              <w:rPr>
                <w:sz w:val="21"/>
                <w:szCs w:val="21"/>
              </w:rPr>
            </w:pPr>
            <w:r>
              <w:rPr>
                <w:sz w:val="21"/>
                <w:szCs w:val="21"/>
              </w:rPr>
              <w:t>要基于国土空间基础信息平台探索实施电子围栏、无人机等信息化监管，鼓励社会监督，及时制止发现的违法行为，依法依规严肃查处。对不履行法定义务或履行法定义务不到位的，应责令限期整改，整改不到位的，追究其法律责任，并按相关规定列入矿业权人勘查开采信息公示系统异常名录或严重违法名单。加强砂石资源日常监管和执法，依法依规严肃查处无证开采、越界开采、破坏性开采等违法违规行为，特别是以各类工程名义违法采矿行为。涉嫌非法采矿犯罪的，移送司法机关追究刑事责任。涉嫌职务违纪违法的，移送纪检监察机关处理。积极配合海警部门加强对海砂资源开采的执法监督，加强信息共享和协同配合。</w:t>
            </w:r>
          </w:p>
        </w:tc>
        <w:tc>
          <w:tcPr>
            <w:tcW w:w="1341" w:type="pct"/>
            <w:vAlign w:val="center"/>
          </w:tcPr>
          <w:p>
            <w:pPr>
              <w:spacing w:line="240" w:lineRule="auto"/>
              <w:ind w:firstLine="0" w:firstLineChars="0"/>
              <w:rPr>
                <w:sz w:val="21"/>
                <w:szCs w:val="21"/>
              </w:rPr>
            </w:pPr>
            <w:r>
              <w:rPr>
                <w:sz w:val="21"/>
                <w:szCs w:val="21"/>
              </w:rPr>
              <w:t>建设单位接受主管部门的监督管理，在拐点范围内进行开采，不得越界开采。</w:t>
            </w:r>
          </w:p>
        </w:tc>
        <w:tc>
          <w:tcPr>
            <w:tcW w:w="365" w:type="pct"/>
            <w:vAlign w:val="center"/>
          </w:tcPr>
          <w:p>
            <w:pPr>
              <w:spacing w:line="240" w:lineRule="auto"/>
              <w:ind w:firstLine="0" w:firstLineChars="0"/>
              <w:rPr>
                <w:sz w:val="21"/>
                <w:szCs w:val="21"/>
              </w:rPr>
            </w:pPr>
            <w:r>
              <w:rPr>
                <w:sz w:val="21"/>
                <w:szCs w:val="21"/>
              </w:rPr>
              <w:t>符合</w:t>
            </w:r>
          </w:p>
        </w:tc>
      </w:tr>
    </w:tbl>
    <w:p>
      <w:pPr>
        <w:pStyle w:val="300"/>
      </w:pPr>
      <w:r>
        <w:t>由上表可知，本项目符合《自然资源部关于规范和完善砂石开采管理的通知》（自然资发〔2023〕57号）要求。</w:t>
      </w:r>
    </w:p>
    <w:p>
      <w:pPr>
        <w:pStyle w:val="4"/>
      </w:pPr>
      <w:bookmarkStart w:id="117" w:name="_Toc161676093"/>
      <w:r>
        <w:t>1.11与“三线一单”符合性分析</w:t>
      </w:r>
      <w:bookmarkEnd w:id="117"/>
    </w:p>
    <w:p>
      <w:pPr>
        <w:spacing w:line="460" w:lineRule="exact"/>
        <w:ind w:firstLine="480"/>
        <w:jc w:val="both"/>
        <w:rPr>
          <w:sz w:val="24"/>
          <w:szCs w:val="21"/>
        </w:rPr>
      </w:pPr>
      <w:bookmarkStart w:id="118" w:name="_Hlk44581452"/>
      <w:r>
        <w:rPr>
          <w:sz w:val="24"/>
          <w:szCs w:val="21"/>
        </w:rPr>
        <w:t>根据重庆市“三线一单”智检服务系统（http：//222.177.117.35：10042）及检测报告（见附件），本项目不占用生态保护红线。本项目位于重庆市合川区盐井街道观音村，分为开采区和工业场地，相距1km，不占用合川区生态保护红线和九峰山森林公园敏感区。</w:t>
      </w:r>
    </w:p>
    <w:p>
      <w:pPr>
        <w:spacing w:line="460" w:lineRule="exact"/>
        <w:ind w:firstLine="480"/>
        <w:jc w:val="both"/>
        <w:rPr>
          <w:sz w:val="24"/>
          <w:szCs w:val="21"/>
        </w:rPr>
      </w:pPr>
      <w:r>
        <w:rPr>
          <w:sz w:val="24"/>
          <w:szCs w:val="21"/>
        </w:rPr>
        <w:t>从重庆市“三线一单”智检服务系统导出的关于开采区和工业场地检测报告，管控要求一致。按照《建设项目环评“三线一单”符合性分析技术要点（试行）》（渝环函〔2022〕397号），本项目符合重庆市总体管控要求、合川区总体管控要求及项目所在环境管控单元生态环境准入清单要求，符合性分析汇总见下表。</w:t>
      </w:r>
    </w:p>
    <w:p>
      <w:pPr>
        <w:pStyle w:val="84"/>
      </w:pPr>
      <w:r>
        <w:t>表1.11-1  建设项目与“三线一单”管控要求的符合性分析表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1131"/>
        <w:gridCol w:w="3552"/>
        <w:gridCol w:w="2172"/>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3"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环境管控单元编码</w:t>
            </w:r>
          </w:p>
        </w:tc>
        <w:tc>
          <w:tcPr>
            <w:tcW w:w="194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环境管控单元名称</w:t>
            </w:r>
          </w:p>
        </w:tc>
        <w:tc>
          <w:tcPr>
            <w:tcW w:w="1729"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环境管控单元类型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3" w:type="pct"/>
            <w:gridSpan w:val="2"/>
            <w:vAlign w:val="center"/>
          </w:tcPr>
          <w:p>
            <w:pPr>
              <w:spacing w:line="240" w:lineRule="auto"/>
              <w:ind w:firstLine="0" w:firstLineChars="0"/>
              <w:jc w:val="center"/>
              <w:rPr>
                <w:bCs/>
                <w:sz w:val="21"/>
                <w:szCs w:val="21"/>
              </w:rPr>
            </w:pPr>
            <w:r>
              <w:rPr>
                <w:bCs/>
                <w:sz w:val="21"/>
                <w:szCs w:val="21"/>
              </w:rPr>
              <w:t>ZH50011720001</w:t>
            </w:r>
          </w:p>
        </w:tc>
        <w:tc>
          <w:tcPr>
            <w:tcW w:w="1948" w:type="pct"/>
            <w:vAlign w:val="center"/>
          </w:tcPr>
          <w:p>
            <w:pPr>
              <w:spacing w:line="240" w:lineRule="auto"/>
              <w:ind w:firstLine="0" w:firstLineChars="0"/>
              <w:jc w:val="center"/>
              <w:rPr>
                <w:bCs/>
                <w:sz w:val="21"/>
                <w:szCs w:val="21"/>
              </w:rPr>
            </w:pPr>
            <w:r>
              <w:rPr>
                <w:bCs/>
                <w:sz w:val="21"/>
                <w:szCs w:val="21"/>
              </w:rPr>
              <w:t>合川区重点管控单元-嘉陵江北温泉合川段</w:t>
            </w:r>
          </w:p>
        </w:tc>
        <w:tc>
          <w:tcPr>
            <w:tcW w:w="1729" w:type="pct"/>
            <w:gridSpan w:val="2"/>
            <w:vAlign w:val="center"/>
          </w:tcPr>
          <w:p>
            <w:pPr>
              <w:spacing w:line="240" w:lineRule="auto"/>
              <w:ind w:firstLine="0" w:firstLineChars="0"/>
              <w:jc w:val="center"/>
              <w:rPr>
                <w:bCs/>
                <w:sz w:val="21"/>
                <w:szCs w:val="21"/>
              </w:rPr>
            </w:pPr>
            <w:r>
              <w:rPr>
                <w:bCs/>
                <w:sz w:val="21"/>
                <w:szCs w:val="21"/>
              </w:rPr>
              <w:t>重点管控单元1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3"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管控要求层级</w:t>
            </w:r>
          </w:p>
        </w:tc>
        <w:tc>
          <w:tcPr>
            <w:tcW w:w="62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管控类型</w:t>
            </w:r>
          </w:p>
        </w:tc>
        <w:tc>
          <w:tcPr>
            <w:tcW w:w="194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管控要求</w:t>
            </w:r>
          </w:p>
        </w:tc>
        <w:tc>
          <w:tcPr>
            <w:tcW w:w="1191"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建设项目相关情况</w:t>
            </w:r>
          </w:p>
        </w:tc>
        <w:tc>
          <w:tcPr>
            <w:tcW w:w="539"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符合性分析结论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703" w:type="pct"/>
            <w:vMerge w:val="restart"/>
            <w:vAlign w:val="center"/>
          </w:tcPr>
          <w:p>
            <w:pPr>
              <w:spacing w:line="240" w:lineRule="auto"/>
              <w:ind w:firstLine="0" w:firstLineChars="0"/>
              <w:jc w:val="center"/>
              <w:rPr>
                <w:sz w:val="21"/>
                <w:szCs w:val="21"/>
              </w:rPr>
            </w:pPr>
            <w:r>
              <w:rPr>
                <w:sz w:val="21"/>
                <w:szCs w:val="21"/>
              </w:rPr>
              <w:t>全市总体管控要求</w:t>
            </w:r>
          </w:p>
        </w:tc>
        <w:tc>
          <w:tcPr>
            <w:tcW w:w="620" w:type="pct"/>
            <w:vMerge w:val="restart"/>
            <w:vAlign w:val="center"/>
          </w:tcPr>
          <w:p>
            <w:pPr>
              <w:spacing w:line="240" w:lineRule="auto"/>
              <w:ind w:firstLine="0" w:firstLineChars="0"/>
              <w:jc w:val="center"/>
              <w:rPr>
                <w:sz w:val="21"/>
                <w:szCs w:val="21"/>
              </w:rPr>
            </w:pPr>
            <w:r>
              <w:rPr>
                <w:sz w:val="21"/>
                <w:szCs w:val="21"/>
              </w:rPr>
              <w:t>空间布局约束</w:t>
            </w:r>
          </w:p>
        </w:tc>
        <w:tc>
          <w:tcPr>
            <w:tcW w:w="1948" w:type="pct"/>
            <w:vAlign w:val="center"/>
          </w:tcPr>
          <w:p>
            <w:pPr>
              <w:spacing w:line="240" w:lineRule="auto"/>
              <w:ind w:firstLine="0" w:firstLineChars="0"/>
              <w:jc w:val="center"/>
              <w:rPr>
                <w:sz w:val="21"/>
                <w:szCs w:val="21"/>
              </w:rPr>
            </w:pPr>
            <w:r>
              <w:rPr>
                <w:sz w:val="21"/>
                <w:szCs w:val="21"/>
              </w:rPr>
              <w:t>1．严格执行《产业结构调整指导目录》、《重庆市产业投资准入工作手册》、《重庆市工业项目环境准入规定》、《重庆市长江经济带发展负面清单指南实施细则（试行）》等文件要求，优化重点区域、流域、产业的空间布局。对不符合准入要求的既有项目，依法依规实施整改、退出等分类治理方案。</w:t>
            </w:r>
          </w:p>
        </w:tc>
        <w:tc>
          <w:tcPr>
            <w:tcW w:w="1191" w:type="pct"/>
            <w:vAlign w:val="center"/>
          </w:tcPr>
          <w:p>
            <w:pPr>
              <w:spacing w:line="240" w:lineRule="auto"/>
              <w:ind w:firstLine="0" w:firstLineChars="0"/>
              <w:jc w:val="center"/>
              <w:rPr>
                <w:sz w:val="21"/>
                <w:szCs w:val="21"/>
              </w:rPr>
            </w:pPr>
            <w:r>
              <w:rPr>
                <w:sz w:val="21"/>
                <w:szCs w:val="21"/>
              </w:rPr>
              <w:t>本项目为矿山开采项目，符合《产业结构调整指导目录》《重庆市产业投资准入工作手册》《重庆市长江经济带发展负面清单指南实施细则（试行）》等文件要求。</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2．禁止在长江干流及主要支流岸线1公里范围内新建重化工、纺织、造纸等存在污染风险的工业项目，禁止在长江干支流1公里范围内新建、扩建化工园区和化工项目。5公里范围内除经国家和市政府批准设立、仍在建设的工业园区外，不再新布局工业园区（不包括现有工业园区拓展）。新建有污染物排放的工业项目应进入工业园区或工业集中区，不得在工业园区（集聚区）以外区域实施单纯增加产能的技改（扩建）项目。</w:t>
            </w:r>
          </w:p>
        </w:tc>
        <w:tc>
          <w:tcPr>
            <w:tcW w:w="1191" w:type="pct"/>
            <w:vAlign w:val="center"/>
          </w:tcPr>
          <w:p>
            <w:pPr>
              <w:spacing w:line="240" w:lineRule="auto"/>
              <w:ind w:firstLine="0" w:firstLineChars="0"/>
              <w:jc w:val="center"/>
              <w:rPr>
                <w:sz w:val="21"/>
                <w:szCs w:val="21"/>
              </w:rPr>
            </w:pPr>
            <w:r>
              <w:rPr>
                <w:sz w:val="21"/>
                <w:szCs w:val="21"/>
              </w:rPr>
              <w:t>本项目属于矿山开采项目，距离长江支流嘉陵江4.8km，不属于化工、纺织、造纸等存在污染风险的工业项目。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3．在长江鱼嘴以上江段及其一级支流汇入口上游20公里、嘉陵江及其一级支流汇入口上游20公里、集中式饮用水水源取水口上游20公里范围内的沿岸地区（江河50年一遇洪水位向陆域一侧1公里范围内），禁止新建、扩建排放重点重金属（铬、镉、汞、砷、铅等五类重金属）、剧毒物质和持久性有机污染物的工业项目。</w:t>
            </w:r>
          </w:p>
        </w:tc>
        <w:tc>
          <w:tcPr>
            <w:tcW w:w="1191" w:type="pct"/>
            <w:vAlign w:val="center"/>
          </w:tcPr>
          <w:p>
            <w:pPr>
              <w:spacing w:line="240" w:lineRule="auto"/>
              <w:ind w:firstLine="0" w:firstLineChars="0"/>
              <w:jc w:val="center"/>
              <w:rPr>
                <w:sz w:val="21"/>
                <w:szCs w:val="21"/>
              </w:rPr>
            </w:pPr>
            <w:r>
              <w:rPr>
                <w:sz w:val="21"/>
                <w:szCs w:val="21"/>
              </w:rPr>
              <w:t>本项目属于矿山开采项目，不涉及重点重金属、剧毒物质和持久性有机污染物的排放。</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4．严格执行相关行业企业布局选址要求，优化环境防护距离设置，按要求设置生态隔离带，防范工业园区（工业集聚区）涉生态环境“邻避”问题，将环境防护距离优化控制在园区边界或用地红线以内。</w:t>
            </w:r>
          </w:p>
        </w:tc>
        <w:tc>
          <w:tcPr>
            <w:tcW w:w="1191" w:type="pct"/>
            <w:vAlign w:val="center"/>
          </w:tcPr>
          <w:p>
            <w:pPr>
              <w:spacing w:line="240" w:lineRule="auto"/>
              <w:ind w:firstLine="0" w:firstLineChars="0"/>
              <w:jc w:val="center"/>
              <w:rPr>
                <w:sz w:val="21"/>
                <w:szCs w:val="21"/>
              </w:rPr>
            </w:pPr>
            <w:r>
              <w:rPr>
                <w:sz w:val="21"/>
                <w:szCs w:val="21"/>
              </w:rPr>
              <w:t>本项目属于矿山开采项目，已取得开采许可证。</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5．加快布局分散的企业向园区集中，鼓励现有工业项目、化工项目分别搬入工业集聚区、化工产业集聚区。</w:t>
            </w:r>
          </w:p>
        </w:tc>
        <w:tc>
          <w:tcPr>
            <w:tcW w:w="1191" w:type="pct"/>
            <w:vAlign w:val="center"/>
          </w:tcPr>
          <w:p>
            <w:pPr>
              <w:spacing w:line="240" w:lineRule="auto"/>
              <w:ind w:firstLine="0" w:firstLineChars="0"/>
              <w:jc w:val="center"/>
              <w:rPr>
                <w:sz w:val="21"/>
                <w:szCs w:val="21"/>
              </w:rPr>
            </w:pPr>
            <w:r>
              <w:rPr>
                <w:sz w:val="21"/>
                <w:szCs w:val="21"/>
              </w:rPr>
              <w:t>本项目属于矿山开采项目，位于合川区盐井街道观音村。</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6．优化城镇功能布局，开发活动限制在资源环境承载能力之内。科学确定城镇开发强度，提高城镇土地利用效率、建成区人口密度，划定城镇开发边界，从严供给城市建设用地，推动城镇化发展由外延扩张式向内涵提升式转变。精心维护自然山水和城乡人居环境，凸显历史文化底蕴，充分塑造和着力体现重庆的山水自然人文特色。</w:t>
            </w:r>
          </w:p>
        </w:tc>
        <w:tc>
          <w:tcPr>
            <w:tcW w:w="1191" w:type="pct"/>
            <w:vAlign w:val="center"/>
          </w:tcPr>
          <w:p>
            <w:pPr>
              <w:spacing w:line="240" w:lineRule="auto"/>
              <w:ind w:firstLine="0" w:firstLineChars="0"/>
              <w:jc w:val="center"/>
              <w:rPr>
                <w:sz w:val="21"/>
                <w:szCs w:val="21"/>
              </w:rPr>
            </w:pPr>
            <w:r>
              <w:rPr>
                <w:sz w:val="21"/>
                <w:szCs w:val="21"/>
              </w:rPr>
              <w:t>本项目属于矿山开采项目，位于合川区盐井街道观音村，属于城镇边界外，在开采过程中严格按照要求采取相应措施，采取边开采边复垦的要求，闭矿后进行复垦复绿。</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restart"/>
            <w:vAlign w:val="center"/>
          </w:tcPr>
          <w:p>
            <w:pPr>
              <w:spacing w:line="240" w:lineRule="auto"/>
              <w:ind w:firstLine="0" w:firstLineChars="0"/>
              <w:jc w:val="center"/>
              <w:rPr>
                <w:sz w:val="21"/>
                <w:szCs w:val="21"/>
              </w:rPr>
            </w:pPr>
            <w:r>
              <w:rPr>
                <w:sz w:val="21"/>
                <w:szCs w:val="21"/>
              </w:rPr>
              <w:t>污染物排放管控</w:t>
            </w:r>
          </w:p>
        </w:tc>
        <w:tc>
          <w:tcPr>
            <w:tcW w:w="1948" w:type="pct"/>
            <w:vAlign w:val="center"/>
          </w:tcPr>
          <w:p>
            <w:pPr>
              <w:spacing w:line="240" w:lineRule="auto"/>
              <w:ind w:firstLine="0" w:firstLineChars="0"/>
              <w:jc w:val="center"/>
              <w:rPr>
                <w:sz w:val="21"/>
                <w:szCs w:val="21"/>
              </w:rPr>
            </w:pPr>
            <w:r>
              <w:rPr>
                <w:sz w:val="21"/>
                <w:szCs w:val="21"/>
              </w:rPr>
              <w:t>7．未达到国家环境质量标准的重点区域、流域的有关地方人民政府，应当制定限期达标规划，并采取措施按期达标。</w:t>
            </w:r>
          </w:p>
        </w:tc>
        <w:tc>
          <w:tcPr>
            <w:tcW w:w="1191" w:type="pct"/>
            <w:vAlign w:val="center"/>
          </w:tcPr>
          <w:p>
            <w:pPr>
              <w:spacing w:line="240" w:lineRule="auto"/>
              <w:ind w:firstLine="0" w:firstLineChars="0"/>
              <w:jc w:val="center"/>
              <w:rPr>
                <w:sz w:val="21"/>
                <w:szCs w:val="21"/>
              </w:rPr>
            </w:pPr>
            <w:r>
              <w:rPr>
                <w:sz w:val="21"/>
                <w:szCs w:val="21"/>
              </w:rPr>
              <w:t>本项目位于合川区，属于不达标区，应制定限期达标规划，并采取相应措施。</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8．巩固“十一小”（不符合国家产业政策的小型造纸、制革、印染、染料、炼焦、炼硫、炼砷、炼油、电镀、农药、涉磷生产和使用等企业）取缔成果，防止死灰复燃。巩固“十一大”（造纸、焦化、氮肥、有色金属、印染、农副产品及食品加工、原料药制造（生化制药）、制革、农药、电镀以及涉磷产品等）企业污染整治成果。</w:t>
            </w:r>
          </w:p>
        </w:tc>
        <w:tc>
          <w:tcPr>
            <w:tcW w:w="1191" w:type="pct"/>
            <w:vAlign w:val="center"/>
          </w:tcPr>
          <w:p>
            <w:pPr>
              <w:spacing w:line="240" w:lineRule="auto"/>
              <w:ind w:firstLine="0" w:firstLineChars="0"/>
              <w:jc w:val="center"/>
              <w:rPr>
                <w:sz w:val="21"/>
                <w:szCs w:val="21"/>
              </w:rPr>
            </w:pPr>
            <w:r>
              <w:rPr>
                <w:sz w:val="21"/>
                <w:szCs w:val="21"/>
              </w:rPr>
              <w:t>本项目属于矿山开采项目，不属于“十一小”、“十一大”项目。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9．主城区及江津区、合川区、璧山区、铜梁区二氧化硫、氮氧化物、颗粒物、挥发性有机物严格执行大气污染物特别排放限值，并逐步将执行范围扩大到重点控制区重点行业。</w:t>
            </w:r>
          </w:p>
        </w:tc>
        <w:tc>
          <w:tcPr>
            <w:tcW w:w="1191" w:type="pct"/>
            <w:vAlign w:val="center"/>
          </w:tcPr>
          <w:p>
            <w:pPr>
              <w:spacing w:line="240" w:lineRule="auto"/>
              <w:ind w:firstLine="0" w:firstLineChars="0"/>
              <w:jc w:val="center"/>
              <w:rPr>
                <w:sz w:val="21"/>
                <w:szCs w:val="21"/>
              </w:rPr>
            </w:pPr>
            <w:r>
              <w:rPr>
                <w:sz w:val="21"/>
                <w:szCs w:val="21"/>
              </w:rPr>
              <w:t>本项目位于合川区，严格执行大气污染物特别排放限值。</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10．新建、改建、扩建涉VOCs排放的项目，加强源头控制，使用低（无）VOCs含量的原辅料，加强废气收集，安装高效治理设施。有条件的工业集聚区建设集中喷涂中心，配备高效治污设施，替代企业独立喷涂工序。</w:t>
            </w:r>
          </w:p>
        </w:tc>
        <w:tc>
          <w:tcPr>
            <w:tcW w:w="1191" w:type="pct"/>
            <w:vAlign w:val="center"/>
          </w:tcPr>
          <w:p>
            <w:pPr>
              <w:spacing w:line="240" w:lineRule="auto"/>
              <w:ind w:firstLine="0" w:firstLineChars="0"/>
              <w:jc w:val="center"/>
              <w:rPr>
                <w:sz w:val="21"/>
                <w:szCs w:val="21"/>
              </w:rPr>
            </w:pPr>
            <w:r>
              <w:rPr>
                <w:sz w:val="21"/>
                <w:szCs w:val="21"/>
              </w:rPr>
              <w:t>本项目不涉及VOCs。</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11．集中治理工业集聚区水污染，新建、升级工业集聚区应同步规划建设污水集中处理设施并安装自动在线监控装置。组织评估依托城镇生活污水处理设施处理园区工业废水对出水的影响，导致出水不能稳定达标的，要限期退出城镇污水处理设施并另行专门处理。</w:t>
            </w:r>
          </w:p>
        </w:tc>
        <w:tc>
          <w:tcPr>
            <w:tcW w:w="1191" w:type="pct"/>
            <w:vAlign w:val="center"/>
          </w:tcPr>
          <w:p>
            <w:pPr>
              <w:spacing w:line="240" w:lineRule="auto"/>
              <w:ind w:firstLine="0" w:firstLineChars="0"/>
              <w:jc w:val="center"/>
              <w:rPr>
                <w:sz w:val="21"/>
                <w:szCs w:val="21"/>
              </w:rPr>
            </w:pPr>
            <w:r>
              <w:rPr>
                <w:sz w:val="21"/>
                <w:szCs w:val="21"/>
              </w:rPr>
              <w:t>本项目属于矿山开采项目，生产废水循环利用，生活污水经化粪池收集后作为周边耕地施肥。</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restart"/>
            <w:vAlign w:val="center"/>
          </w:tcPr>
          <w:p>
            <w:pPr>
              <w:spacing w:line="240" w:lineRule="auto"/>
              <w:ind w:firstLine="0" w:firstLineChars="0"/>
              <w:jc w:val="center"/>
              <w:rPr>
                <w:sz w:val="21"/>
                <w:szCs w:val="21"/>
              </w:rPr>
            </w:pPr>
            <w:r>
              <w:rPr>
                <w:sz w:val="21"/>
                <w:szCs w:val="21"/>
              </w:rPr>
              <w:t>环境风险防控</w:t>
            </w:r>
          </w:p>
        </w:tc>
        <w:tc>
          <w:tcPr>
            <w:tcW w:w="1948" w:type="pct"/>
            <w:vAlign w:val="center"/>
          </w:tcPr>
          <w:p>
            <w:pPr>
              <w:spacing w:line="240" w:lineRule="auto"/>
              <w:ind w:firstLine="0" w:firstLineChars="0"/>
              <w:jc w:val="center"/>
              <w:rPr>
                <w:sz w:val="21"/>
                <w:szCs w:val="21"/>
              </w:rPr>
            </w:pPr>
            <w:r>
              <w:rPr>
                <w:sz w:val="21"/>
                <w:szCs w:val="21"/>
              </w:rPr>
              <w:t>12．健全风险防范体系，制定环境风险防范协调联动工作机制。开展涉及化工生产的工业园区突发环境事件风险评估。长江三峡库区干流流域、城市集中式饮用水源、涉及化工生产的化工园区等按要求开展突发环境事件风险评估。</w:t>
            </w:r>
          </w:p>
        </w:tc>
        <w:tc>
          <w:tcPr>
            <w:tcW w:w="1191" w:type="pct"/>
            <w:vAlign w:val="center"/>
          </w:tcPr>
          <w:p>
            <w:pPr>
              <w:spacing w:line="240" w:lineRule="auto"/>
              <w:ind w:firstLine="0" w:firstLineChars="0"/>
              <w:rPr>
                <w:sz w:val="21"/>
                <w:szCs w:val="21"/>
              </w:rPr>
            </w:pPr>
            <w:r>
              <w:rPr>
                <w:sz w:val="21"/>
                <w:szCs w:val="21"/>
              </w:rPr>
              <w:t>本项目属于矿山开采项目，不属于化工企业。</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13．禁止建设存在重大环境安全隐患的工业项目。严禁工艺技术落后、环境风险高的化工企业向我市转移。</w:t>
            </w:r>
          </w:p>
        </w:tc>
        <w:tc>
          <w:tcPr>
            <w:tcW w:w="1191" w:type="pct"/>
            <w:vAlign w:val="center"/>
          </w:tcPr>
          <w:p>
            <w:pPr>
              <w:spacing w:line="240" w:lineRule="auto"/>
              <w:ind w:firstLine="0" w:firstLineChars="0"/>
              <w:jc w:val="center"/>
              <w:rPr>
                <w:sz w:val="21"/>
                <w:szCs w:val="21"/>
              </w:rPr>
            </w:pPr>
            <w:r>
              <w:rPr>
                <w:sz w:val="21"/>
                <w:szCs w:val="21"/>
              </w:rPr>
              <w:t>本项目工艺符合《产业结构调整指导目录》，不涉及淘汰类工艺。</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restart"/>
            <w:vAlign w:val="center"/>
          </w:tcPr>
          <w:p>
            <w:pPr>
              <w:spacing w:line="240" w:lineRule="auto"/>
              <w:ind w:firstLine="0" w:firstLineChars="0"/>
              <w:jc w:val="center"/>
              <w:rPr>
                <w:sz w:val="21"/>
                <w:szCs w:val="21"/>
              </w:rPr>
            </w:pPr>
            <w:r>
              <w:rPr>
                <w:sz w:val="21"/>
                <w:szCs w:val="21"/>
              </w:rPr>
              <w:t>资源开发利用效率</w:t>
            </w:r>
          </w:p>
        </w:tc>
        <w:tc>
          <w:tcPr>
            <w:tcW w:w="1948" w:type="pct"/>
            <w:vAlign w:val="center"/>
          </w:tcPr>
          <w:p>
            <w:pPr>
              <w:spacing w:line="240" w:lineRule="auto"/>
              <w:ind w:firstLine="0" w:firstLineChars="0"/>
              <w:jc w:val="center"/>
              <w:rPr>
                <w:sz w:val="21"/>
                <w:szCs w:val="21"/>
              </w:rPr>
            </w:pPr>
            <w:r>
              <w:rPr>
                <w:sz w:val="21"/>
                <w:szCs w:val="21"/>
              </w:rPr>
              <w:t>14．加强资源节约集约利用。实行能源、水资源、建设用地总量和强度双控行动，推进节能、节水、节地、节材等节约自然资源行动，从源头减少污染物排放。</w:t>
            </w:r>
          </w:p>
        </w:tc>
        <w:tc>
          <w:tcPr>
            <w:tcW w:w="1191" w:type="pct"/>
            <w:vAlign w:val="center"/>
          </w:tcPr>
          <w:p>
            <w:pPr>
              <w:spacing w:line="240" w:lineRule="auto"/>
              <w:ind w:firstLine="0" w:firstLineChars="0"/>
              <w:jc w:val="center"/>
              <w:rPr>
                <w:sz w:val="21"/>
                <w:szCs w:val="21"/>
              </w:rPr>
            </w:pPr>
            <w:r>
              <w:rPr>
                <w:sz w:val="21"/>
                <w:szCs w:val="21"/>
              </w:rPr>
              <w:t>本项目属于矿山开采项目，开采过程中采取相应的污染防治措施，减少污染物的排放。</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15．在禁燃区内，禁止销售、燃用高污染燃料，禁止新建、改建、扩建任何燃用高污染燃料的项目和设备，已建成使用高污染燃料的各类设备应当拆除或者改用管道天然气、页岩气、液化石油气、电或者其他清洁能源；在不具备使用清洁能源条件的区域，可使用配备专用锅炉和除尘装置的生物质成型燃料。</w:t>
            </w:r>
          </w:p>
        </w:tc>
        <w:tc>
          <w:tcPr>
            <w:tcW w:w="1191" w:type="pct"/>
            <w:vAlign w:val="center"/>
          </w:tcPr>
          <w:p>
            <w:pPr>
              <w:spacing w:line="240" w:lineRule="auto"/>
              <w:ind w:firstLine="0" w:firstLineChars="0"/>
              <w:jc w:val="center"/>
              <w:rPr>
                <w:sz w:val="21"/>
                <w:szCs w:val="21"/>
              </w:rPr>
            </w:pPr>
            <w:r>
              <w:rPr>
                <w:sz w:val="21"/>
                <w:szCs w:val="21"/>
              </w:rPr>
              <w:t>本项目不涉及高污染燃料。</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16．电力、钢铁、纺织、造纸、石油石化、化工、食品发酵等高耗水行业达到先进定额标准。</w:t>
            </w:r>
          </w:p>
        </w:tc>
        <w:tc>
          <w:tcPr>
            <w:tcW w:w="1191" w:type="pct"/>
            <w:vAlign w:val="center"/>
          </w:tcPr>
          <w:p>
            <w:pPr>
              <w:spacing w:line="240" w:lineRule="auto"/>
              <w:ind w:firstLine="0" w:firstLineChars="0"/>
              <w:jc w:val="center"/>
              <w:rPr>
                <w:sz w:val="21"/>
                <w:szCs w:val="21"/>
              </w:rPr>
            </w:pPr>
            <w:r>
              <w:rPr>
                <w:sz w:val="21"/>
                <w:szCs w:val="21"/>
              </w:rPr>
              <w:t>本项目属于矿山开采项目。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17．重点控制区域新建高耗能项目单位产品（产值）能耗要达到国际先进水平。</w:t>
            </w:r>
          </w:p>
        </w:tc>
        <w:tc>
          <w:tcPr>
            <w:tcW w:w="1191" w:type="pct"/>
            <w:vAlign w:val="center"/>
          </w:tcPr>
          <w:p>
            <w:pPr>
              <w:spacing w:line="240" w:lineRule="auto"/>
              <w:ind w:firstLine="0" w:firstLineChars="0"/>
              <w:jc w:val="center"/>
              <w:rPr>
                <w:sz w:val="21"/>
                <w:szCs w:val="21"/>
              </w:rPr>
            </w:pPr>
            <w:r>
              <w:rPr>
                <w:sz w:val="21"/>
                <w:szCs w:val="21"/>
              </w:rPr>
              <w:t>本项目属于矿山开采项目，不属于高耗能项目。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18．水利水电工程应保证合理的生态流量，具备条件的都应实施生态流量监测监控。</w:t>
            </w:r>
          </w:p>
        </w:tc>
        <w:tc>
          <w:tcPr>
            <w:tcW w:w="1191" w:type="pct"/>
            <w:vAlign w:val="center"/>
          </w:tcPr>
          <w:p>
            <w:pPr>
              <w:spacing w:line="240" w:lineRule="auto"/>
              <w:ind w:firstLine="0" w:firstLineChars="0"/>
              <w:jc w:val="center"/>
              <w:rPr>
                <w:sz w:val="21"/>
                <w:szCs w:val="21"/>
              </w:rPr>
            </w:pPr>
            <w:r>
              <w:rPr>
                <w:sz w:val="21"/>
                <w:szCs w:val="21"/>
              </w:rPr>
              <w:t>本项目属于矿山开采项目，不属于水利水电项目。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703" w:type="pct"/>
            <w:vMerge w:val="restart"/>
            <w:vAlign w:val="center"/>
          </w:tcPr>
          <w:p>
            <w:pPr>
              <w:spacing w:line="240" w:lineRule="auto"/>
              <w:ind w:firstLine="0" w:firstLineChars="0"/>
              <w:jc w:val="center"/>
              <w:rPr>
                <w:sz w:val="21"/>
                <w:szCs w:val="21"/>
              </w:rPr>
            </w:pPr>
            <w:r>
              <w:rPr>
                <w:sz w:val="21"/>
                <w:szCs w:val="21"/>
              </w:rPr>
              <w:t>区县总体管控要求</w:t>
            </w:r>
          </w:p>
        </w:tc>
        <w:tc>
          <w:tcPr>
            <w:tcW w:w="620" w:type="pct"/>
            <w:vMerge w:val="restart"/>
            <w:vAlign w:val="center"/>
          </w:tcPr>
          <w:p>
            <w:pPr>
              <w:spacing w:line="240" w:lineRule="auto"/>
              <w:ind w:firstLine="0" w:firstLineChars="0"/>
              <w:jc w:val="center"/>
              <w:rPr>
                <w:sz w:val="21"/>
                <w:szCs w:val="21"/>
              </w:rPr>
            </w:pPr>
            <w:r>
              <w:rPr>
                <w:sz w:val="21"/>
                <w:szCs w:val="21"/>
              </w:rPr>
              <w:t>空间布局约束</w:t>
            </w:r>
          </w:p>
        </w:tc>
        <w:tc>
          <w:tcPr>
            <w:tcW w:w="1948" w:type="pct"/>
            <w:vAlign w:val="center"/>
          </w:tcPr>
          <w:p>
            <w:pPr>
              <w:spacing w:line="240" w:lineRule="auto"/>
              <w:ind w:firstLine="0" w:firstLineChars="0"/>
              <w:jc w:val="center"/>
              <w:rPr>
                <w:sz w:val="21"/>
                <w:szCs w:val="21"/>
              </w:rPr>
            </w:pPr>
            <w:r>
              <w:rPr>
                <w:sz w:val="21"/>
                <w:szCs w:val="21"/>
              </w:rPr>
              <w:t>第一条 生态保护红线内，自然保护地核心保护区原则上禁止人为活动，其他区域严格禁止开发性、生产性建设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1191" w:type="pct"/>
            <w:vAlign w:val="center"/>
          </w:tcPr>
          <w:p>
            <w:pPr>
              <w:spacing w:line="240" w:lineRule="auto"/>
              <w:ind w:firstLine="0" w:firstLineChars="0"/>
              <w:jc w:val="center"/>
              <w:rPr>
                <w:sz w:val="21"/>
                <w:szCs w:val="21"/>
              </w:rPr>
            </w:pPr>
            <w:r>
              <w:rPr>
                <w:sz w:val="21"/>
                <w:szCs w:val="21"/>
              </w:rPr>
              <w:t>本项目属于矿山开采项目，位于合川区盐井街道观音村，不在生态保护红线内。</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第二条 合理开发旅游、能源、交通、基础设施，减少挤占生态空间，“三生”空间布局得到持续优化。</w:t>
            </w:r>
          </w:p>
        </w:tc>
        <w:tc>
          <w:tcPr>
            <w:tcW w:w="1191" w:type="pct"/>
            <w:vAlign w:val="center"/>
          </w:tcPr>
          <w:p>
            <w:pPr>
              <w:spacing w:line="240" w:lineRule="auto"/>
              <w:ind w:firstLine="0" w:firstLineChars="0"/>
              <w:jc w:val="center"/>
              <w:rPr>
                <w:sz w:val="21"/>
                <w:szCs w:val="21"/>
              </w:rPr>
            </w:pPr>
            <w:r>
              <w:rPr>
                <w:sz w:val="21"/>
                <w:szCs w:val="21"/>
              </w:rPr>
              <w:t>本项目属于矿山开采项目，不属于旅游、能源、交通、基础设施项目。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第三条 合川区城市建成区主导风向上风向20公里，下风向10公里范围内，禁止新建、扩建燃煤电厂、水泥、冶炼、粉磨站等工业项目。</w:t>
            </w:r>
          </w:p>
        </w:tc>
        <w:tc>
          <w:tcPr>
            <w:tcW w:w="1191" w:type="pct"/>
            <w:vAlign w:val="center"/>
          </w:tcPr>
          <w:p>
            <w:pPr>
              <w:spacing w:line="240" w:lineRule="auto"/>
              <w:ind w:firstLine="0" w:firstLineChars="0"/>
              <w:jc w:val="center"/>
              <w:rPr>
                <w:sz w:val="21"/>
                <w:szCs w:val="21"/>
              </w:rPr>
            </w:pPr>
            <w:r>
              <w:rPr>
                <w:sz w:val="21"/>
                <w:szCs w:val="21"/>
              </w:rPr>
              <w:t>本项目属于矿山开采项目，不属于燃煤电厂、水泥、冶炼、粉磨站等工业项目。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第四条 对工业用地上“零土地”（不涉及新征建设用地）技术改造升级且“两不增”（不增加污染物排放总量、不增大环境风险）的建设项目，对原老工业企业集聚区（地）在城乡规划未改变其工业用地性质的前提和期限内，且列入所在区县工业发展等规划并依法开展了规划环评的项目，依法依规加快推进环评文件审批，帮助企业解决困难。</w:t>
            </w:r>
          </w:p>
        </w:tc>
        <w:tc>
          <w:tcPr>
            <w:tcW w:w="1191" w:type="pct"/>
            <w:vAlign w:val="center"/>
          </w:tcPr>
          <w:p>
            <w:pPr>
              <w:spacing w:line="240" w:lineRule="auto"/>
              <w:ind w:firstLine="0" w:firstLineChars="0"/>
              <w:jc w:val="center"/>
              <w:rPr>
                <w:sz w:val="21"/>
                <w:szCs w:val="21"/>
              </w:rPr>
            </w:pPr>
            <w:r>
              <w:rPr>
                <w:sz w:val="21"/>
                <w:szCs w:val="21"/>
              </w:rPr>
              <w:t>本项目属于矿山开采项目，已依法取得采矿许可证，工业场地利用现有场地，不新增用地。</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第五条 严格执行长江干流及主要支流1公里、5公里产业管控政策。</w:t>
            </w:r>
          </w:p>
        </w:tc>
        <w:tc>
          <w:tcPr>
            <w:tcW w:w="1191" w:type="pct"/>
            <w:vAlign w:val="center"/>
          </w:tcPr>
          <w:p>
            <w:pPr>
              <w:spacing w:line="240" w:lineRule="auto"/>
              <w:ind w:firstLine="0" w:firstLineChars="0"/>
              <w:jc w:val="center"/>
              <w:rPr>
                <w:sz w:val="21"/>
                <w:szCs w:val="21"/>
              </w:rPr>
            </w:pPr>
            <w:r>
              <w:rPr>
                <w:sz w:val="21"/>
                <w:szCs w:val="21"/>
              </w:rPr>
              <w:t>本项目位于合川区盐井街道观音村，距离长江支流嘉陵江执行距离4.8km，符合相关产业管控政策。</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restart"/>
            <w:vAlign w:val="center"/>
          </w:tcPr>
          <w:p>
            <w:pPr>
              <w:spacing w:line="240" w:lineRule="auto"/>
              <w:ind w:firstLine="0" w:firstLineChars="0"/>
              <w:jc w:val="center"/>
              <w:rPr>
                <w:sz w:val="21"/>
                <w:szCs w:val="21"/>
              </w:rPr>
            </w:pPr>
            <w:r>
              <w:rPr>
                <w:sz w:val="21"/>
                <w:szCs w:val="21"/>
              </w:rPr>
              <w:t>污染物排放管控</w:t>
            </w:r>
          </w:p>
        </w:tc>
        <w:tc>
          <w:tcPr>
            <w:tcW w:w="1948" w:type="pct"/>
            <w:vAlign w:val="center"/>
          </w:tcPr>
          <w:p>
            <w:pPr>
              <w:spacing w:line="240" w:lineRule="auto"/>
              <w:ind w:firstLine="0" w:firstLineChars="0"/>
              <w:jc w:val="center"/>
              <w:rPr>
                <w:sz w:val="21"/>
                <w:szCs w:val="21"/>
              </w:rPr>
            </w:pPr>
            <w:r>
              <w:rPr>
                <w:sz w:val="21"/>
                <w:szCs w:val="21"/>
              </w:rPr>
              <w:t>第六条 按实施燃煤电厂超低排放的总体要求，有序推进热电行业超低排放改造。</w:t>
            </w:r>
          </w:p>
        </w:tc>
        <w:tc>
          <w:tcPr>
            <w:tcW w:w="1191" w:type="pct"/>
            <w:vAlign w:val="center"/>
          </w:tcPr>
          <w:p>
            <w:pPr>
              <w:spacing w:line="240" w:lineRule="auto"/>
              <w:ind w:firstLine="0" w:firstLineChars="0"/>
              <w:jc w:val="center"/>
              <w:rPr>
                <w:sz w:val="21"/>
                <w:szCs w:val="21"/>
              </w:rPr>
            </w:pPr>
            <w:r>
              <w:rPr>
                <w:sz w:val="21"/>
                <w:szCs w:val="21"/>
              </w:rPr>
              <w:t>本项目属于矿山开采项目。</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第七条 （城乡污水管网配套建设）强化城中村、老旧城区和</w:t>
            </w:r>
            <w:r>
              <w:rPr>
                <w:rFonts w:hint="eastAsia"/>
                <w:sz w:val="21"/>
                <w:szCs w:val="21"/>
                <w:lang w:eastAsia="zh-CN"/>
              </w:rPr>
              <w:t>城乡接合部</w:t>
            </w:r>
            <w:r>
              <w:rPr>
                <w:sz w:val="21"/>
                <w:szCs w:val="21"/>
              </w:rPr>
              <w:t>污水的截流、收集。现有合流制排水系统应加快实施雨污分流改造，难以改造的应采取截流、调蓄和治理等措施。新建污水处理设施的配套管网应同步设计、同步建设、同步投运。城镇新区建设均应实行雨污分流。</w:t>
            </w:r>
          </w:p>
        </w:tc>
        <w:tc>
          <w:tcPr>
            <w:tcW w:w="1191" w:type="pct"/>
            <w:vAlign w:val="center"/>
          </w:tcPr>
          <w:p>
            <w:pPr>
              <w:spacing w:line="240" w:lineRule="auto"/>
              <w:ind w:firstLine="0" w:firstLineChars="0"/>
              <w:jc w:val="center"/>
              <w:rPr>
                <w:sz w:val="21"/>
                <w:szCs w:val="21"/>
              </w:rPr>
            </w:pPr>
            <w:r>
              <w:rPr>
                <w:sz w:val="21"/>
                <w:szCs w:val="21"/>
              </w:rPr>
              <w:t>本项目属于矿山开采项目，生产废水循环利用，生活污水经化粪池收集后作为周边耕地施肥。</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restart"/>
            <w:vAlign w:val="center"/>
          </w:tcPr>
          <w:p>
            <w:pPr>
              <w:spacing w:line="240" w:lineRule="auto"/>
              <w:ind w:firstLine="0" w:firstLineChars="0"/>
              <w:jc w:val="center"/>
              <w:rPr>
                <w:sz w:val="21"/>
                <w:szCs w:val="21"/>
              </w:rPr>
            </w:pPr>
            <w:r>
              <w:rPr>
                <w:sz w:val="21"/>
                <w:szCs w:val="21"/>
              </w:rPr>
              <w:t>环境风险防控</w:t>
            </w:r>
          </w:p>
        </w:tc>
        <w:tc>
          <w:tcPr>
            <w:tcW w:w="1948" w:type="pct"/>
            <w:vAlign w:val="center"/>
          </w:tcPr>
          <w:p>
            <w:pPr>
              <w:spacing w:line="240" w:lineRule="auto"/>
              <w:ind w:firstLine="0" w:firstLineChars="0"/>
              <w:jc w:val="center"/>
              <w:rPr>
                <w:sz w:val="21"/>
                <w:szCs w:val="21"/>
              </w:rPr>
            </w:pPr>
            <w:r>
              <w:rPr>
                <w:sz w:val="21"/>
                <w:szCs w:val="21"/>
              </w:rPr>
              <w:t>第八条 强化工业园区环境风险管控。实施技术、工艺、设备等生态化、循环化改造，加快布局分散的企业向园区集中，按要求设置生态隔离带，建设相应的防护工程。强化环境应急队伍建设和物资储备。</w:t>
            </w:r>
          </w:p>
        </w:tc>
        <w:tc>
          <w:tcPr>
            <w:tcW w:w="1191" w:type="pct"/>
            <w:vAlign w:val="center"/>
          </w:tcPr>
          <w:p>
            <w:pPr>
              <w:spacing w:line="240" w:lineRule="auto"/>
              <w:ind w:firstLine="0" w:firstLineChars="0"/>
              <w:jc w:val="center"/>
              <w:rPr>
                <w:sz w:val="21"/>
                <w:szCs w:val="21"/>
              </w:rPr>
            </w:pPr>
            <w:r>
              <w:rPr>
                <w:sz w:val="21"/>
                <w:szCs w:val="21"/>
              </w:rPr>
              <w:t>本项目属于矿山开采项目，位于合川区盐井街道观音村，不涉及。</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第九条 完善上下游应急联动机制，与小安溪上游区县建立跨流域应急联动机制，共同保障环境安全。</w:t>
            </w:r>
          </w:p>
        </w:tc>
        <w:tc>
          <w:tcPr>
            <w:tcW w:w="1191" w:type="pct"/>
            <w:vAlign w:val="center"/>
          </w:tcPr>
          <w:p>
            <w:pPr>
              <w:spacing w:line="240" w:lineRule="auto"/>
              <w:ind w:firstLine="0" w:firstLineChars="0"/>
              <w:jc w:val="center"/>
              <w:rPr>
                <w:sz w:val="21"/>
                <w:szCs w:val="21"/>
              </w:rPr>
            </w:pPr>
            <w:r>
              <w:rPr>
                <w:sz w:val="21"/>
                <w:szCs w:val="21"/>
              </w:rPr>
              <w:t>不涉及</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restart"/>
            <w:vAlign w:val="center"/>
          </w:tcPr>
          <w:p>
            <w:pPr>
              <w:spacing w:line="240" w:lineRule="auto"/>
              <w:ind w:firstLine="0" w:firstLineChars="0"/>
              <w:jc w:val="center"/>
              <w:rPr>
                <w:sz w:val="21"/>
                <w:szCs w:val="21"/>
              </w:rPr>
            </w:pPr>
            <w:r>
              <w:rPr>
                <w:sz w:val="21"/>
                <w:szCs w:val="21"/>
              </w:rPr>
              <w:t>资源开发利用效率</w:t>
            </w:r>
          </w:p>
        </w:tc>
        <w:tc>
          <w:tcPr>
            <w:tcW w:w="1948" w:type="pct"/>
            <w:vAlign w:val="center"/>
          </w:tcPr>
          <w:p>
            <w:pPr>
              <w:spacing w:line="240" w:lineRule="auto"/>
              <w:ind w:firstLine="0" w:firstLineChars="0"/>
              <w:jc w:val="center"/>
              <w:rPr>
                <w:sz w:val="21"/>
                <w:szCs w:val="21"/>
              </w:rPr>
            </w:pPr>
            <w:r>
              <w:rPr>
                <w:sz w:val="21"/>
                <w:szCs w:val="21"/>
              </w:rPr>
              <w:t>第十条 在划定的高污染燃料禁燃区内，禁止销售和使用原煤、煤矸石、重油、渣油、石油焦、木柴、</w:t>
            </w:r>
            <w:r>
              <w:rPr>
                <w:rFonts w:hint="eastAsia"/>
                <w:sz w:val="21"/>
                <w:szCs w:val="21"/>
                <w:lang w:eastAsia="zh-CN"/>
              </w:rPr>
              <w:t>秸秆</w:t>
            </w:r>
            <w:r>
              <w:rPr>
                <w:sz w:val="21"/>
                <w:szCs w:val="21"/>
              </w:rPr>
              <w:t>等国家和本市规定的高污染燃料。现有使用高污染燃料的设施应当限期淘汰或者改用天然气、页岩气、液化石油气、电、风能等清洁能源。</w:t>
            </w:r>
          </w:p>
        </w:tc>
        <w:tc>
          <w:tcPr>
            <w:tcW w:w="1191" w:type="pct"/>
            <w:vAlign w:val="center"/>
          </w:tcPr>
          <w:p>
            <w:pPr>
              <w:spacing w:line="240" w:lineRule="auto"/>
              <w:ind w:firstLine="0" w:firstLineChars="0"/>
              <w:jc w:val="center"/>
              <w:rPr>
                <w:sz w:val="21"/>
                <w:szCs w:val="21"/>
              </w:rPr>
            </w:pPr>
            <w:r>
              <w:rPr>
                <w:sz w:val="21"/>
                <w:szCs w:val="21"/>
              </w:rPr>
              <w:t>不涉及</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03" w:type="pct"/>
            <w:vMerge w:val="continue"/>
            <w:vAlign w:val="center"/>
          </w:tcPr>
          <w:p>
            <w:pPr>
              <w:spacing w:line="240" w:lineRule="auto"/>
              <w:ind w:firstLine="0" w:firstLineChars="0"/>
              <w:jc w:val="center"/>
              <w:rPr>
                <w:sz w:val="21"/>
                <w:szCs w:val="21"/>
              </w:rPr>
            </w:pPr>
          </w:p>
        </w:tc>
        <w:tc>
          <w:tcPr>
            <w:tcW w:w="620" w:type="pct"/>
            <w:vMerge w:val="continue"/>
            <w:vAlign w:val="center"/>
          </w:tcPr>
          <w:p>
            <w:pPr>
              <w:spacing w:line="240" w:lineRule="auto"/>
              <w:ind w:firstLine="0" w:firstLineChars="0"/>
              <w:jc w:val="center"/>
              <w:rPr>
                <w:sz w:val="21"/>
                <w:szCs w:val="21"/>
              </w:rPr>
            </w:pPr>
          </w:p>
        </w:tc>
        <w:tc>
          <w:tcPr>
            <w:tcW w:w="1948" w:type="pct"/>
            <w:vAlign w:val="center"/>
          </w:tcPr>
          <w:p>
            <w:pPr>
              <w:spacing w:line="240" w:lineRule="auto"/>
              <w:ind w:firstLine="0" w:firstLineChars="0"/>
              <w:jc w:val="center"/>
              <w:rPr>
                <w:sz w:val="21"/>
                <w:szCs w:val="21"/>
              </w:rPr>
            </w:pPr>
            <w:r>
              <w:rPr>
                <w:sz w:val="21"/>
                <w:szCs w:val="21"/>
              </w:rPr>
              <w:t>第十一条 强化岸线及港口的布局要求，对小散码头落实“限制发展、逐步整合、适时关闭”的要求，对保留码头强化污染防控措施。</w:t>
            </w:r>
          </w:p>
        </w:tc>
        <w:tc>
          <w:tcPr>
            <w:tcW w:w="1191" w:type="pct"/>
            <w:vAlign w:val="center"/>
          </w:tcPr>
          <w:p>
            <w:pPr>
              <w:spacing w:line="240" w:lineRule="auto"/>
              <w:ind w:firstLine="0" w:firstLineChars="0"/>
              <w:jc w:val="center"/>
              <w:rPr>
                <w:sz w:val="21"/>
                <w:szCs w:val="21"/>
              </w:rPr>
            </w:pPr>
            <w:r>
              <w:rPr>
                <w:sz w:val="21"/>
                <w:szCs w:val="21"/>
              </w:rPr>
              <w:t>不涉及</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3" w:type="pct"/>
            <w:vMerge w:val="restart"/>
            <w:vAlign w:val="center"/>
          </w:tcPr>
          <w:p>
            <w:pPr>
              <w:spacing w:line="240" w:lineRule="auto"/>
              <w:ind w:firstLine="0" w:firstLineChars="0"/>
              <w:jc w:val="center"/>
              <w:rPr>
                <w:sz w:val="21"/>
                <w:szCs w:val="21"/>
              </w:rPr>
            </w:pPr>
            <w:r>
              <w:rPr>
                <w:sz w:val="21"/>
                <w:szCs w:val="21"/>
              </w:rPr>
              <w:t>单元管控要求</w:t>
            </w:r>
          </w:p>
        </w:tc>
        <w:tc>
          <w:tcPr>
            <w:tcW w:w="620" w:type="pct"/>
            <w:vAlign w:val="center"/>
          </w:tcPr>
          <w:p>
            <w:pPr>
              <w:spacing w:line="240" w:lineRule="auto"/>
              <w:ind w:firstLine="0" w:firstLineChars="0"/>
              <w:jc w:val="center"/>
              <w:rPr>
                <w:sz w:val="21"/>
                <w:szCs w:val="21"/>
              </w:rPr>
            </w:pPr>
            <w:r>
              <w:rPr>
                <w:sz w:val="21"/>
                <w:szCs w:val="21"/>
              </w:rPr>
              <w:t>空间布局约束</w:t>
            </w:r>
          </w:p>
        </w:tc>
        <w:tc>
          <w:tcPr>
            <w:tcW w:w="1948" w:type="pct"/>
            <w:vAlign w:val="center"/>
          </w:tcPr>
          <w:p>
            <w:pPr>
              <w:spacing w:line="240" w:lineRule="auto"/>
              <w:ind w:firstLine="0" w:firstLineChars="0"/>
              <w:jc w:val="center"/>
              <w:rPr>
                <w:sz w:val="21"/>
                <w:szCs w:val="21"/>
              </w:rPr>
            </w:pPr>
            <w:r>
              <w:rPr>
                <w:sz w:val="21"/>
                <w:szCs w:val="21"/>
              </w:rPr>
              <w:t>严格限制新建、扩建可能对主城区大气产生影响的燃煤、重油等高污染物工业项目。规划区内企业入驻时应优化环境防护距离设置，以防范产业园区涉生态环境“邻避”问题为出发点，将环境防护距离优化控制在园区边界或用地红线以内。南溪组团C区禁止在嘉陵江干流1km范围内新建重化工、纺织、造纸等存在污染风险的工业项目。南溪组团C区禁止新建、扩建造纸、印染、化学原料药、电镀、铅酸电池、危险废物利用和处置、排放重金属以及存在严重环境安全风险的工业项目。</w:t>
            </w:r>
          </w:p>
        </w:tc>
        <w:tc>
          <w:tcPr>
            <w:tcW w:w="1191" w:type="pct"/>
            <w:vAlign w:val="center"/>
          </w:tcPr>
          <w:p>
            <w:pPr>
              <w:spacing w:line="240" w:lineRule="auto"/>
              <w:ind w:firstLine="0" w:firstLineChars="0"/>
              <w:jc w:val="center"/>
              <w:rPr>
                <w:sz w:val="21"/>
                <w:szCs w:val="21"/>
              </w:rPr>
            </w:pPr>
            <w:r>
              <w:rPr>
                <w:sz w:val="21"/>
                <w:szCs w:val="21"/>
              </w:rPr>
              <w:t>本项目属于建筑石料用灰岩砂，本项目距离嘉陵江直线距离约为5km，不属于南溪组团C区。</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3" w:type="pct"/>
            <w:vMerge w:val="continue"/>
            <w:vAlign w:val="center"/>
          </w:tcPr>
          <w:p>
            <w:pPr>
              <w:spacing w:line="240" w:lineRule="auto"/>
              <w:ind w:firstLine="0" w:firstLineChars="0"/>
              <w:jc w:val="center"/>
              <w:rPr>
                <w:sz w:val="21"/>
                <w:szCs w:val="21"/>
              </w:rPr>
            </w:pPr>
          </w:p>
        </w:tc>
        <w:tc>
          <w:tcPr>
            <w:tcW w:w="620" w:type="pct"/>
            <w:vAlign w:val="center"/>
          </w:tcPr>
          <w:p>
            <w:pPr>
              <w:spacing w:line="240" w:lineRule="auto"/>
              <w:ind w:firstLine="0" w:firstLineChars="0"/>
              <w:jc w:val="center"/>
              <w:rPr>
                <w:sz w:val="21"/>
                <w:szCs w:val="21"/>
              </w:rPr>
            </w:pPr>
            <w:r>
              <w:rPr>
                <w:sz w:val="21"/>
                <w:szCs w:val="21"/>
              </w:rPr>
              <w:t>污染物排放管控</w:t>
            </w:r>
          </w:p>
        </w:tc>
        <w:tc>
          <w:tcPr>
            <w:tcW w:w="1948" w:type="pct"/>
            <w:vAlign w:val="center"/>
          </w:tcPr>
          <w:p>
            <w:pPr>
              <w:spacing w:line="240" w:lineRule="auto"/>
              <w:ind w:firstLine="0" w:firstLineChars="0"/>
              <w:jc w:val="center"/>
              <w:rPr>
                <w:sz w:val="21"/>
                <w:szCs w:val="21"/>
              </w:rPr>
            </w:pPr>
            <w:r>
              <w:rPr>
                <w:sz w:val="21"/>
                <w:szCs w:val="21"/>
              </w:rPr>
              <w:t>严格控制大气污染物排放量大的企业入园。现有企业鼓励通过技术改造、节水改造，减少废水排放。</w:t>
            </w:r>
          </w:p>
        </w:tc>
        <w:tc>
          <w:tcPr>
            <w:tcW w:w="1191" w:type="pct"/>
            <w:vAlign w:val="center"/>
          </w:tcPr>
          <w:p>
            <w:pPr>
              <w:spacing w:line="240" w:lineRule="auto"/>
              <w:ind w:firstLine="0" w:firstLineChars="0"/>
              <w:jc w:val="center"/>
              <w:rPr>
                <w:sz w:val="21"/>
                <w:szCs w:val="21"/>
              </w:rPr>
            </w:pPr>
            <w:r>
              <w:rPr>
                <w:sz w:val="21"/>
                <w:szCs w:val="21"/>
              </w:rPr>
              <w:t>本项目为矿山开采项目，排放污染物采取相应治理措施。</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3" w:type="pct"/>
            <w:vMerge w:val="continue"/>
            <w:vAlign w:val="center"/>
          </w:tcPr>
          <w:p>
            <w:pPr>
              <w:spacing w:line="240" w:lineRule="auto"/>
              <w:ind w:firstLine="0" w:firstLineChars="0"/>
              <w:jc w:val="center"/>
              <w:rPr>
                <w:sz w:val="21"/>
                <w:szCs w:val="21"/>
              </w:rPr>
            </w:pPr>
          </w:p>
        </w:tc>
        <w:tc>
          <w:tcPr>
            <w:tcW w:w="620" w:type="pct"/>
            <w:vAlign w:val="center"/>
          </w:tcPr>
          <w:p>
            <w:pPr>
              <w:spacing w:line="240" w:lineRule="auto"/>
              <w:ind w:firstLine="0" w:firstLineChars="0"/>
              <w:jc w:val="center"/>
              <w:rPr>
                <w:sz w:val="21"/>
                <w:szCs w:val="21"/>
              </w:rPr>
            </w:pPr>
            <w:r>
              <w:rPr>
                <w:sz w:val="21"/>
                <w:szCs w:val="21"/>
              </w:rPr>
              <w:t>环境风险防控</w:t>
            </w:r>
          </w:p>
        </w:tc>
        <w:tc>
          <w:tcPr>
            <w:tcW w:w="1948" w:type="pct"/>
            <w:vAlign w:val="center"/>
          </w:tcPr>
          <w:p>
            <w:pPr>
              <w:spacing w:line="240" w:lineRule="auto"/>
              <w:ind w:firstLine="0" w:firstLineChars="0"/>
              <w:jc w:val="center"/>
              <w:rPr>
                <w:sz w:val="21"/>
                <w:szCs w:val="21"/>
              </w:rPr>
            </w:pPr>
            <w:r>
              <w:rPr>
                <w:sz w:val="21"/>
                <w:szCs w:val="21"/>
              </w:rPr>
              <w:t>督促规划区内各企业加强环境风险防控，建设防止环境风险物质泄漏扩散的封堵、围栏、喷淋、吸收、收集、处理等应急设施。加强工业园区内有水环境污染风险企业的风险防控。</w:t>
            </w:r>
          </w:p>
        </w:tc>
        <w:tc>
          <w:tcPr>
            <w:tcW w:w="1191" w:type="pct"/>
            <w:vAlign w:val="center"/>
          </w:tcPr>
          <w:p>
            <w:pPr>
              <w:spacing w:line="240" w:lineRule="auto"/>
              <w:ind w:firstLine="0" w:firstLineChars="0"/>
              <w:jc w:val="center"/>
              <w:rPr>
                <w:sz w:val="21"/>
                <w:szCs w:val="21"/>
              </w:rPr>
            </w:pPr>
            <w:r>
              <w:rPr>
                <w:sz w:val="21"/>
                <w:szCs w:val="21"/>
              </w:rPr>
              <w:t>本项目编制有水土保持方案，建设排水沟及拦挡坝，环境影响小，风险可控</w:t>
            </w:r>
          </w:p>
        </w:tc>
        <w:tc>
          <w:tcPr>
            <w:tcW w:w="539" w:type="pct"/>
            <w:vAlign w:val="center"/>
          </w:tcPr>
          <w:p>
            <w:pPr>
              <w:spacing w:line="240" w:lineRule="auto"/>
              <w:ind w:firstLine="0" w:firstLineChars="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3" w:type="pct"/>
            <w:vMerge w:val="continue"/>
            <w:vAlign w:val="center"/>
          </w:tcPr>
          <w:p>
            <w:pPr>
              <w:spacing w:line="240" w:lineRule="auto"/>
              <w:ind w:firstLine="0" w:firstLineChars="0"/>
              <w:jc w:val="center"/>
              <w:rPr>
                <w:sz w:val="21"/>
                <w:szCs w:val="21"/>
              </w:rPr>
            </w:pPr>
          </w:p>
        </w:tc>
        <w:tc>
          <w:tcPr>
            <w:tcW w:w="620" w:type="pct"/>
            <w:vAlign w:val="center"/>
          </w:tcPr>
          <w:p>
            <w:pPr>
              <w:spacing w:line="240" w:lineRule="auto"/>
              <w:ind w:firstLine="0" w:firstLineChars="0"/>
              <w:jc w:val="center"/>
              <w:rPr>
                <w:sz w:val="21"/>
                <w:szCs w:val="21"/>
              </w:rPr>
            </w:pPr>
            <w:r>
              <w:rPr>
                <w:sz w:val="21"/>
                <w:szCs w:val="21"/>
              </w:rPr>
              <w:t>资源开发利用效率</w:t>
            </w:r>
          </w:p>
        </w:tc>
        <w:tc>
          <w:tcPr>
            <w:tcW w:w="1948" w:type="pct"/>
            <w:vAlign w:val="center"/>
          </w:tcPr>
          <w:p>
            <w:pPr>
              <w:spacing w:line="240" w:lineRule="auto"/>
              <w:ind w:firstLine="0" w:firstLineChars="0"/>
              <w:jc w:val="center"/>
              <w:rPr>
                <w:sz w:val="21"/>
                <w:szCs w:val="21"/>
              </w:rPr>
            </w:pPr>
            <w:r>
              <w:rPr>
                <w:sz w:val="21"/>
                <w:szCs w:val="21"/>
              </w:rPr>
              <w:t>万元工业增加值用水量（m</w:t>
            </w:r>
            <w:r>
              <w:rPr>
                <w:sz w:val="21"/>
                <w:szCs w:val="21"/>
                <w:vertAlign w:val="superscript"/>
              </w:rPr>
              <w:t>3</w:t>
            </w:r>
            <w:r>
              <w:rPr>
                <w:sz w:val="21"/>
                <w:szCs w:val="21"/>
              </w:rPr>
              <w:t>/万元）＜36.9</w:t>
            </w:r>
          </w:p>
        </w:tc>
        <w:tc>
          <w:tcPr>
            <w:tcW w:w="1191" w:type="pct"/>
            <w:vAlign w:val="center"/>
          </w:tcPr>
          <w:p>
            <w:pPr>
              <w:spacing w:line="240" w:lineRule="auto"/>
              <w:ind w:firstLine="0" w:firstLineChars="0"/>
              <w:jc w:val="center"/>
              <w:rPr>
                <w:sz w:val="21"/>
                <w:szCs w:val="21"/>
              </w:rPr>
            </w:pPr>
            <w:r>
              <w:rPr>
                <w:sz w:val="21"/>
                <w:szCs w:val="21"/>
              </w:rPr>
              <w:t>本项目生产上主要是洒水降尘，工艺用水量很少。</w:t>
            </w:r>
          </w:p>
        </w:tc>
        <w:tc>
          <w:tcPr>
            <w:tcW w:w="539" w:type="pct"/>
            <w:vAlign w:val="center"/>
          </w:tcPr>
          <w:p>
            <w:pPr>
              <w:spacing w:line="240" w:lineRule="auto"/>
              <w:ind w:firstLine="0" w:firstLineChars="0"/>
              <w:jc w:val="center"/>
              <w:rPr>
                <w:sz w:val="21"/>
                <w:szCs w:val="21"/>
              </w:rPr>
            </w:pPr>
            <w:r>
              <w:rPr>
                <w:sz w:val="21"/>
                <w:szCs w:val="21"/>
              </w:rPr>
              <w:t>符合</w:t>
            </w:r>
          </w:p>
        </w:tc>
      </w:tr>
    </w:tbl>
    <w:p>
      <w:pPr>
        <w:spacing w:line="460" w:lineRule="exact"/>
        <w:ind w:firstLine="480"/>
        <w:jc w:val="both"/>
        <w:rPr>
          <w:sz w:val="24"/>
          <w:szCs w:val="24"/>
        </w:rPr>
      </w:pPr>
      <w:r>
        <w:rPr>
          <w:sz w:val="24"/>
          <w:szCs w:val="24"/>
        </w:rPr>
        <w:t>综上，本项目不在生态保护红线范围内，实施后不会改变（恶化）所在区域环境质量现状，也不会产生新的环境问题，所消耗的资源和土地资源少，符合重庆市及合川区“三线一单”的相关要求。</w:t>
      </w:r>
    </w:p>
    <w:bookmarkEnd w:id="118"/>
    <w:p>
      <w:pPr>
        <w:pStyle w:val="4"/>
      </w:pPr>
      <w:bookmarkStart w:id="119" w:name="_Toc500407834"/>
      <w:bookmarkStart w:id="120" w:name="_Toc161676094"/>
      <w:bookmarkStart w:id="121" w:name="_Toc18330088"/>
      <w:r>
        <w:t>1.12选址合理性分析</w:t>
      </w:r>
      <w:bookmarkEnd w:id="119"/>
      <w:bookmarkEnd w:id="120"/>
      <w:bookmarkEnd w:id="121"/>
    </w:p>
    <w:p>
      <w:pPr>
        <w:pStyle w:val="5"/>
        <w:rPr>
          <w:color w:val="auto"/>
        </w:rPr>
      </w:pPr>
      <w:r>
        <w:rPr>
          <w:color w:val="auto"/>
        </w:rPr>
        <w:t xml:space="preserve">1.12.1矿山设计开采范围设置合理性 </w:t>
      </w:r>
    </w:p>
    <w:p>
      <w:pPr>
        <w:spacing w:line="460" w:lineRule="exact"/>
        <w:ind w:firstLine="480"/>
        <w:jc w:val="both"/>
        <w:rPr>
          <w:bCs/>
          <w:sz w:val="24"/>
          <w:szCs w:val="24"/>
        </w:rPr>
      </w:pPr>
      <w:r>
        <w:rPr>
          <w:sz w:val="24"/>
          <w:szCs w:val="24"/>
        </w:rPr>
        <w:t>建筑石料用灰岩矿扩建工程采矿权为重庆峰磊矿业有限公司观音村采石场，属于</w:t>
      </w:r>
      <w:r>
        <w:rPr>
          <w:bCs/>
          <w:sz w:val="24"/>
          <w:szCs w:val="21"/>
        </w:rPr>
        <w:t>《重庆市合川区矿产资源总体规划（2021-2025年）》中已设</w:t>
      </w:r>
      <w:r>
        <w:rPr>
          <w:sz w:val="24"/>
          <w:szCs w:val="24"/>
        </w:rPr>
        <w:t>60个采矿权之一（编号CQ012）中的一部分</w:t>
      </w:r>
      <w:r>
        <w:rPr>
          <w:bCs/>
          <w:sz w:val="24"/>
          <w:szCs w:val="24"/>
        </w:rPr>
        <w:t>。</w:t>
      </w:r>
      <w:r>
        <w:rPr>
          <w:sz w:val="24"/>
          <w:szCs w:val="21"/>
        </w:rPr>
        <w:t>矿区占地范围内不涉及饮用水水源保护区、自然保护区、自然文化遗产地、湿地公园、森林公园、风景名胜区、地质公园等环境敏感区；项目占地范围内不涉及九峰山森林公园和合川区生态保护红线、永久基本农田，无文物古迹、珍稀濒危及保护性野生动植物集中分布区，无学校、医院等环境敏感点；不在合川区城镇规划区内；也不在国道、省道、高速公路两侧直观可视范围内。</w:t>
      </w:r>
    </w:p>
    <w:p>
      <w:pPr>
        <w:spacing w:line="460" w:lineRule="exact"/>
        <w:ind w:firstLine="480"/>
        <w:jc w:val="both"/>
        <w:rPr>
          <w:bCs/>
          <w:sz w:val="24"/>
          <w:szCs w:val="24"/>
        </w:rPr>
      </w:pPr>
      <w:r>
        <w:rPr>
          <w:bCs/>
          <w:sz w:val="24"/>
          <w:szCs w:val="24"/>
        </w:rPr>
        <w:t>矿区设计开采范围外</w:t>
      </w:r>
      <w:r>
        <w:rPr>
          <w:sz w:val="24"/>
          <w:szCs w:val="24"/>
        </w:rPr>
        <w:t>东北侧170m 有1户居民，开采区与东北侧居民之间有自然山体阻隔，可有效阻挡噪声的传播。项目设计开采范围外1km 范围内无铁路、油气管道专用隧道，500m 范围内无其他单位高压输电线路及石油天然气附属设施，200m范围内无石油、天然气管道。满足铁路、高压线及石油天然气相关安全距离要求，建设单位并已取得本项目《采矿许可证》。</w:t>
      </w:r>
    </w:p>
    <w:p>
      <w:pPr>
        <w:pStyle w:val="222"/>
      </w:pPr>
      <w:r>
        <w:t>综上分析，本项目开采范围设置是合理的。</w:t>
      </w:r>
    </w:p>
    <w:p>
      <w:pPr>
        <w:pStyle w:val="5"/>
        <w:rPr>
          <w:color w:val="auto"/>
        </w:rPr>
      </w:pPr>
      <w:r>
        <w:rPr>
          <w:color w:val="auto"/>
        </w:rPr>
        <w:t>1.12.2工业场地选址合理性分析</w:t>
      </w:r>
    </w:p>
    <w:p>
      <w:pPr>
        <w:pStyle w:val="222"/>
      </w:pPr>
      <w:r>
        <w:t>本项目开采出的矿石采用汽车运至工业场地进行碎石加工，该工业场地位于矿区东北侧约1km处，场地外与盐九路相接，便于矿石运输。</w:t>
      </w:r>
    </w:p>
    <w:p>
      <w:pPr>
        <w:pStyle w:val="222"/>
      </w:pPr>
      <w:r>
        <w:rPr>
          <w:rStyle w:val="198"/>
          <w:rFonts w:hint="default" w:ascii="Times New Roman" w:hAnsi="Times New Roman"/>
          <w:color w:val="auto"/>
        </w:rPr>
        <w:t>工业场地</w:t>
      </w:r>
      <w:r>
        <w:t>占地范围不涉及自然保护区、风景名胜区、饮用水源保护区、森林公园、基本农田等环境敏感区，不占用合川区生态保护红线；</w:t>
      </w:r>
      <w:r>
        <w:rPr>
          <w:rStyle w:val="198"/>
          <w:rFonts w:hint="default" w:ascii="Times New Roman" w:hAnsi="Times New Roman"/>
          <w:color w:val="auto"/>
        </w:rPr>
        <w:t>场区稳定，</w:t>
      </w:r>
      <w:r>
        <w:t>无滑坡、危岩崩塌等不良地质条件</w:t>
      </w:r>
      <w:r>
        <w:rPr>
          <w:rStyle w:val="198"/>
          <w:rFonts w:hint="default" w:ascii="Times New Roman" w:hAnsi="Times New Roman"/>
          <w:color w:val="auto"/>
        </w:rPr>
        <w:t>；供电、供水等设施较完善。</w:t>
      </w:r>
    </w:p>
    <w:p>
      <w:pPr>
        <w:pStyle w:val="222"/>
      </w:pPr>
      <w:r>
        <w:t>本项目评价范围内涉及九峰山森林公园，本项目利用重庆市盐井三峡矿业有限公司闲置工业场地进行碎石加工，不新增占地，通过强化环保措施，减少对生态环境的影响，节约总投资，因此项目工业场地选址合理。</w:t>
      </w:r>
    </w:p>
    <w:p>
      <w:pPr>
        <w:pStyle w:val="5"/>
        <w:rPr>
          <w:color w:val="auto"/>
        </w:rPr>
      </w:pPr>
      <w:r>
        <w:rPr>
          <w:color w:val="auto"/>
        </w:rPr>
        <w:t>1.12.3排土场选址合理性分析</w:t>
      </w:r>
    </w:p>
    <w:p>
      <w:pPr>
        <w:pStyle w:val="222"/>
      </w:pPr>
      <w:r>
        <w:t>本项目矿区范围内新设1个排土场，地坪标高+255m~+260m，占地面积约为500m</w:t>
      </w:r>
      <w:r>
        <w:rPr>
          <w:vertAlign w:val="superscript"/>
        </w:rPr>
        <w:t>2</w:t>
      </w:r>
      <w:r>
        <w:t>，堆放高度设计为2m，可容纳1000m</w:t>
      </w:r>
      <w:r>
        <w:rPr>
          <w:vertAlign w:val="superscript"/>
        </w:rPr>
        <w:t>3</w:t>
      </w:r>
      <w:r>
        <w:t>表土，四周修建截排水沟，矿区采取阶梯式开挖，边开采边恢复方式，可就近利用产生的表土和废石，能够满足本项目废石和沉淀池泥沙的堆存需求。</w:t>
      </w:r>
    </w:p>
    <w:p>
      <w:pPr>
        <w:pStyle w:val="222"/>
      </w:pPr>
      <w:r>
        <w:t>对照《一般工业固体废物贮存、处置场污染控制标准》（GB18599-2020）选址要求，选址可行性分析见下表。</w:t>
      </w:r>
    </w:p>
    <w:p>
      <w:pPr>
        <w:pStyle w:val="84"/>
      </w:pPr>
      <w:r>
        <w:t>表1.12-1排土场选址可行性分析</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3856"/>
        <w:gridCol w:w="3261"/>
        <w:gridCol w:w="11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8D8D8" w:themeFill="background1" w:themeFillShade="D9"/>
            <w:vAlign w:val="center"/>
          </w:tcPr>
          <w:p>
            <w:pPr>
              <w:spacing w:line="240" w:lineRule="auto"/>
              <w:ind w:firstLine="0" w:firstLineChars="0"/>
              <w:jc w:val="center"/>
              <w:rPr>
                <w:b/>
                <w:sz w:val="21"/>
              </w:rPr>
            </w:pPr>
            <w:r>
              <w:rPr>
                <w:b/>
                <w:sz w:val="21"/>
              </w:rPr>
              <w:t>序号</w:t>
            </w:r>
          </w:p>
        </w:tc>
        <w:tc>
          <w:tcPr>
            <w:tcW w:w="3856" w:type="dxa"/>
            <w:shd w:val="clear" w:color="auto" w:fill="D8D8D8" w:themeFill="background1" w:themeFillShade="D9"/>
            <w:vAlign w:val="center"/>
          </w:tcPr>
          <w:p>
            <w:pPr>
              <w:spacing w:line="240" w:lineRule="auto"/>
              <w:ind w:firstLine="0" w:firstLineChars="0"/>
              <w:jc w:val="center"/>
              <w:rPr>
                <w:b/>
                <w:sz w:val="21"/>
              </w:rPr>
            </w:pPr>
            <w:r>
              <w:rPr>
                <w:b/>
                <w:sz w:val="21"/>
              </w:rPr>
              <w:t>GB18599-2020贮存场选址要求</w:t>
            </w:r>
          </w:p>
        </w:tc>
        <w:tc>
          <w:tcPr>
            <w:tcW w:w="3261" w:type="dxa"/>
            <w:shd w:val="clear" w:color="auto" w:fill="D8D8D8" w:themeFill="background1" w:themeFillShade="D9"/>
            <w:vAlign w:val="center"/>
          </w:tcPr>
          <w:p>
            <w:pPr>
              <w:spacing w:line="240" w:lineRule="auto"/>
              <w:ind w:firstLine="0" w:firstLineChars="0"/>
              <w:jc w:val="center"/>
              <w:rPr>
                <w:b/>
                <w:sz w:val="21"/>
              </w:rPr>
            </w:pPr>
            <w:r>
              <w:rPr>
                <w:b/>
                <w:sz w:val="21"/>
              </w:rPr>
              <w:t>排土场情况</w:t>
            </w:r>
          </w:p>
        </w:tc>
        <w:tc>
          <w:tcPr>
            <w:tcW w:w="1150" w:type="dxa"/>
            <w:shd w:val="clear" w:color="auto" w:fill="D8D8D8" w:themeFill="background1" w:themeFillShade="D9"/>
            <w:vAlign w:val="center"/>
          </w:tcPr>
          <w:p>
            <w:pPr>
              <w:spacing w:line="240" w:lineRule="auto"/>
              <w:ind w:firstLine="0" w:firstLineChars="0"/>
              <w:jc w:val="center"/>
              <w:rPr>
                <w:b/>
                <w:sz w:val="21"/>
              </w:rPr>
            </w:pPr>
            <w:r>
              <w:rPr>
                <w:b/>
                <w:sz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675" w:type="dxa"/>
            <w:vAlign w:val="center"/>
          </w:tcPr>
          <w:p>
            <w:pPr>
              <w:spacing w:line="240" w:lineRule="auto"/>
              <w:ind w:firstLine="0" w:firstLineChars="0"/>
              <w:rPr>
                <w:sz w:val="21"/>
              </w:rPr>
            </w:pPr>
            <w:r>
              <w:rPr>
                <w:sz w:val="21"/>
              </w:rPr>
              <w:t>1</w:t>
            </w:r>
          </w:p>
        </w:tc>
        <w:tc>
          <w:tcPr>
            <w:tcW w:w="3856" w:type="dxa"/>
            <w:vAlign w:val="center"/>
          </w:tcPr>
          <w:p>
            <w:pPr>
              <w:spacing w:line="240" w:lineRule="auto"/>
              <w:ind w:firstLine="0" w:firstLineChars="0"/>
              <w:rPr>
                <w:sz w:val="21"/>
              </w:rPr>
            </w:pPr>
            <w:r>
              <w:rPr>
                <w:sz w:val="21"/>
              </w:rPr>
              <w:t>一般工业固体废物贮存场、填埋场的选址应符合环境保护法律法规及相关法定规划要求。</w:t>
            </w:r>
          </w:p>
        </w:tc>
        <w:tc>
          <w:tcPr>
            <w:tcW w:w="3261" w:type="dxa"/>
            <w:vAlign w:val="center"/>
          </w:tcPr>
          <w:p>
            <w:pPr>
              <w:spacing w:line="240" w:lineRule="auto"/>
              <w:ind w:firstLine="0" w:firstLineChars="0"/>
              <w:rPr>
                <w:sz w:val="21"/>
              </w:rPr>
            </w:pPr>
            <w:r>
              <w:rPr>
                <w:sz w:val="21"/>
              </w:rPr>
              <w:t>不在城镇规划区。</w:t>
            </w:r>
          </w:p>
        </w:tc>
        <w:tc>
          <w:tcPr>
            <w:tcW w:w="1150" w:type="dxa"/>
            <w:vAlign w:val="center"/>
          </w:tcPr>
          <w:p>
            <w:pPr>
              <w:spacing w:line="240" w:lineRule="auto"/>
              <w:ind w:firstLine="0" w:firstLineChars="0"/>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240" w:lineRule="auto"/>
              <w:ind w:firstLine="0" w:firstLineChars="0"/>
              <w:rPr>
                <w:sz w:val="21"/>
              </w:rPr>
            </w:pPr>
            <w:r>
              <w:rPr>
                <w:sz w:val="21"/>
              </w:rPr>
              <w:t>2</w:t>
            </w:r>
          </w:p>
        </w:tc>
        <w:tc>
          <w:tcPr>
            <w:tcW w:w="3856" w:type="dxa"/>
            <w:vAlign w:val="center"/>
          </w:tcPr>
          <w:p>
            <w:pPr>
              <w:spacing w:line="240" w:lineRule="auto"/>
              <w:ind w:firstLine="0" w:firstLineChars="0"/>
              <w:rPr>
                <w:sz w:val="21"/>
              </w:rPr>
            </w:pPr>
            <w:r>
              <w:rPr>
                <w:sz w:val="21"/>
              </w:rPr>
              <w:t>贮存场、填埋场的位置与周围居民区的距离应依据环境影响评价文件及审批意见确定。</w:t>
            </w:r>
          </w:p>
        </w:tc>
        <w:tc>
          <w:tcPr>
            <w:tcW w:w="3261" w:type="dxa"/>
            <w:vAlign w:val="center"/>
          </w:tcPr>
          <w:p>
            <w:pPr>
              <w:spacing w:line="240" w:lineRule="auto"/>
              <w:ind w:firstLine="0" w:firstLineChars="0"/>
              <w:rPr>
                <w:sz w:val="21"/>
              </w:rPr>
            </w:pPr>
            <w:r>
              <w:rPr>
                <w:sz w:val="21"/>
              </w:rPr>
              <w:t>本区域主导风向为东北偏北风，排土场位于主要敏感点侧风向，排土场周围50m范围无居民分布。</w:t>
            </w:r>
          </w:p>
        </w:tc>
        <w:tc>
          <w:tcPr>
            <w:tcW w:w="1150" w:type="dxa"/>
            <w:vAlign w:val="center"/>
          </w:tcPr>
          <w:p>
            <w:pPr>
              <w:spacing w:line="240" w:lineRule="auto"/>
              <w:ind w:firstLine="0" w:firstLineChars="0"/>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240" w:lineRule="auto"/>
              <w:ind w:firstLine="0" w:firstLineChars="0"/>
              <w:rPr>
                <w:sz w:val="21"/>
              </w:rPr>
            </w:pPr>
            <w:r>
              <w:rPr>
                <w:sz w:val="21"/>
              </w:rPr>
              <w:t>3</w:t>
            </w:r>
          </w:p>
        </w:tc>
        <w:tc>
          <w:tcPr>
            <w:tcW w:w="3856" w:type="dxa"/>
            <w:vAlign w:val="center"/>
          </w:tcPr>
          <w:p>
            <w:pPr>
              <w:spacing w:line="240" w:lineRule="auto"/>
              <w:ind w:firstLine="0" w:firstLineChars="0"/>
              <w:rPr>
                <w:sz w:val="21"/>
              </w:rPr>
            </w:pPr>
            <w:r>
              <w:rPr>
                <w:sz w:val="21"/>
              </w:rPr>
              <w:t>贮存场、填埋场不得选在生态保护红线区域、永久基本农田集中区域和其他需要特别保护的区域内。</w:t>
            </w:r>
          </w:p>
        </w:tc>
        <w:tc>
          <w:tcPr>
            <w:tcW w:w="3261" w:type="dxa"/>
            <w:vAlign w:val="center"/>
          </w:tcPr>
          <w:p>
            <w:pPr>
              <w:spacing w:line="240" w:lineRule="auto"/>
              <w:ind w:firstLine="0" w:firstLineChars="0"/>
              <w:rPr>
                <w:sz w:val="21"/>
              </w:rPr>
            </w:pPr>
            <w:r>
              <w:rPr>
                <w:sz w:val="21"/>
              </w:rPr>
              <w:t>项目排土场不在生态保护红线区域、永久基本农田集中区域</w:t>
            </w:r>
            <w:r>
              <w:rPr>
                <w:rFonts w:hint="eastAsia"/>
                <w:sz w:val="21"/>
                <w:lang w:eastAsia="zh-CN"/>
              </w:rPr>
              <w:t>和</w:t>
            </w:r>
            <w:r>
              <w:rPr>
                <w:sz w:val="21"/>
              </w:rPr>
              <w:t>其他需要特殊保护的区域内。</w:t>
            </w:r>
          </w:p>
        </w:tc>
        <w:tc>
          <w:tcPr>
            <w:tcW w:w="1150" w:type="dxa"/>
            <w:vAlign w:val="center"/>
          </w:tcPr>
          <w:p>
            <w:pPr>
              <w:spacing w:line="240" w:lineRule="auto"/>
              <w:ind w:firstLine="0" w:firstLineChars="0"/>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240" w:lineRule="auto"/>
              <w:ind w:firstLine="0" w:firstLineChars="0"/>
              <w:rPr>
                <w:sz w:val="21"/>
              </w:rPr>
            </w:pPr>
            <w:r>
              <w:rPr>
                <w:sz w:val="21"/>
              </w:rPr>
              <w:t>4</w:t>
            </w:r>
          </w:p>
        </w:tc>
        <w:tc>
          <w:tcPr>
            <w:tcW w:w="3856" w:type="dxa"/>
            <w:vAlign w:val="center"/>
          </w:tcPr>
          <w:p>
            <w:pPr>
              <w:spacing w:line="240" w:lineRule="auto"/>
              <w:ind w:firstLine="0" w:firstLineChars="0"/>
              <w:rPr>
                <w:sz w:val="21"/>
              </w:rPr>
            </w:pPr>
            <w:r>
              <w:rPr>
                <w:sz w:val="21"/>
              </w:rPr>
              <w:t>贮存场、填埋场应避开活动断层、溶洞区、天然滑坡或泥石流影响区以及湿地等区域。</w:t>
            </w:r>
          </w:p>
        </w:tc>
        <w:tc>
          <w:tcPr>
            <w:tcW w:w="3261" w:type="dxa"/>
            <w:vAlign w:val="center"/>
          </w:tcPr>
          <w:p>
            <w:pPr>
              <w:spacing w:line="240" w:lineRule="auto"/>
              <w:ind w:firstLine="0" w:firstLineChars="0"/>
              <w:rPr>
                <w:sz w:val="21"/>
              </w:rPr>
            </w:pPr>
            <w:r>
              <w:rPr>
                <w:sz w:val="21"/>
              </w:rPr>
              <w:t>场地没有断层、断层破碎带、溶洞区，也没有处在天然滑坡区或泥石流影响区。</w:t>
            </w:r>
          </w:p>
        </w:tc>
        <w:tc>
          <w:tcPr>
            <w:tcW w:w="1150" w:type="dxa"/>
            <w:vAlign w:val="center"/>
          </w:tcPr>
          <w:p>
            <w:pPr>
              <w:spacing w:line="240" w:lineRule="auto"/>
              <w:ind w:firstLine="0" w:firstLineChars="0"/>
              <w:rPr>
                <w:sz w:val="21"/>
              </w:rPr>
            </w:pPr>
            <w:r>
              <w:rPr>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240" w:lineRule="auto"/>
              <w:ind w:firstLine="0" w:firstLineChars="0"/>
              <w:rPr>
                <w:sz w:val="21"/>
              </w:rPr>
            </w:pPr>
            <w:r>
              <w:rPr>
                <w:sz w:val="21"/>
              </w:rPr>
              <w:t>5</w:t>
            </w:r>
          </w:p>
        </w:tc>
        <w:tc>
          <w:tcPr>
            <w:tcW w:w="3856" w:type="dxa"/>
            <w:vAlign w:val="center"/>
          </w:tcPr>
          <w:p>
            <w:pPr>
              <w:spacing w:line="240" w:lineRule="auto"/>
              <w:ind w:firstLine="0" w:firstLineChars="0"/>
              <w:rPr>
                <w:sz w:val="21"/>
              </w:rPr>
            </w:pPr>
            <w:r>
              <w:rPr>
                <w:sz w:val="21"/>
              </w:rPr>
              <w:t>贮存场、填埋场不得选在江河、湖泊、运河、渠道、水库最高水位线以下的滩地和岸坡，以及国家和地方长远规划中的水库等人工蓄水设施的淹没区和保护区之内。</w:t>
            </w:r>
          </w:p>
        </w:tc>
        <w:tc>
          <w:tcPr>
            <w:tcW w:w="3261" w:type="dxa"/>
            <w:vAlign w:val="center"/>
          </w:tcPr>
          <w:p>
            <w:pPr>
              <w:spacing w:line="240" w:lineRule="auto"/>
              <w:ind w:firstLine="0" w:firstLineChars="0"/>
              <w:rPr>
                <w:sz w:val="21"/>
              </w:rPr>
            </w:pPr>
            <w:r>
              <w:rPr>
                <w:sz w:val="21"/>
              </w:rPr>
              <w:t>排土场不在江河、运河、渠道、水库最高水位线以下的滩地和岸坡，以及国家和地方长远规划中的水库等人工蓄水设施的淹没区和保护区之内。</w:t>
            </w:r>
          </w:p>
        </w:tc>
        <w:tc>
          <w:tcPr>
            <w:tcW w:w="1150" w:type="dxa"/>
            <w:vAlign w:val="center"/>
          </w:tcPr>
          <w:p>
            <w:pPr>
              <w:spacing w:line="240" w:lineRule="auto"/>
              <w:ind w:firstLine="0" w:firstLineChars="0"/>
              <w:rPr>
                <w:sz w:val="21"/>
              </w:rPr>
            </w:pPr>
            <w:r>
              <w:rPr>
                <w:sz w:val="21"/>
              </w:rPr>
              <w:t>符合</w:t>
            </w:r>
          </w:p>
        </w:tc>
      </w:tr>
    </w:tbl>
    <w:p>
      <w:pPr>
        <w:pStyle w:val="222"/>
      </w:pPr>
      <w:r>
        <w:t>根据现场调查，排土场位于矿山开采区范围内，对矿区开采影响不大，排土场下游无居民点，对周边建筑和人员安全影响不大，下游修建挡墙后能够有效防止堆体垮塌，有利于矿山剥离物堆存和后期复垦。</w:t>
      </w:r>
    </w:p>
    <w:p>
      <w:pPr>
        <w:pStyle w:val="222"/>
      </w:pPr>
      <w:r>
        <w:t>综上所述，本项目排土场选址具有环境合理性。</w:t>
      </w:r>
    </w:p>
    <w:p>
      <w:pPr>
        <w:pStyle w:val="222"/>
        <w:sectPr>
          <w:headerReference r:id="rId19" w:type="first"/>
          <w:footerReference r:id="rId21" w:type="first"/>
          <w:headerReference r:id="rId18" w:type="even"/>
          <w:footerReference r:id="rId20" w:type="even"/>
          <w:pgSz w:w="11907" w:h="16840"/>
          <w:pgMar w:top="1418" w:right="1418" w:bottom="1418" w:left="1588" w:header="1134" w:footer="1134" w:gutter="0"/>
          <w:cols w:space="425" w:num="1"/>
          <w:docGrid w:linePitch="354" w:charSpace="0"/>
        </w:sectPr>
      </w:pPr>
    </w:p>
    <w:p>
      <w:pPr>
        <w:pStyle w:val="3"/>
        <w:numPr>
          <w:ilvl w:val="0"/>
          <w:numId w:val="0"/>
        </w:numPr>
        <w:spacing w:before="240" w:after="240"/>
      </w:pPr>
      <w:bookmarkStart w:id="122" w:name="_Toc161676095"/>
      <w:r>
        <w:t>2现有工程概况</w:t>
      </w:r>
      <w:bookmarkEnd w:id="122"/>
    </w:p>
    <w:p>
      <w:pPr>
        <w:pStyle w:val="4"/>
        <w:spacing w:line="360" w:lineRule="auto"/>
      </w:pPr>
      <w:bookmarkStart w:id="123" w:name="_Toc161676096"/>
      <w:bookmarkStart w:id="124" w:name="_Toc478586500"/>
      <w:bookmarkStart w:id="125" w:name="_Toc284231897"/>
      <w:r>
        <w:t>2.1矿山开采回顾调查</w:t>
      </w:r>
      <w:bookmarkEnd w:id="123"/>
    </w:p>
    <w:p>
      <w:pPr>
        <w:pStyle w:val="5"/>
        <w:rPr>
          <w:color w:val="auto"/>
        </w:rPr>
      </w:pPr>
      <w:r>
        <w:rPr>
          <w:color w:val="auto"/>
        </w:rPr>
        <w:t>2.1.1矿权回顾调查</w:t>
      </w:r>
    </w:p>
    <w:p>
      <w:pPr>
        <w:spacing w:line="360" w:lineRule="auto"/>
        <w:ind w:firstLine="480"/>
        <w:jc w:val="both"/>
        <w:rPr>
          <w:sz w:val="24"/>
          <w:szCs w:val="24"/>
        </w:rPr>
      </w:pPr>
      <w:r>
        <w:rPr>
          <w:sz w:val="24"/>
          <w:szCs w:val="24"/>
        </w:rPr>
        <w:t>2017年，原重庆市合川区盐井三峡矿石有限责任公司观音村采石场采矿许可证到期，不再进行开采。为优化矿产资源开发利用布局，促进当地经济和社会发展，2018年重庆市合川区规划和自然资源局根据相关文件要求，对原重庆市合川区盐井三峡矿石有限责任公司观音村采石场与原重庆六顺矿业有限公司茶园村采石场</w:t>
      </w:r>
      <w:r>
        <w:rPr>
          <w:b/>
          <w:sz w:val="24"/>
          <w:szCs w:val="24"/>
        </w:rPr>
        <w:t>（该公司未采矿，已注销）</w:t>
      </w:r>
      <w:r>
        <w:rPr>
          <w:sz w:val="24"/>
          <w:szCs w:val="24"/>
        </w:rPr>
        <w:t>两矿山进行整合，整合后矿区总面积为0.0676km</w:t>
      </w:r>
      <w:r>
        <w:rPr>
          <w:sz w:val="24"/>
          <w:szCs w:val="24"/>
          <w:vertAlign w:val="superscript"/>
        </w:rPr>
        <w:t>2</w:t>
      </w:r>
      <w:r>
        <w:rPr>
          <w:sz w:val="24"/>
          <w:szCs w:val="24"/>
        </w:rPr>
        <w:t>。</w:t>
      </w:r>
    </w:p>
    <w:p>
      <w:pPr>
        <w:spacing w:line="360" w:lineRule="auto"/>
        <w:ind w:firstLine="480"/>
        <w:jc w:val="both"/>
        <w:rPr>
          <w:sz w:val="24"/>
          <w:szCs w:val="24"/>
        </w:rPr>
      </w:pPr>
      <w:r>
        <w:rPr>
          <w:sz w:val="24"/>
          <w:szCs w:val="24"/>
        </w:rPr>
        <w:t>2023年7月，重庆市合川区公共资源交易中心挂牌出让了合川区盐井街道观音村五社建筑用灰岩矿段采矿权，由重庆峰磊矿业有限公司取得，矿区面积0.0466km</w:t>
      </w:r>
      <w:r>
        <w:rPr>
          <w:sz w:val="24"/>
          <w:szCs w:val="24"/>
          <w:vertAlign w:val="superscript"/>
        </w:rPr>
        <w:t>2</w:t>
      </w:r>
      <w:r>
        <w:rPr>
          <w:sz w:val="24"/>
          <w:szCs w:val="24"/>
        </w:rPr>
        <w:t>，其中出让矿权与整合后的矿区有重合部分，占整合矿区面积的28.7%。</w:t>
      </w:r>
    </w:p>
    <w:p>
      <w:pPr>
        <w:spacing w:line="360" w:lineRule="auto"/>
        <w:ind w:firstLine="480"/>
        <w:jc w:val="both"/>
        <w:rPr>
          <w:sz w:val="24"/>
          <w:szCs w:val="24"/>
        </w:rPr>
      </w:pPr>
      <w:r>
        <w:rPr>
          <w:sz w:val="24"/>
          <w:szCs w:val="24"/>
        </w:rPr>
        <w:t>根据</w:t>
      </w:r>
      <w:r>
        <w:rPr>
          <w:bCs/>
          <w:sz w:val="24"/>
          <w:szCs w:val="24"/>
        </w:rPr>
        <w:t>《重庆市合川区矿产资源总体规划（2021-2025年）》，合川区矿产资源共划定了60个采矿权区块，本矿区属于</w:t>
      </w:r>
      <w:r>
        <w:rPr>
          <w:sz w:val="24"/>
          <w:szCs w:val="24"/>
        </w:rPr>
        <w:t>重庆市合川区盐井街道观音村建筑用灰岩矿区（采矿区块编号：CQ012）其中一部分部分，CQ012矿区面积为0.1415km</w:t>
      </w:r>
      <w:r>
        <w:rPr>
          <w:sz w:val="24"/>
          <w:szCs w:val="24"/>
          <w:vertAlign w:val="superscript"/>
        </w:rPr>
        <w:t>2</w:t>
      </w:r>
      <w:r>
        <w:rPr>
          <w:sz w:val="24"/>
          <w:szCs w:val="24"/>
        </w:rPr>
        <w:t>，本项目矿区面积占该区块面积的32.9%。</w:t>
      </w:r>
    </w:p>
    <w:p>
      <w:pPr>
        <w:pStyle w:val="5"/>
        <w:rPr>
          <w:color w:val="auto"/>
        </w:rPr>
      </w:pPr>
      <w:r>
        <w:rPr>
          <w:color w:val="auto"/>
        </w:rPr>
        <w:t>2.1.2矿山开采情况调查</w:t>
      </w:r>
    </w:p>
    <w:p>
      <w:pPr>
        <w:spacing w:line="360" w:lineRule="auto"/>
        <w:ind w:firstLine="480"/>
        <w:jc w:val="both"/>
        <w:rPr>
          <w:bCs/>
          <w:kern w:val="44"/>
          <w:sz w:val="24"/>
          <w:szCs w:val="36"/>
        </w:rPr>
      </w:pPr>
      <w:r>
        <w:rPr>
          <w:sz w:val="24"/>
          <w:szCs w:val="24"/>
        </w:rPr>
        <w:t>原重庆市合川区盐井三峡矿石有限责任公司</w:t>
      </w:r>
      <w:r>
        <w:rPr>
          <w:bCs/>
          <w:kern w:val="44"/>
          <w:sz w:val="24"/>
          <w:szCs w:val="36"/>
        </w:rPr>
        <w:t>茶园村采石场采矿许可证于2014年10月5日由重庆市合川区国土资源和房屋管理分局颁发，证号为C5001172010097130074315，生产规模由20万吨/年扩大到55万吨/年，开采三叠系下统嘉陵江组（T</w:t>
      </w:r>
      <w:r>
        <w:rPr>
          <w:bCs/>
          <w:kern w:val="44"/>
          <w:sz w:val="24"/>
          <w:szCs w:val="36"/>
          <w:vertAlign w:val="subscript"/>
        </w:rPr>
        <w:t>1</w:t>
      </w:r>
      <w:r>
        <w:rPr>
          <w:bCs/>
          <w:kern w:val="44"/>
          <w:sz w:val="24"/>
          <w:szCs w:val="36"/>
        </w:rPr>
        <w:t>j）第一段建筑用石灰石资源。矿区面积：0.0398km</w:t>
      </w:r>
      <w:r>
        <w:rPr>
          <w:bCs/>
          <w:kern w:val="44"/>
          <w:sz w:val="24"/>
          <w:szCs w:val="36"/>
          <w:vertAlign w:val="superscript"/>
        </w:rPr>
        <w:t>2</w:t>
      </w:r>
      <w:r>
        <w:rPr>
          <w:bCs/>
          <w:kern w:val="44"/>
          <w:sz w:val="24"/>
          <w:szCs w:val="36"/>
        </w:rPr>
        <w:t>，开采标高+320～+223m。原矿区范围由4个拐点圈定（1980西安坐标系，1985国家高程基准）。</w:t>
      </w:r>
    </w:p>
    <w:p>
      <w:pPr>
        <w:spacing w:line="360" w:lineRule="auto"/>
        <w:ind w:firstLine="480"/>
        <w:jc w:val="both"/>
        <w:rPr>
          <w:sz w:val="24"/>
        </w:rPr>
      </w:pPr>
      <w:r>
        <w:rPr>
          <w:sz w:val="24"/>
        </w:rPr>
        <w:t>根据</w:t>
      </w:r>
      <w:r>
        <w:rPr>
          <w:sz w:val="24"/>
          <w:szCs w:val="24"/>
        </w:rPr>
        <w:t>原重庆市合川区盐井三峡矿石有限责任公司</w:t>
      </w:r>
      <w:r>
        <w:rPr>
          <w:sz w:val="24"/>
        </w:rPr>
        <w:t>茶园村采石场采矿权变更申请上报，上级主管部门同意矿山申请变更采矿权，确认拟申请扩大矿区范围由9个拐点圈定（1980西安坐标，1985国家高程），开采规模由55万吨/年扩大到70万吨/年，扩大矿区范围走向长：620m，开采标高+350-+223m（开采上标高由+320m变到+350m），矿区面积：0.0936km</w:t>
      </w:r>
      <w:r>
        <w:rPr>
          <w:sz w:val="24"/>
          <w:vertAlign w:val="superscript"/>
        </w:rPr>
        <w:t>2</w:t>
      </w:r>
      <w:r>
        <w:rPr>
          <w:sz w:val="24"/>
        </w:rPr>
        <w:t>（矿区面积由0.0398 km</w:t>
      </w:r>
      <w:r>
        <w:rPr>
          <w:sz w:val="24"/>
          <w:vertAlign w:val="superscript"/>
        </w:rPr>
        <w:t>2</w:t>
      </w:r>
      <w:r>
        <w:rPr>
          <w:sz w:val="24"/>
        </w:rPr>
        <w:t>变到0.0936km</w:t>
      </w:r>
      <w:r>
        <w:rPr>
          <w:sz w:val="24"/>
          <w:vertAlign w:val="superscript"/>
        </w:rPr>
        <w:t>2</w:t>
      </w:r>
      <w:r>
        <w:rPr>
          <w:sz w:val="24"/>
        </w:rPr>
        <w:t>），开采矿层不变，均是开采沥鼻峡背斜北段西翼三叠系下统嘉陵江组第一段（T</w:t>
      </w:r>
      <w:r>
        <w:rPr>
          <w:sz w:val="24"/>
          <w:vertAlign w:val="subscript"/>
        </w:rPr>
        <w:t>1</w:t>
      </w:r>
      <w:r>
        <w:rPr>
          <w:sz w:val="24"/>
        </w:rPr>
        <w:t>j</w:t>
      </w:r>
      <w:r>
        <w:rPr>
          <w:sz w:val="24"/>
          <w:vertAlign w:val="superscript"/>
        </w:rPr>
        <w:t>1</w:t>
      </w:r>
      <w:r>
        <w:rPr>
          <w:sz w:val="24"/>
        </w:rPr>
        <w:t>）的石灰石。</w:t>
      </w:r>
    </w:p>
    <w:p>
      <w:pPr>
        <w:spacing w:line="360" w:lineRule="auto"/>
        <w:ind w:firstLine="480"/>
        <w:jc w:val="both"/>
        <w:rPr>
          <w:bCs/>
          <w:kern w:val="44"/>
          <w:sz w:val="24"/>
          <w:szCs w:val="36"/>
        </w:rPr>
      </w:pPr>
      <w:r>
        <w:rPr>
          <w:sz w:val="24"/>
          <w:szCs w:val="24"/>
        </w:rPr>
        <w:t>目前，原重庆市合川区盐井三峡矿石有限责任公司</w:t>
      </w:r>
      <w:r>
        <w:rPr>
          <w:bCs/>
          <w:kern w:val="44"/>
          <w:sz w:val="24"/>
          <w:szCs w:val="36"/>
        </w:rPr>
        <w:t>茶园村采石场70万吨/年建设项目采矿许可证于2022年4月1日到期，不再进行开采，并且开采区已基本复垦复绿，工业场地转让给重庆峰磊矿业有限公司使用，后期由重庆峰磊矿业有限公司进行复垦复绿。</w:t>
      </w:r>
    </w:p>
    <w:p>
      <w:pPr>
        <w:spacing w:line="360" w:lineRule="auto"/>
        <w:ind w:firstLine="480"/>
        <w:jc w:val="both"/>
        <w:rPr>
          <w:sz w:val="24"/>
          <w:szCs w:val="24"/>
        </w:rPr>
      </w:pPr>
      <w:r>
        <w:rPr>
          <w:sz w:val="24"/>
          <w:szCs w:val="24"/>
        </w:rPr>
        <w:t>重庆六顺矿业有限公司在取得茶园村采石场矿权后，由于自身原因，未进行开采，并且现已注销该公司。</w:t>
      </w:r>
    </w:p>
    <w:p>
      <w:pPr>
        <w:pStyle w:val="4"/>
      </w:pPr>
      <w:bookmarkStart w:id="126" w:name="_Toc161676097"/>
      <w:r>
        <w:t>2.2环保手续</w:t>
      </w:r>
      <w:bookmarkEnd w:id="126"/>
    </w:p>
    <w:p>
      <w:pPr>
        <w:spacing w:line="460" w:lineRule="exact"/>
        <w:ind w:firstLine="480"/>
        <w:jc w:val="both"/>
        <w:rPr>
          <w:sz w:val="24"/>
          <w:szCs w:val="26"/>
        </w:rPr>
      </w:pPr>
      <w:r>
        <w:rPr>
          <w:sz w:val="24"/>
          <w:szCs w:val="26"/>
        </w:rPr>
        <w:t>2011年1月，重庆市合川区盐井三峡矿石有限公司委托技术单位编制了《重庆市合川区盐井三峡矿石有限公司20万吨/年石灰石开采项目（茶园村）环境影响评价报告》并取得批准书，开采及生产规模20万吨/年。</w:t>
      </w:r>
    </w:p>
    <w:p>
      <w:pPr>
        <w:spacing w:line="460" w:lineRule="exact"/>
        <w:ind w:firstLine="480"/>
        <w:jc w:val="both"/>
        <w:rPr>
          <w:sz w:val="24"/>
          <w:szCs w:val="26"/>
        </w:rPr>
      </w:pPr>
      <w:r>
        <w:rPr>
          <w:sz w:val="24"/>
          <w:szCs w:val="26"/>
        </w:rPr>
        <w:t>2013年5月，重庆市合川区盐井三峡矿石有限公司委托技术单位编制了《重庆市合川区盐井三峡矿石有限责任公司茶园村采石场年产55万吨石灰岩改扩建项目环境影响报告书》并取得批准书，矿界、矿区面积、开采标高、开采层位、开采矿种均不变，仅开采及生产规模由20万吨/年扩大到55万吨/年。</w:t>
      </w:r>
    </w:p>
    <w:p>
      <w:pPr>
        <w:spacing w:line="460" w:lineRule="exact"/>
        <w:ind w:firstLine="480"/>
        <w:jc w:val="both"/>
        <w:rPr>
          <w:sz w:val="24"/>
          <w:szCs w:val="26"/>
        </w:rPr>
      </w:pPr>
      <w:r>
        <w:rPr>
          <w:sz w:val="24"/>
          <w:szCs w:val="26"/>
        </w:rPr>
        <w:t>2017年4月，重庆市盐井三峡矿业有限公司委托技术单位编制完成了《重庆市盐井三峡矿业有限公司茶园村采石场70万吨扩建项目环境影响报告书》并取得批准书，开采及生产规模由55万吨/年扩大到70万吨/年。</w:t>
      </w:r>
    </w:p>
    <w:p>
      <w:pPr>
        <w:spacing w:line="460" w:lineRule="exact"/>
        <w:ind w:firstLine="480"/>
        <w:jc w:val="both"/>
        <w:rPr>
          <w:sz w:val="24"/>
          <w:szCs w:val="26"/>
        </w:rPr>
      </w:pPr>
      <w:r>
        <w:rPr>
          <w:sz w:val="24"/>
          <w:szCs w:val="26"/>
        </w:rPr>
        <w:t>2022年1月，</w:t>
      </w:r>
      <w:bookmarkStart w:id="127" w:name="_Hlk161082303"/>
      <w:r>
        <w:rPr>
          <w:sz w:val="24"/>
          <w:szCs w:val="26"/>
        </w:rPr>
        <w:t>重庆市盐井三峡矿业有限公司</w:t>
      </w:r>
      <w:bookmarkEnd w:id="127"/>
      <w:r>
        <w:rPr>
          <w:sz w:val="24"/>
          <w:szCs w:val="26"/>
        </w:rPr>
        <w:t>取得了《排污许可证》（证书编号：91500117203644009F002Q）。</w:t>
      </w:r>
    </w:p>
    <w:p>
      <w:pPr>
        <w:spacing w:line="460" w:lineRule="exact"/>
        <w:ind w:firstLine="480"/>
        <w:jc w:val="both"/>
        <w:rPr>
          <w:sz w:val="24"/>
          <w:szCs w:val="26"/>
        </w:rPr>
      </w:pPr>
      <w:r>
        <w:rPr>
          <w:sz w:val="24"/>
          <w:szCs w:val="26"/>
        </w:rPr>
        <w:t>2022年1月，重庆市盐井三峡矿业有限公司进行了自主验收，编制了《茶园村采石场70万吨扩建项目竣工环境保护验收调查报告》，通过竣工环境保护验收。</w:t>
      </w:r>
    </w:p>
    <w:p>
      <w:pPr>
        <w:pStyle w:val="4"/>
      </w:pPr>
      <w:bookmarkStart w:id="128" w:name="_Toc161676098"/>
      <w:r>
        <w:t>2.3现有项目概况</w:t>
      </w:r>
      <w:bookmarkEnd w:id="128"/>
    </w:p>
    <w:p>
      <w:pPr>
        <w:pStyle w:val="5"/>
        <w:rPr>
          <w:color w:val="auto"/>
        </w:rPr>
      </w:pPr>
      <w:r>
        <w:rPr>
          <w:color w:val="auto"/>
        </w:rPr>
        <w:t>2.3.1基本情况</w:t>
      </w:r>
    </w:p>
    <w:p>
      <w:pPr>
        <w:pStyle w:val="222"/>
      </w:pPr>
      <w:r>
        <w:t>项目名称：茶园村采石场70万吨扩建项目；</w:t>
      </w:r>
    </w:p>
    <w:p>
      <w:pPr>
        <w:pStyle w:val="222"/>
      </w:pPr>
      <w:r>
        <w:t>建设单位：重庆市盐井三峡矿业有限公司；</w:t>
      </w:r>
    </w:p>
    <w:p>
      <w:pPr>
        <w:pStyle w:val="222"/>
      </w:pPr>
      <w:r>
        <w:t>建设性质：扩建；</w:t>
      </w:r>
    </w:p>
    <w:p>
      <w:pPr>
        <w:pStyle w:val="222"/>
      </w:pPr>
      <w:r>
        <w:t>建设地点：合川区盐井街道办事处茶园村；</w:t>
      </w:r>
    </w:p>
    <w:p>
      <w:pPr>
        <w:pStyle w:val="222"/>
      </w:pPr>
      <w:r>
        <w:t>矿区范围：由9个拐点圈定（1980西安坐标，1985国家高程），扩大矿区范围走向长：620m，开采标高+350~+223m（开采上标高由+320m变到+350m）；</w:t>
      </w:r>
    </w:p>
    <w:p>
      <w:pPr>
        <w:pStyle w:val="222"/>
      </w:pPr>
      <w:r>
        <w:t>矿区拐点范围见下表；</w:t>
      </w:r>
    </w:p>
    <w:p>
      <w:pPr>
        <w:spacing w:line="240" w:lineRule="auto"/>
        <w:ind w:firstLine="0" w:firstLineChars="0"/>
        <w:jc w:val="center"/>
        <w:rPr>
          <w:bCs/>
          <w:kern w:val="44"/>
          <w:sz w:val="24"/>
          <w:szCs w:val="36"/>
        </w:rPr>
      </w:pPr>
      <w:r>
        <w:rPr>
          <w:bCs/>
          <w:kern w:val="44"/>
          <w:sz w:val="24"/>
          <w:szCs w:val="36"/>
        </w:rPr>
        <w:t>表2.3-1矿区范围拐点坐标</w:t>
      </w:r>
    </w:p>
    <w:tbl>
      <w:tblPr>
        <w:tblStyle w:val="88"/>
        <w:tblW w:w="874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11"/>
        <w:gridCol w:w="1554"/>
        <w:gridCol w:w="1737"/>
        <w:gridCol w:w="1217"/>
        <w:gridCol w:w="1687"/>
        <w:gridCol w:w="16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7" w:hRule="atLeast"/>
          <w:jc w:val="center"/>
        </w:trPr>
        <w:tc>
          <w:tcPr>
            <w:tcW w:w="911" w:type="dxa"/>
            <w:shd w:val="clear" w:color="auto" w:fill="D8D8D8" w:themeFill="background1" w:themeFillShade="D9"/>
            <w:vAlign w:val="center"/>
          </w:tcPr>
          <w:p>
            <w:pPr>
              <w:adjustRightInd/>
              <w:snapToGrid/>
              <w:spacing w:line="240" w:lineRule="auto"/>
              <w:ind w:firstLine="0" w:firstLineChars="0"/>
              <w:jc w:val="center"/>
              <w:rPr>
                <w:b/>
                <w:sz w:val="21"/>
                <w:szCs w:val="21"/>
              </w:rPr>
            </w:pPr>
            <w:r>
              <w:rPr>
                <w:b/>
                <w:sz w:val="21"/>
                <w:szCs w:val="21"/>
              </w:rPr>
              <w:t>点号</w:t>
            </w:r>
          </w:p>
        </w:tc>
        <w:tc>
          <w:tcPr>
            <w:tcW w:w="1554" w:type="dxa"/>
            <w:shd w:val="clear" w:color="auto" w:fill="D8D8D8" w:themeFill="background1" w:themeFillShade="D9"/>
            <w:vAlign w:val="center"/>
          </w:tcPr>
          <w:p>
            <w:pPr>
              <w:adjustRightInd/>
              <w:snapToGrid/>
              <w:spacing w:line="240" w:lineRule="auto"/>
              <w:ind w:firstLine="0" w:firstLineChars="0"/>
              <w:jc w:val="center"/>
              <w:rPr>
                <w:b/>
                <w:sz w:val="21"/>
                <w:szCs w:val="21"/>
              </w:rPr>
            </w:pPr>
            <w:r>
              <w:rPr>
                <w:b/>
                <w:sz w:val="21"/>
                <w:szCs w:val="21"/>
              </w:rPr>
              <w:t>X</w:t>
            </w:r>
          </w:p>
        </w:tc>
        <w:tc>
          <w:tcPr>
            <w:tcW w:w="1737" w:type="dxa"/>
            <w:shd w:val="clear" w:color="auto" w:fill="D8D8D8" w:themeFill="background1" w:themeFillShade="D9"/>
            <w:vAlign w:val="center"/>
          </w:tcPr>
          <w:p>
            <w:pPr>
              <w:adjustRightInd/>
              <w:snapToGrid/>
              <w:spacing w:line="240" w:lineRule="auto"/>
              <w:ind w:firstLine="0" w:firstLineChars="0"/>
              <w:jc w:val="center"/>
              <w:rPr>
                <w:b/>
                <w:sz w:val="21"/>
                <w:szCs w:val="21"/>
              </w:rPr>
            </w:pPr>
            <w:r>
              <w:rPr>
                <w:b/>
                <w:sz w:val="21"/>
                <w:szCs w:val="21"/>
              </w:rPr>
              <w:t>Y</w:t>
            </w:r>
          </w:p>
        </w:tc>
        <w:tc>
          <w:tcPr>
            <w:tcW w:w="1217" w:type="dxa"/>
            <w:shd w:val="clear" w:color="auto" w:fill="D8D8D8" w:themeFill="background1" w:themeFillShade="D9"/>
            <w:vAlign w:val="center"/>
          </w:tcPr>
          <w:p>
            <w:pPr>
              <w:adjustRightInd/>
              <w:snapToGrid/>
              <w:spacing w:line="240" w:lineRule="auto"/>
              <w:ind w:firstLine="0" w:firstLineChars="0"/>
              <w:jc w:val="center"/>
              <w:rPr>
                <w:b/>
                <w:sz w:val="21"/>
                <w:szCs w:val="21"/>
              </w:rPr>
            </w:pPr>
            <w:r>
              <w:rPr>
                <w:b/>
                <w:sz w:val="21"/>
                <w:szCs w:val="21"/>
              </w:rPr>
              <w:t>点号</w:t>
            </w:r>
          </w:p>
        </w:tc>
        <w:tc>
          <w:tcPr>
            <w:tcW w:w="1687" w:type="dxa"/>
            <w:shd w:val="clear" w:color="auto" w:fill="D8D8D8" w:themeFill="background1" w:themeFillShade="D9"/>
            <w:vAlign w:val="center"/>
          </w:tcPr>
          <w:p>
            <w:pPr>
              <w:adjustRightInd/>
              <w:snapToGrid/>
              <w:spacing w:line="240" w:lineRule="auto"/>
              <w:ind w:firstLine="0" w:firstLineChars="0"/>
              <w:jc w:val="center"/>
              <w:rPr>
                <w:b/>
                <w:sz w:val="21"/>
                <w:szCs w:val="21"/>
              </w:rPr>
            </w:pPr>
            <w:r>
              <w:rPr>
                <w:b/>
                <w:sz w:val="21"/>
                <w:szCs w:val="21"/>
              </w:rPr>
              <w:t>X</w:t>
            </w:r>
          </w:p>
        </w:tc>
        <w:tc>
          <w:tcPr>
            <w:tcW w:w="1636" w:type="dxa"/>
            <w:shd w:val="clear" w:color="auto" w:fill="D8D8D8" w:themeFill="background1" w:themeFillShade="D9"/>
            <w:vAlign w:val="center"/>
          </w:tcPr>
          <w:p>
            <w:pPr>
              <w:adjustRightInd/>
              <w:snapToGrid/>
              <w:spacing w:line="240" w:lineRule="auto"/>
              <w:ind w:firstLine="0" w:firstLineChars="0"/>
              <w:jc w:val="center"/>
              <w:rPr>
                <w:b/>
                <w:sz w:val="21"/>
                <w:szCs w:val="21"/>
              </w:rPr>
            </w:pPr>
            <w:r>
              <w:rPr>
                <w:b/>
                <w:sz w:val="21"/>
                <w:szCs w:val="21"/>
              </w:rPr>
              <w:t>Y</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exact"/>
          <w:jc w:val="center"/>
        </w:trPr>
        <w:tc>
          <w:tcPr>
            <w:tcW w:w="911" w:type="dxa"/>
            <w:vAlign w:val="center"/>
          </w:tcPr>
          <w:p>
            <w:pPr>
              <w:adjustRightInd/>
              <w:snapToGrid/>
              <w:spacing w:line="240" w:lineRule="auto"/>
              <w:ind w:firstLine="0" w:firstLineChars="0"/>
              <w:jc w:val="center"/>
              <w:rPr>
                <w:sz w:val="21"/>
                <w:szCs w:val="21"/>
              </w:rPr>
            </w:pPr>
            <w:r>
              <w:rPr>
                <w:sz w:val="21"/>
                <w:szCs w:val="21"/>
              </w:rPr>
              <w:t>1</w:t>
            </w:r>
          </w:p>
        </w:tc>
        <w:tc>
          <w:tcPr>
            <w:tcW w:w="1554" w:type="dxa"/>
            <w:vAlign w:val="center"/>
          </w:tcPr>
          <w:p>
            <w:pPr>
              <w:adjustRightInd/>
              <w:snapToGrid/>
              <w:spacing w:line="240" w:lineRule="auto"/>
              <w:ind w:firstLine="0" w:firstLineChars="0"/>
              <w:jc w:val="center"/>
              <w:rPr>
                <w:sz w:val="21"/>
                <w:szCs w:val="21"/>
              </w:rPr>
            </w:pPr>
            <w:r>
              <w:rPr>
                <w:sz w:val="21"/>
                <w:szCs w:val="21"/>
              </w:rPr>
              <w:t>3312403.35</w:t>
            </w:r>
          </w:p>
        </w:tc>
        <w:tc>
          <w:tcPr>
            <w:tcW w:w="1737" w:type="dxa"/>
            <w:vAlign w:val="center"/>
          </w:tcPr>
          <w:p>
            <w:pPr>
              <w:adjustRightInd/>
              <w:snapToGrid/>
              <w:spacing w:line="240" w:lineRule="auto"/>
              <w:ind w:firstLine="0" w:firstLineChars="0"/>
              <w:jc w:val="center"/>
              <w:rPr>
                <w:sz w:val="21"/>
                <w:szCs w:val="21"/>
              </w:rPr>
            </w:pPr>
            <w:r>
              <w:rPr>
                <w:sz w:val="21"/>
                <w:szCs w:val="21"/>
              </w:rPr>
              <w:t>35627761.71</w:t>
            </w:r>
          </w:p>
        </w:tc>
        <w:tc>
          <w:tcPr>
            <w:tcW w:w="1217" w:type="dxa"/>
            <w:vAlign w:val="center"/>
          </w:tcPr>
          <w:p>
            <w:pPr>
              <w:adjustRightInd/>
              <w:snapToGrid/>
              <w:spacing w:line="240" w:lineRule="auto"/>
              <w:ind w:firstLine="0" w:firstLineChars="0"/>
              <w:jc w:val="center"/>
              <w:rPr>
                <w:sz w:val="21"/>
                <w:szCs w:val="21"/>
              </w:rPr>
            </w:pPr>
            <w:r>
              <w:rPr>
                <w:sz w:val="21"/>
                <w:szCs w:val="21"/>
              </w:rPr>
              <w:t>6</w:t>
            </w:r>
          </w:p>
        </w:tc>
        <w:tc>
          <w:tcPr>
            <w:tcW w:w="1687" w:type="dxa"/>
            <w:vAlign w:val="center"/>
          </w:tcPr>
          <w:p>
            <w:pPr>
              <w:adjustRightInd/>
              <w:snapToGrid/>
              <w:spacing w:line="240" w:lineRule="auto"/>
              <w:ind w:firstLine="0" w:firstLineChars="0"/>
              <w:jc w:val="center"/>
              <w:rPr>
                <w:sz w:val="21"/>
                <w:szCs w:val="21"/>
              </w:rPr>
            </w:pPr>
            <w:r>
              <w:rPr>
                <w:sz w:val="21"/>
                <w:szCs w:val="21"/>
              </w:rPr>
              <w:t>3312025.45</w:t>
            </w:r>
          </w:p>
        </w:tc>
        <w:tc>
          <w:tcPr>
            <w:tcW w:w="1636" w:type="dxa"/>
            <w:vAlign w:val="center"/>
          </w:tcPr>
          <w:p>
            <w:pPr>
              <w:adjustRightInd/>
              <w:snapToGrid/>
              <w:spacing w:line="240" w:lineRule="auto"/>
              <w:ind w:firstLine="0" w:firstLineChars="0"/>
              <w:jc w:val="center"/>
              <w:rPr>
                <w:sz w:val="21"/>
                <w:szCs w:val="21"/>
              </w:rPr>
            </w:pPr>
            <w:r>
              <w:rPr>
                <w:sz w:val="21"/>
                <w:szCs w:val="21"/>
              </w:rPr>
              <w:t>35627476.43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exact"/>
          <w:jc w:val="center"/>
        </w:trPr>
        <w:tc>
          <w:tcPr>
            <w:tcW w:w="911" w:type="dxa"/>
            <w:vAlign w:val="center"/>
          </w:tcPr>
          <w:p>
            <w:pPr>
              <w:adjustRightInd/>
              <w:snapToGrid/>
              <w:spacing w:line="240" w:lineRule="auto"/>
              <w:ind w:firstLine="0" w:firstLineChars="0"/>
              <w:jc w:val="center"/>
              <w:rPr>
                <w:sz w:val="21"/>
                <w:szCs w:val="21"/>
              </w:rPr>
            </w:pPr>
            <w:r>
              <w:rPr>
                <w:sz w:val="21"/>
                <w:szCs w:val="21"/>
              </w:rPr>
              <w:t>2</w:t>
            </w:r>
          </w:p>
        </w:tc>
        <w:tc>
          <w:tcPr>
            <w:tcW w:w="1554" w:type="dxa"/>
            <w:vAlign w:val="center"/>
          </w:tcPr>
          <w:p>
            <w:pPr>
              <w:adjustRightInd/>
              <w:snapToGrid/>
              <w:spacing w:line="240" w:lineRule="auto"/>
              <w:ind w:firstLine="0" w:firstLineChars="0"/>
              <w:jc w:val="center"/>
              <w:rPr>
                <w:sz w:val="21"/>
                <w:szCs w:val="21"/>
              </w:rPr>
            </w:pPr>
            <w:r>
              <w:rPr>
                <w:sz w:val="21"/>
                <w:szCs w:val="21"/>
              </w:rPr>
              <w:t>3312373.26</w:t>
            </w:r>
          </w:p>
        </w:tc>
        <w:tc>
          <w:tcPr>
            <w:tcW w:w="1737" w:type="dxa"/>
            <w:vAlign w:val="center"/>
          </w:tcPr>
          <w:p>
            <w:pPr>
              <w:adjustRightInd/>
              <w:snapToGrid/>
              <w:spacing w:line="240" w:lineRule="auto"/>
              <w:ind w:firstLine="0" w:firstLineChars="0"/>
              <w:jc w:val="center"/>
              <w:rPr>
                <w:sz w:val="21"/>
                <w:szCs w:val="21"/>
              </w:rPr>
            </w:pPr>
            <w:r>
              <w:rPr>
                <w:sz w:val="21"/>
                <w:szCs w:val="21"/>
              </w:rPr>
              <w:t>35627782.32</w:t>
            </w:r>
          </w:p>
        </w:tc>
        <w:tc>
          <w:tcPr>
            <w:tcW w:w="1217" w:type="dxa"/>
            <w:vAlign w:val="center"/>
          </w:tcPr>
          <w:p>
            <w:pPr>
              <w:adjustRightInd/>
              <w:snapToGrid/>
              <w:spacing w:line="240" w:lineRule="auto"/>
              <w:ind w:firstLine="0" w:firstLineChars="0"/>
              <w:jc w:val="center"/>
              <w:rPr>
                <w:sz w:val="21"/>
                <w:szCs w:val="21"/>
              </w:rPr>
            </w:pPr>
            <w:r>
              <w:rPr>
                <w:sz w:val="21"/>
                <w:szCs w:val="21"/>
              </w:rPr>
              <w:t>7</w:t>
            </w:r>
          </w:p>
        </w:tc>
        <w:tc>
          <w:tcPr>
            <w:tcW w:w="1687" w:type="dxa"/>
            <w:vAlign w:val="center"/>
          </w:tcPr>
          <w:p>
            <w:pPr>
              <w:adjustRightInd/>
              <w:snapToGrid/>
              <w:spacing w:line="240" w:lineRule="auto"/>
              <w:ind w:firstLine="0" w:firstLineChars="0"/>
              <w:jc w:val="center"/>
              <w:rPr>
                <w:sz w:val="21"/>
                <w:szCs w:val="21"/>
              </w:rPr>
            </w:pPr>
            <w:r>
              <w:rPr>
                <w:sz w:val="21"/>
                <w:szCs w:val="21"/>
              </w:rPr>
              <w:t>3312103.33</w:t>
            </w:r>
          </w:p>
        </w:tc>
        <w:tc>
          <w:tcPr>
            <w:tcW w:w="1636" w:type="dxa"/>
            <w:vAlign w:val="center"/>
          </w:tcPr>
          <w:p>
            <w:pPr>
              <w:adjustRightInd/>
              <w:snapToGrid/>
              <w:spacing w:line="240" w:lineRule="auto"/>
              <w:ind w:firstLine="0" w:firstLineChars="0"/>
              <w:jc w:val="center"/>
              <w:rPr>
                <w:sz w:val="21"/>
                <w:szCs w:val="21"/>
              </w:rPr>
            </w:pPr>
            <w:r>
              <w:rPr>
                <w:sz w:val="21"/>
                <w:szCs w:val="21"/>
              </w:rPr>
              <w:t>35627435.41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30" w:hRule="exact"/>
          <w:jc w:val="center"/>
        </w:trPr>
        <w:tc>
          <w:tcPr>
            <w:tcW w:w="911" w:type="dxa"/>
            <w:vAlign w:val="center"/>
          </w:tcPr>
          <w:p>
            <w:pPr>
              <w:adjustRightInd/>
              <w:snapToGrid/>
              <w:spacing w:line="240" w:lineRule="auto"/>
              <w:ind w:firstLine="0" w:firstLineChars="0"/>
              <w:jc w:val="center"/>
              <w:rPr>
                <w:sz w:val="21"/>
                <w:szCs w:val="21"/>
              </w:rPr>
            </w:pPr>
            <w:r>
              <w:rPr>
                <w:sz w:val="21"/>
                <w:szCs w:val="21"/>
              </w:rPr>
              <w:t>3</w:t>
            </w:r>
          </w:p>
        </w:tc>
        <w:tc>
          <w:tcPr>
            <w:tcW w:w="1554" w:type="dxa"/>
            <w:vAlign w:val="center"/>
          </w:tcPr>
          <w:p>
            <w:pPr>
              <w:adjustRightInd/>
              <w:snapToGrid/>
              <w:spacing w:line="240" w:lineRule="auto"/>
              <w:ind w:firstLine="0" w:firstLineChars="0"/>
              <w:jc w:val="center"/>
              <w:rPr>
                <w:sz w:val="21"/>
                <w:szCs w:val="21"/>
              </w:rPr>
            </w:pPr>
            <w:r>
              <w:rPr>
                <w:sz w:val="21"/>
                <w:szCs w:val="21"/>
              </w:rPr>
              <w:t>3312335.80</w:t>
            </w:r>
          </w:p>
        </w:tc>
        <w:tc>
          <w:tcPr>
            <w:tcW w:w="1737" w:type="dxa"/>
            <w:vAlign w:val="center"/>
          </w:tcPr>
          <w:p>
            <w:pPr>
              <w:adjustRightInd/>
              <w:snapToGrid/>
              <w:spacing w:line="240" w:lineRule="auto"/>
              <w:ind w:firstLine="0" w:firstLineChars="0"/>
              <w:jc w:val="center"/>
              <w:rPr>
                <w:sz w:val="21"/>
                <w:szCs w:val="21"/>
              </w:rPr>
            </w:pPr>
            <w:r>
              <w:rPr>
                <w:sz w:val="21"/>
                <w:szCs w:val="21"/>
              </w:rPr>
              <w:t>35627818.43</w:t>
            </w:r>
          </w:p>
        </w:tc>
        <w:tc>
          <w:tcPr>
            <w:tcW w:w="1217" w:type="dxa"/>
            <w:vAlign w:val="center"/>
          </w:tcPr>
          <w:p>
            <w:pPr>
              <w:adjustRightInd/>
              <w:snapToGrid/>
              <w:spacing w:line="240" w:lineRule="auto"/>
              <w:ind w:firstLine="0" w:firstLineChars="0"/>
              <w:jc w:val="center"/>
              <w:rPr>
                <w:sz w:val="21"/>
                <w:szCs w:val="21"/>
              </w:rPr>
            </w:pPr>
            <w:r>
              <w:rPr>
                <w:sz w:val="21"/>
                <w:szCs w:val="21"/>
              </w:rPr>
              <w:t>8</w:t>
            </w:r>
          </w:p>
        </w:tc>
        <w:tc>
          <w:tcPr>
            <w:tcW w:w="1687" w:type="dxa"/>
            <w:vAlign w:val="center"/>
          </w:tcPr>
          <w:p>
            <w:pPr>
              <w:adjustRightInd/>
              <w:snapToGrid/>
              <w:spacing w:line="240" w:lineRule="auto"/>
              <w:ind w:firstLine="0" w:firstLineChars="0"/>
              <w:jc w:val="center"/>
              <w:rPr>
                <w:sz w:val="21"/>
                <w:szCs w:val="21"/>
              </w:rPr>
            </w:pPr>
            <w:r>
              <w:rPr>
                <w:sz w:val="21"/>
                <w:szCs w:val="21"/>
              </w:rPr>
              <w:t>3312048.93</w:t>
            </w:r>
          </w:p>
        </w:tc>
        <w:tc>
          <w:tcPr>
            <w:tcW w:w="1636" w:type="dxa"/>
            <w:vAlign w:val="center"/>
          </w:tcPr>
          <w:p>
            <w:pPr>
              <w:adjustRightInd/>
              <w:snapToGrid/>
              <w:spacing w:line="240" w:lineRule="auto"/>
              <w:ind w:firstLine="0" w:firstLineChars="0"/>
              <w:jc w:val="center"/>
              <w:rPr>
                <w:sz w:val="21"/>
                <w:szCs w:val="21"/>
              </w:rPr>
            </w:pPr>
            <w:r>
              <w:rPr>
                <w:sz w:val="21"/>
                <w:szCs w:val="21"/>
              </w:rPr>
              <w:t>35627339.45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exact"/>
          <w:jc w:val="center"/>
        </w:trPr>
        <w:tc>
          <w:tcPr>
            <w:tcW w:w="911" w:type="dxa"/>
            <w:vAlign w:val="center"/>
          </w:tcPr>
          <w:p>
            <w:pPr>
              <w:adjustRightInd/>
              <w:snapToGrid/>
              <w:spacing w:line="240" w:lineRule="auto"/>
              <w:ind w:firstLine="0" w:firstLineChars="0"/>
              <w:jc w:val="center"/>
              <w:rPr>
                <w:sz w:val="21"/>
                <w:szCs w:val="21"/>
              </w:rPr>
            </w:pPr>
            <w:r>
              <w:rPr>
                <w:sz w:val="21"/>
                <w:szCs w:val="21"/>
              </w:rPr>
              <w:t>4</w:t>
            </w:r>
          </w:p>
        </w:tc>
        <w:tc>
          <w:tcPr>
            <w:tcW w:w="1554" w:type="dxa"/>
            <w:vAlign w:val="center"/>
          </w:tcPr>
          <w:p>
            <w:pPr>
              <w:adjustRightInd/>
              <w:snapToGrid/>
              <w:spacing w:line="240" w:lineRule="auto"/>
              <w:ind w:firstLine="0" w:firstLineChars="0"/>
              <w:jc w:val="center"/>
              <w:rPr>
                <w:sz w:val="21"/>
                <w:szCs w:val="21"/>
              </w:rPr>
            </w:pPr>
            <w:r>
              <w:rPr>
                <w:sz w:val="21"/>
                <w:szCs w:val="21"/>
              </w:rPr>
              <w:t>3312276.39</w:t>
            </w:r>
          </w:p>
        </w:tc>
        <w:tc>
          <w:tcPr>
            <w:tcW w:w="1737" w:type="dxa"/>
            <w:vAlign w:val="center"/>
          </w:tcPr>
          <w:p>
            <w:pPr>
              <w:adjustRightInd/>
              <w:snapToGrid/>
              <w:spacing w:line="240" w:lineRule="auto"/>
              <w:ind w:firstLine="0" w:firstLineChars="0"/>
              <w:jc w:val="center"/>
              <w:rPr>
                <w:sz w:val="21"/>
                <w:szCs w:val="21"/>
              </w:rPr>
            </w:pPr>
            <w:r>
              <w:rPr>
                <w:sz w:val="21"/>
                <w:szCs w:val="21"/>
              </w:rPr>
              <w:t>35627855.33</w:t>
            </w:r>
          </w:p>
        </w:tc>
        <w:tc>
          <w:tcPr>
            <w:tcW w:w="1217" w:type="dxa"/>
            <w:vAlign w:val="center"/>
          </w:tcPr>
          <w:p>
            <w:pPr>
              <w:adjustRightInd/>
              <w:snapToGrid/>
              <w:spacing w:line="240" w:lineRule="auto"/>
              <w:ind w:firstLine="0" w:firstLineChars="0"/>
              <w:jc w:val="center"/>
              <w:rPr>
                <w:sz w:val="21"/>
                <w:szCs w:val="21"/>
              </w:rPr>
            </w:pPr>
            <w:r>
              <w:rPr>
                <w:sz w:val="21"/>
                <w:szCs w:val="21"/>
              </w:rPr>
              <w:t>9</w:t>
            </w:r>
          </w:p>
        </w:tc>
        <w:tc>
          <w:tcPr>
            <w:tcW w:w="1687" w:type="dxa"/>
            <w:vAlign w:val="center"/>
          </w:tcPr>
          <w:p>
            <w:pPr>
              <w:adjustRightInd/>
              <w:snapToGrid/>
              <w:spacing w:line="240" w:lineRule="auto"/>
              <w:ind w:firstLine="0" w:firstLineChars="0"/>
              <w:jc w:val="center"/>
              <w:rPr>
                <w:sz w:val="21"/>
                <w:szCs w:val="21"/>
              </w:rPr>
            </w:pPr>
            <w:r>
              <w:rPr>
                <w:sz w:val="21"/>
                <w:szCs w:val="21"/>
              </w:rPr>
              <w:t>3312133.26</w:t>
            </w:r>
          </w:p>
        </w:tc>
        <w:tc>
          <w:tcPr>
            <w:tcW w:w="1636" w:type="dxa"/>
            <w:vAlign w:val="center"/>
          </w:tcPr>
          <w:p>
            <w:pPr>
              <w:adjustRightInd/>
              <w:snapToGrid/>
              <w:spacing w:line="240" w:lineRule="auto"/>
              <w:ind w:firstLine="0" w:firstLineChars="0"/>
              <w:jc w:val="center"/>
              <w:rPr>
                <w:sz w:val="21"/>
                <w:szCs w:val="21"/>
              </w:rPr>
            </w:pPr>
            <w:r>
              <w:rPr>
                <w:sz w:val="21"/>
                <w:szCs w:val="21"/>
              </w:rPr>
              <w:t>35627295.27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exact"/>
          <w:jc w:val="center"/>
        </w:trPr>
        <w:tc>
          <w:tcPr>
            <w:tcW w:w="911" w:type="dxa"/>
            <w:vAlign w:val="center"/>
          </w:tcPr>
          <w:p>
            <w:pPr>
              <w:adjustRightInd/>
              <w:snapToGrid/>
              <w:spacing w:line="240" w:lineRule="auto"/>
              <w:ind w:firstLine="0" w:firstLineChars="0"/>
              <w:jc w:val="center"/>
              <w:rPr>
                <w:sz w:val="21"/>
                <w:szCs w:val="21"/>
              </w:rPr>
            </w:pPr>
            <w:r>
              <w:rPr>
                <w:sz w:val="21"/>
                <w:szCs w:val="21"/>
              </w:rPr>
              <w:t>5</w:t>
            </w:r>
          </w:p>
        </w:tc>
        <w:tc>
          <w:tcPr>
            <w:tcW w:w="1554" w:type="dxa"/>
            <w:vAlign w:val="center"/>
          </w:tcPr>
          <w:p>
            <w:pPr>
              <w:adjustRightInd/>
              <w:snapToGrid/>
              <w:spacing w:line="240" w:lineRule="auto"/>
              <w:ind w:firstLine="0" w:firstLineChars="0"/>
              <w:jc w:val="center"/>
              <w:rPr>
                <w:sz w:val="21"/>
                <w:szCs w:val="21"/>
              </w:rPr>
            </w:pPr>
            <w:r>
              <w:rPr>
                <w:sz w:val="21"/>
                <w:szCs w:val="21"/>
              </w:rPr>
              <w:t>3312194.91</w:t>
            </w:r>
          </w:p>
        </w:tc>
        <w:tc>
          <w:tcPr>
            <w:tcW w:w="1737" w:type="dxa"/>
            <w:vAlign w:val="center"/>
          </w:tcPr>
          <w:p>
            <w:pPr>
              <w:adjustRightInd/>
              <w:snapToGrid/>
              <w:spacing w:line="240" w:lineRule="auto"/>
              <w:ind w:firstLine="0" w:firstLineChars="0"/>
              <w:jc w:val="center"/>
              <w:rPr>
                <w:sz w:val="21"/>
                <w:szCs w:val="21"/>
              </w:rPr>
            </w:pPr>
            <w:r>
              <w:rPr>
                <w:sz w:val="21"/>
                <w:szCs w:val="21"/>
              </w:rPr>
              <w:t>35627791.98</w:t>
            </w:r>
          </w:p>
        </w:tc>
        <w:tc>
          <w:tcPr>
            <w:tcW w:w="1217" w:type="dxa"/>
            <w:vAlign w:val="center"/>
          </w:tcPr>
          <w:p>
            <w:pPr>
              <w:adjustRightInd/>
              <w:snapToGrid/>
              <w:spacing w:line="240" w:lineRule="auto"/>
              <w:ind w:firstLine="0" w:firstLineChars="0"/>
              <w:jc w:val="center"/>
              <w:rPr>
                <w:sz w:val="21"/>
                <w:szCs w:val="21"/>
              </w:rPr>
            </w:pPr>
          </w:p>
        </w:tc>
        <w:tc>
          <w:tcPr>
            <w:tcW w:w="1687" w:type="dxa"/>
            <w:vAlign w:val="center"/>
          </w:tcPr>
          <w:p>
            <w:pPr>
              <w:adjustRightInd/>
              <w:snapToGrid/>
              <w:spacing w:line="240" w:lineRule="auto"/>
              <w:ind w:firstLine="0" w:firstLineChars="0"/>
              <w:jc w:val="center"/>
              <w:rPr>
                <w:sz w:val="21"/>
                <w:szCs w:val="21"/>
              </w:rPr>
            </w:pPr>
          </w:p>
        </w:tc>
        <w:tc>
          <w:tcPr>
            <w:tcW w:w="1636" w:type="dxa"/>
            <w:vAlign w:val="center"/>
          </w:tcPr>
          <w:p>
            <w:pPr>
              <w:adjustRightInd/>
              <w:snapToGrid/>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745" w:type="dxa"/>
            <w:gridSpan w:val="6"/>
            <w:vAlign w:val="center"/>
          </w:tcPr>
          <w:p>
            <w:pPr>
              <w:adjustRightInd/>
              <w:snapToGrid/>
              <w:spacing w:line="240" w:lineRule="auto"/>
              <w:ind w:firstLine="0" w:firstLineChars="0"/>
              <w:jc w:val="center"/>
              <w:rPr>
                <w:sz w:val="21"/>
                <w:szCs w:val="21"/>
              </w:rPr>
            </w:pPr>
            <w:r>
              <w:rPr>
                <w:sz w:val="21"/>
                <w:szCs w:val="21"/>
              </w:rPr>
              <w:t>开采标高：+350-+223m；开采矿种：石灰石；矿区面积：0.0936km</w:t>
            </w:r>
            <w:r>
              <w:rPr>
                <w:sz w:val="21"/>
                <w:szCs w:val="21"/>
                <w:vertAlign w:val="superscript"/>
              </w:rPr>
              <w:t>2</w:t>
            </w:r>
          </w:p>
        </w:tc>
      </w:tr>
    </w:tbl>
    <w:p>
      <w:pPr>
        <w:pStyle w:val="222"/>
      </w:pPr>
      <w:r>
        <w:t>矿区面积：0.0936km</w:t>
      </w:r>
      <w:r>
        <w:rPr>
          <w:vertAlign w:val="superscript"/>
        </w:rPr>
        <w:t>2</w:t>
      </w:r>
      <w:r>
        <w:t>（矿区面积由0.0398 km</w:t>
      </w:r>
      <w:r>
        <w:rPr>
          <w:vertAlign w:val="superscript"/>
        </w:rPr>
        <w:t>2</w:t>
      </w:r>
      <w:r>
        <w:t>变到0.0936km</w:t>
      </w:r>
      <w:r>
        <w:rPr>
          <w:vertAlign w:val="superscript"/>
        </w:rPr>
        <w:t>2</w:t>
      </w:r>
      <w:r>
        <w:t>）</w:t>
      </w:r>
    </w:p>
    <w:p>
      <w:pPr>
        <w:pStyle w:val="222"/>
      </w:pPr>
      <w:r>
        <w:t>开采矿种：建筑石料用灰岩；</w:t>
      </w:r>
    </w:p>
    <w:p>
      <w:pPr>
        <w:pStyle w:val="222"/>
      </w:pPr>
      <w:r>
        <w:t>开采及生产规模：70万t/a；</w:t>
      </w:r>
    </w:p>
    <w:p>
      <w:pPr>
        <w:pStyle w:val="222"/>
      </w:pPr>
      <w:r>
        <w:t>开采方式：露天开采；</w:t>
      </w:r>
    </w:p>
    <w:p>
      <w:pPr>
        <w:pStyle w:val="222"/>
      </w:pPr>
      <w:r>
        <w:t>劳动定员：20人，包括工人和管理人员；</w:t>
      </w:r>
    </w:p>
    <w:p>
      <w:pPr>
        <w:pStyle w:val="222"/>
      </w:pPr>
      <w:r>
        <w:t xml:space="preserve">工作制度：年生产330天，每天1班，每班10小时生产； </w:t>
      </w:r>
    </w:p>
    <w:p>
      <w:pPr>
        <w:pStyle w:val="222"/>
      </w:pPr>
      <w:r>
        <w:t>产品方案：矿山石灰岩开采后加工破碎，经破碎筛分系统分选出0~5mm石粉，5~10mm、10~20mm碎石共3种规格。</w:t>
      </w:r>
    </w:p>
    <w:p>
      <w:pPr>
        <w:pStyle w:val="84"/>
      </w:pPr>
      <w:r>
        <w:t>表2.3-2  产品规格及产量</w:t>
      </w:r>
    </w:p>
    <w:tbl>
      <w:tblPr>
        <w:tblStyle w:val="8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4"/>
        <w:gridCol w:w="2551"/>
        <w:gridCol w:w="2553"/>
        <w:gridCol w:w="2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77"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137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产品名称</w:t>
            </w:r>
          </w:p>
        </w:tc>
        <w:tc>
          <w:tcPr>
            <w:tcW w:w="1375"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产品规格</w:t>
            </w:r>
          </w:p>
        </w:tc>
        <w:tc>
          <w:tcPr>
            <w:tcW w:w="127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规模（万t/a）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Align w:val="center"/>
          </w:tcPr>
          <w:p>
            <w:pPr>
              <w:spacing w:line="240" w:lineRule="auto"/>
              <w:ind w:firstLine="0" w:firstLineChars="0"/>
              <w:jc w:val="center"/>
              <w:rPr>
                <w:sz w:val="21"/>
                <w:szCs w:val="21"/>
              </w:rPr>
            </w:pPr>
            <w:r>
              <w:rPr>
                <w:sz w:val="21"/>
                <w:szCs w:val="21"/>
              </w:rPr>
              <w:t>1</w:t>
            </w:r>
          </w:p>
        </w:tc>
        <w:tc>
          <w:tcPr>
            <w:tcW w:w="1374" w:type="pct"/>
            <w:vAlign w:val="center"/>
          </w:tcPr>
          <w:p>
            <w:pPr>
              <w:spacing w:line="240" w:lineRule="auto"/>
              <w:ind w:firstLine="0" w:firstLineChars="0"/>
              <w:jc w:val="center"/>
              <w:rPr>
                <w:sz w:val="21"/>
                <w:szCs w:val="21"/>
              </w:rPr>
            </w:pPr>
            <w:r>
              <w:rPr>
                <w:sz w:val="21"/>
                <w:szCs w:val="21"/>
              </w:rPr>
              <w:t>石粉</w:t>
            </w:r>
          </w:p>
        </w:tc>
        <w:tc>
          <w:tcPr>
            <w:tcW w:w="1375" w:type="pct"/>
            <w:vAlign w:val="center"/>
          </w:tcPr>
          <w:p>
            <w:pPr>
              <w:spacing w:line="240" w:lineRule="auto"/>
              <w:ind w:firstLine="0" w:firstLineChars="0"/>
              <w:jc w:val="center"/>
              <w:rPr>
                <w:sz w:val="21"/>
                <w:szCs w:val="21"/>
              </w:rPr>
            </w:pPr>
            <w:r>
              <w:rPr>
                <w:sz w:val="21"/>
                <w:szCs w:val="21"/>
              </w:rPr>
              <w:t>0~5mm</w:t>
            </w:r>
          </w:p>
        </w:tc>
        <w:tc>
          <w:tcPr>
            <w:tcW w:w="1274" w:type="pct"/>
            <w:vAlign w:val="center"/>
          </w:tcPr>
          <w:p>
            <w:pPr>
              <w:spacing w:line="240" w:lineRule="auto"/>
              <w:ind w:firstLine="0" w:firstLineChars="0"/>
              <w:jc w:val="center"/>
              <w:rPr>
                <w:sz w:val="21"/>
                <w:szCs w:val="21"/>
              </w:rPr>
            </w:pPr>
            <w:r>
              <w:rPr>
                <w:sz w:val="21"/>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Align w:val="center"/>
          </w:tcPr>
          <w:p>
            <w:pPr>
              <w:spacing w:line="240" w:lineRule="auto"/>
              <w:ind w:firstLine="0" w:firstLineChars="0"/>
              <w:jc w:val="center"/>
              <w:rPr>
                <w:sz w:val="21"/>
                <w:szCs w:val="21"/>
              </w:rPr>
            </w:pPr>
            <w:r>
              <w:rPr>
                <w:sz w:val="21"/>
                <w:szCs w:val="21"/>
              </w:rPr>
              <w:t>2</w:t>
            </w:r>
          </w:p>
        </w:tc>
        <w:tc>
          <w:tcPr>
            <w:tcW w:w="1374" w:type="pct"/>
            <w:vMerge w:val="restart"/>
            <w:vAlign w:val="center"/>
          </w:tcPr>
          <w:p>
            <w:pPr>
              <w:spacing w:line="240" w:lineRule="auto"/>
              <w:ind w:firstLine="0" w:firstLineChars="0"/>
              <w:jc w:val="center"/>
              <w:rPr>
                <w:sz w:val="21"/>
                <w:szCs w:val="21"/>
              </w:rPr>
            </w:pPr>
            <w:r>
              <w:rPr>
                <w:sz w:val="21"/>
                <w:szCs w:val="21"/>
              </w:rPr>
              <w:t>碎石</w:t>
            </w:r>
          </w:p>
        </w:tc>
        <w:tc>
          <w:tcPr>
            <w:tcW w:w="1375" w:type="pct"/>
            <w:vAlign w:val="center"/>
          </w:tcPr>
          <w:p>
            <w:pPr>
              <w:spacing w:line="240" w:lineRule="auto"/>
              <w:ind w:firstLine="0" w:firstLineChars="0"/>
              <w:jc w:val="center"/>
              <w:rPr>
                <w:sz w:val="21"/>
                <w:szCs w:val="21"/>
              </w:rPr>
            </w:pPr>
            <w:r>
              <w:rPr>
                <w:sz w:val="21"/>
                <w:szCs w:val="21"/>
              </w:rPr>
              <w:t>0.5~1cm</w:t>
            </w:r>
          </w:p>
        </w:tc>
        <w:tc>
          <w:tcPr>
            <w:tcW w:w="1274" w:type="pct"/>
            <w:vAlign w:val="center"/>
          </w:tcPr>
          <w:p>
            <w:pPr>
              <w:spacing w:line="240" w:lineRule="auto"/>
              <w:ind w:firstLine="0" w:firstLineChars="0"/>
              <w:jc w:val="center"/>
              <w:rPr>
                <w:sz w:val="21"/>
                <w:szCs w:val="21"/>
              </w:rPr>
            </w:pPr>
            <w:r>
              <w:rPr>
                <w:sz w:val="21"/>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77" w:type="pct"/>
            <w:vAlign w:val="center"/>
          </w:tcPr>
          <w:p>
            <w:pPr>
              <w:spacing w:line="240" w:lineRule="auto"/>
              <w:ind w:firstLine="0" w:firstLineChars="0"/>
              <w:jc w:val="center"/>
              <w:rPr>
                <w:sz w:val="21"/>
                <w:szCs w:val="21"/>
              </w:rPr>
            </w:pPr>
            <w:r>
              <w:rPr>
                <w:sz w:val="21"/>
                <w:szCs w:val="21"/>
              </w:rPr>
              <w:t>3</w:t>
            </w:r>
          </w:p>
        </w:tc>
        <w:tc>
          <w:tcPr>
            <w:tcW w:w="1374" w:type="pct"/>
            <w:vMerge w:val="continue"/>
            <w:vAlign w:val="center"/>
          </w:tcPr>
          <w:p>
            <w:pPr>
              <w:spacing w:line="240" w:lineRule="auto"/>
              <w:ind w:firstLine="0" w:firstLineChars="0"/>
              <w:jc w:val="center"/>
              <w:rPr>
                <w:sz w:val="21"/>
                <w:szCs w:val="21"/>
              </w:rPr>
            </w:pPr>
          </w:p>
        </w:tc>
        <w:tc>
          <w:tcPr>
            <w:tcW w:w="1375" w:type="pct"/>
            <w:vAlign w:val="center"/>
          </w:tcPr>
          <w:p>
            <w:pPr>
              <w:spacing w:line="240" w:lineRule="auto"/>
              <w:ind w:firstLine="0" w:firstLineChars="0"/>
              <w:jc w:val="center"/>
              <w:rPr>
                <w:sz w:val="21"/>
                <w:szCs w:val="21"/>
              </w:rPr>
            </w:pPr>
            <w:r>
              <w:rPr>
                <w:sz w:val="21"/>
                <w:szCs w:val="21"/>
              </w:rPr>
              <w:t>1~2cm</w:t>
            </w:r>
          </w:p>
        </w:tc>
        <w:tc>
          <w:tcPr>
            <w:tcW w:w="1274" w:type="pct"/>
            <w:vAlign w:val="center"/>
          </w:tcPr>
          <w:p>
            <w:pPr>
              <w:spacing w:line="240" w:lineRule="auto"/>
              <w:ind w:firstLine="0" w:firstLineChars="0"/>
              <w:jc w:val="center"/>
              <w:rPr>
                <w:sz w:val="21"/>
                <w:szCs w:val="21"/>
              </w:rPr>
            </w:pPr>
            <w:r>
              <w:rPr>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351" w:type="pct"/>
            <w:gridSpan w:val="2"/>
            <w:vAlign w:val="center"/>
          </w:tcPr>
          <w:p>
            <w:pPr>
              <w:spacing w:line="240" w:lineRule="auto"/>
              <w:ind w:firstLine="0" w:firstLineChars="0"/>
              <w:jc w:val="center"/>
              <w:rPr>
                <w:sz w:val="21"/>
                <w:szCs w:val="21"/>
              </w:rPr>
            </w:pPr>
            <w:r>
              <w:rPr>
                <w:sz w:val="21"/>
                <w:szCs w:val="21"/>
              </w:rPr>
              <w:t>合计</w:t>
            </w:r>
          </w:p>
        </w:tc>
        <w:tc>
          <w:tcPr>
            <w:tcW w:w="1375" w:type="pct"/>
            <w:vAlign w:val="center"/>
          </w:tcPr>
          <w:p>
            <w:pPr>
              <w:spacing w:line="240" w:lineRule="auto"/>
              <w:ind w:firstLine="0" w:firstLineChars="0"/>
              <w:jc w:val="center"/>
              <w:rPr>
                <w:sz w:val="21"/>
                <w:szCs w:val="21"/>
              </w:rPr>
            </w:pPr>
            <w:r>
              <w:rPr>
                <w:sz w:val="21"/>
                <w:szCs w:val="21"/>
              </w:rPr>
              <w:t>/</w:t>
            </w:r>
          </w:p>
        </w:tc>
        <w:tc>
          <w:tcPr>
            <w:tcW w:w="1274" w:type="pct"/>
            <w:vAlign w:val="center"/>
          </w:tcPr>
          <w:p>
            <w:pPr>
              <w:spacing w:line="240" w:lineRule="auto"/>
              <w:ind w:firstLine="0" w:firstLineChars="0"/>
              <w:jc w:val="center"/>
              <w:rPr>
                <w:sz w:val="21"/>
                <w:szCs w:val="21"/>
              </w:rPr>
            </w:pPr>
            <w:r>
              <w:rPr>
                <w:sz w:val="21"/>
                <w:szCs w:val="21"/>
              </w:rPr>
              <w:t>70</w:t>
            </w:r>
          </w:p>
        </w:tc>
      </w:tr>
    </w:tbl>
    <w:p>
      <w:pPr>
        <w:pStyle w:val="5"/>
        <w:rPr>
          <w:color w:val="auto"/>
        </w:rPr>
      </w:pPr>
      <w:r>
        <w:rPr>
          <w:color w:val="auto"/>
        </w:rPr>
        <w:t>2.3.2现有项目</w:t>
      </w:r>
      <w:r>
        <w:rPr>
          <w:color w:val="auto"/>
          <w:szCs w:val="26"/>
        </w:rPr>
        <w:t>建设内容</w:t>
      </w:r>
    </w:p>
    <w:p>
      <w:pPr>
        <w:pStyle w:val="1262"/>
        <w:ind w:firstLine="520" w:firstLineChars="217"/>
        <w:rPr>
          <w:color w:val="auto"/>
          <w:szCs w:val="26"/>
        </w:rPr>
      </w:pPr>
      <w:r>
        <w:rPr>
          <w:color w:val="auto"/>
        </w:rPr>
        <w:t>现有项目属于露天开采石灰岩矿山，建设规模为70万t/a，矿区范围面积为0.0936km</w:t>
      </w:r>
      <w:r>
        <w:rPr>
          <w:color w:val="auto"/>
          <w:vertAlign w:val="superscript"/>
        </w:rPr>
        <w:t>2</w:t>
      </w:r>
      <w:r>
        <w:rPr>
          <w:color w:val="auto"/>
        </w:rPr>
        <w:t>。项目主要建设开采区、加工区，加工区设密闭厂房，建设两条破碎筛分生产线，购置破碎机、筛分机等设备进行生产加工。</w:t>
      </w:r>
    </w:p>
    <w:p>
      <w:pPr>
        <w:spacing w:line="460" w:lineRule="exact"/>
        <w:ind w:firstLine="480"/>
        <w:jc w:val="both"/>
        <w:rPr>
          <w:sz w:val="24"/>
          <w:szCs w:val="26"/>
        </w:rPr>
      </w:pPr>
      <w:r>
        <w:rPr>
          <w:sz w:val="24"/>
          <w:szCs w:val="26"/>
        </w:rPr>
        <w:t>根据现有项目环评报告及批复，现有项目组成见下表。</w:t>
      </w:r>
    </w:p>
    <w:p>
      <w:pPr>
        <w:pStyle w:val="84"/>
      </w:pPr>
      <w:r>
        <w:t>表2.3-3  现有项目组成表</w:t>
      </w:r>
    </w:p>
    <w:tbl>
      <w:tblPr>
        <w:tblStyle w:val="89"/>
        <w:tblW w:w="49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708"/>
        <w:gridCol w:w="995"/>
        <w:gridCol w:w="5489"/>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0"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工程类别</w:t>
            </w:r>
          </w:p>
        </w:tc>
        <w:tc>
          <w:tcPr>
            <w:tcW w:w="298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建设内容及规模</w:t>
            </w:r>
          </w:p>
        </w:tc>
        <w:tc>
          <w:tcPr>
            <w:tcW w:w="72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后续处置方式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restart"/>
            <w:vAlign w:val="center"/>
          </w:tcPr>
          <w:p>
            <w:pPr>
              <w:spacing w:line="240" w:lineRule="auto"/>
              <w:ind w:firstLine="0" w:firstLineChars="0"/>
              <w:jc w:val="center"/>
              <w:rPr>
                <w:sz w:val="21"/>
                <w:szCs w:val="21"/>
              </w:rPr>
            </w:pPr>
            <w:r>
              <w:rPr>
                <w:sz w:val="21"/>
                <w:szCs w:val="21"/>
              </w:rPr>
              <w:t>主体工程</w:t>
            </w:r>
          </w:p>
        </w:tc>
        <w:tc>
          <w:tcPr>
            <w:tcW w:w="926" w:type="pct"/>
            <w:gridSpan w:val="2"/>
            <w:vAlign w:val="center"/>
          </w:tcPr>
          <w:p>
            <w:pPr>
              <w:spacing w:line="240" w:lineRule="auto"/>
              <w:ind w:firstLine="0" w:firstLineChars="0"/>
              <w:jc w:val="center"/>
              <w:rPr>
                <w:sz w:val="21"/>
                <w:szCs w:val="21"/>
              </w:rPr>
            </w:pPr>
            <w:r>
              <w:rPr>
                <w:bCs/>
                <w:sz w:val="21"/>
                <w:szCs w:val="21"/>
              </w:rPr>
              <w:t>开采区</w:t>
            </w:r>
          </w:p>
        </w:tc>
        <w:tc>
          <w:tcPr>
            <w:tcW w:w="2983" w:type="pct"/>
            <w:vAlign w:val="center"/>
          </w:tcPr>
          <w:p>
            <w:pPr>
              <w:spacing w:line="240" w:lineRule="auto"/>
              <w:ind w:firstLine="0" w:firstLineChars="0"/>
              <w:rPr>
                <w:sz w:val="21"/>
                <w:szCs w:val="21"/>
              </w:rPr>
            </w:pPr>
            <w:r>
              <w:rPr>
                <w:bCs/>
                <w:sz w:val="21"/>
                <w:szCs w:val="21"/>
              </w:rPr>
              <w:t>矿区面积0.0936km</w:t>
            </w:r>
            <w:r>
              <w:rPr>
                <w:bCs/>
                <w:sz w:val="21"/>
                <w:szCs w:val="21"/>
                <w:vertAlign w:val="superscript"/>
              </w:rPr>
              <w:t>2</w:t>
            </w:r>
            <w:r>
              <w:rPr>
                <w:bCs/>
                <w:sz w:val="21"/>
                <w:szCs w:val="21"/>
              </w:rPr>
              <w:t xml:space="preserve">，开采标高+350m~+223m </w:t>
            </w:r>
          </w:p>
        </w:tc>
        <w:tc>
          <w:tcPr>
            <w:tcW w:w="727" w:type="pct"/>
            <w:vAlign w:val="center"/>
          </w:tcPr>
          <w:p>
            <w:pPr>
              <w:spacing w:line="240" w:lineRule="auto"/>
              <w:ind w:firstLine="0" w:firstLineChars="0"/>
              <w:jc w:val="center"/>
              <w:rPr>
                <w:sz w:val="21"/>
                <w:szCs w:val="21"/>
              </w:rPr>
            </w:pPr>
            <w:r>
              <w:rPr>
                <w:sz w:val="21"/>
                <w:szCs w:val="21"/>
              </w:rPr>
              <w:t>已复垦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bCs/>
                <w:sz w:val="21"/>
                <w:szCs w:val="21"/>
              </w:rPr>
              <w:t>开采工作平台</w:t>
            </w:r>
          </w:p>
        </w:tc>
        <w:tc>
          <w:tcPr>
            <w:tcW w:w="2983" w:type="pct"/>
            <w:vAlign w:val="center"/>
          </w:tcPr>
          <w:p>
            <w:pPr>
              <w:spacing w:line="240" w:lineRule="auto"/>
              <w:ind w:firstLine="0" w:firstLineChars="0"/>
              <w:rPr>
                <w:sz w:val="21"/>
                <w:szCs w:val="21"/>
              </w:rPr>
            </w:pPr>
            <w:r>
              <w:rPr>
                <w:sz w:val="21"/>
                <w:szCs w:val="21"/>
              </w:rPr>
              <w:t>工作平台宽度20m，生产台阶高6m，安全平台宽3m，采场最终底盘宽度：不小于40m。</w:t>
            </w:r>
          </w:p>
        </w:tc>
        <w:tc>
          <w:tcPr>
            <w:tcW w:w="727" w:type="pct"/>
            <w:vAlign w:val="center"/>
          </w:tcPr>
          <w:p>
            <w:pPr>
              <w:spacing w:line="240" w:lineRule="auto"/>
              <w:ind w:firstLine="0" w:firstLineChars="0"/>
              <w:jc w:val="center"/>
              <w:rPr>
                <w:sz w:val="21"/>
                <w:szCs w:val="21"/>
              </w:rPr>
            </w:pPr>
            <w:r>
              <w:rPr>
                <w:sz w:val="21"/>
                <w:szCs w:val="21"/>
              </w:rPr>
              <w:t>已复垦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工业场地</w:t>
            </w:r>
          </w:p>
        </w:tc>
        <w:tc>
          <w:tcPr>
            <w:tcW w:w="2983" w:type="pct"/>
            <w:vAlign w:val="center"/>
          </w:tcPr>
          <w:p>
            <w:pPr>
              <w:spacing w:line="240" w:lineRule="auto"/>
              <w:ind w:firstLine="0" w:firstLineChars="0"/>
              <w:rPr>
                <w:sz w:val="21"/>
                <w:szCs w:val="21"/>
              </w:rPr>
            </w:pPr>
            <w:r>
              <w:rPr>
                <w:sz w:val="21"/>
                <w:szCs w:val="21"/>
              </w:rPr>
              <w:t>位于原厂区中部，面积为0.018km</w:t>
            </w:r>
            <w:r>
              <w:rPr>
                <w:sz w:val="21"/>
                <w:szCs w:val="21"/>
                <w:vertAlign w:val="superscript"/>
              </w:rPr>
              <w:t>2</w:t>
            </w:r>
            <w:r>
              <w:rPr>
                <w:sz w:val="21"/>
                <w:szCs w:val="21"/>
              </w:rPr>
              <w:t>，设置密闭厂房，建设两条破碎筛分生产线，生产能力为70万吨/年，设置有颚破机、反击式破碎机、筛分机以及物料传输皮带。</w:t>
            </w:r>
          </w:p>
        </w:tc>
        <w:tc>
          <w:tcPr>
            <w:tcW w:w="727" w:type="pct"/>
            <w:vAlign w:val="center"/>
          </w:tcPr>
          <w:p>
            <w:pPr>
              <w:spacing w:line="240" w:lineRule="auto"/>
              <w:ind w:firstLine="0" w:firstLineChars="0"/>
              <w:jc w:val="center"/>
              <w:rPr>
                <w:sz w:val="21"/>
                <w:szCs w:val="21"/>
              </w:rPr>
            </w:pPr>
            <w:r>
              <w:rPr>
                <w:sz w:val="21"/>
                <w:szCs w:val="21"/>
              </w:rPr>
              <w:t>已转让给重庆峰磊矿业有限公司继续利用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排土场</w:t>
            </w:r>
          </w:p>
        </w:tc>
        <w:tc>
          <w:tcPr>
            <w:tcW w:w="2983" w:type="pct"/>
            <w:vAlign w:val="center"/>
          </w:tcPr>
          <w:p>
            <w:pPr>
              <w:spacing w:line="240" w:lineRule="auto"/>
              <w:ind w:firstLine="0" w:firstLineChars="0"/>
              <w:rPr>
                <w:sz w:val="21"/>
                <w:szCs w:val="21"/>
              </w:rPr>
            </w:pPr>
            <w:r>
              <w:rPr>
                <w:sz w:val="21"/>
                <w:szCs w:val="21"/>
              </w:rPr>
              <w:t>1座，利用已有的采坑，建设挡土墙，占地面积约6900m</w:t>
            </w:r>
            <w:r>
              <w:rPr>
                <w:sz w:val="21"/>
                <w:szCs w:val="21"/>
                <w:vertAlign w:val="superscript"/>
              </w:rPr>
              <w:t>2</w:t>
            </w:r>
          </w:p>
        </w:tc>
        <w:tc>
          <w:tcPr>
            <w:tcW w:w="727" w:type="pct"/>
            <w:vAlign w:val="center"/>
          </w:tcPr>
          <w:p>
            <w:pPr>
              <w:spacing w:line="240" w:lineRule="auto"/>
              <w:ind w:firstLine="0" w:firstLineChars="0"/>
              <w:jc w:val="center"/>
              <w:rPr>
                <w:sz w:val="21"/>
                <w:szCs w:val="21"/>
              </w:rPr>
            </w:pPr>
            <w:r>
              <w:rPr>
                <w:sz w:val="21"/>
                <w:szCs w:val="21"/>
              </w:rPr>
              <w:t>已复垦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restart"/>
            <w:vAlign w:val="center"/>
          </w:tcPr>
          <w:p>
            <w:pPr>
              <w:spacing w:line="240" w:lineRule="auto"/>
              <w:ind w:firstLine="0" w:firstLineChars="0"/>
              <w:jc w:val="center"/>
              <w:rPr>
                <w:sz w:val="21"/>
                <w:szCs w:val="21"/>
              </w:rPr>
            </w:pPr>
            <w:r>
              <w:rPr>
                <w:sz w:val="21"/>
                <w:szCs w:val="21"/>
              </w:rPr>
              <w:t>辅助工程</w:t>
            </w:r>
          </w:p>
        </w:tc>
        <w:tc>
          <w:tcPr>
            <w:tcW w:w="926" w:type="pct"/>
            <w:gridSpan w:val="2"/>
            <w:vAlign w:val="center"/>
          </w:tcPr>
          <w:p>
            <w:pPr>
              <w:spacing w:line="240" w:lineRule="auto"/>
              <w:ind w:firstLine="0" w:firstLineChars="0"/>
              <w:jc w:val="center"/>
              <w:rPr>
                <w:sz w:val="21"/>
                <w:szCs w:val="21"/>
              </w:rPr>
            </w:pPr>
            <w:r>
              <w:rPr>
                <w:sz w:val="21"/>
                <w:szCs w:val="21"/>
              </w:rPr>
              <w:t>办公室</w:t>
            </w:r>
          </w:p>
        </w:tc>
        <w:tc>
          <w:tcPr>
            <w:tcW w:w="2983" w:type="pct"/>
            <w:vAlign w:val="center"/>
          </w:tcPr>
          <w:p>
            <w:pPr>
              <w:spacing w:line="240" w:lineRule="auto"/>
              <w:ind w:firstLine="0" w:firstLineChars="0"/>
              <w:rPr>
                <w:sz w:val="21"/>
                <w:szCs w:val="21"/>
              </w:rPr>
            </w:pPr>
            <w:r>
              <w:rPr>
                <w:sz w:val="21"/>
                <w:szCs w:val="21"/>
              </w:rPr>
              <w:t>位于加工区西北侧，2F砖房，建筑面积为200m</w:t>
            </w:r>
            <w:r>
              <w:rPr>
                <w:sz w:val="21"/>
                <w:szCs w:val="21"/>
                <w:vertAlign w:val="superscript"/>
              </w:rPr>
              <w:t>2</w:t>
            </w:r>
          </w:p>
        </w:tc>
        <w:tc>
          <w:tcPr>
            <w:tcW w:w="727" w:type="pct"/>
            <w:vMerge w:val="restart"/>
            <w:vAlign w:val="center"/>
          </w:tcPr>
          <w:p>
            <w:pPr>
              <w:spacing w:line="240" w:lineRule="auto"/>
              <w:ind w:firstLine="0" w:firstLineChars="0"/>
              <w:jc w:val="center"/>
              <w:rPr>
                <w:sz w:val="21"/>
                <w:szCs w:val="21"/>
              </w:rPr>
            </w:pPr>
            <w:r>
              <w:rPr>
                <w:sz w:val="21"/>
                <w:szCs w:val="21"/>
              </w:rPr>
              <w:t>已转让给重庆峰磊矿业有限公司继续利用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食堂</w:t>
            </w:r>
          </w:p>
        </w:tc>
        <w:tc>
          <w:tcPr>
            <w:tcW w:w="2983" w:type="pct"/>
            <w:vAlign w:val="center"/>
          </w:tcPr>
          <w:p>
            <w:pPr>
              <w:spacing w:line="240" w:lineRule="auto"/>
              <w:ind w:firstLine="0" w:firstLineChars="0"/>
              <w:rPr>
                <w:sz w:val="21"/>
                <w:szCs w:val="21"/>
              </w:rPr>
            </w:pPr>
            <w:r>
              <w:rPr>
                <w:sz w:val="21"/>
                <w:szCs w:val="21"/>
              </w:rPr>
              <w:t>本厂区不设食堂，员工依托当地已有配套生活设施。</w:t>
            </w:r>
          </w:p>
        </w:tc>
        <w:tc>
          <w:tcPr>
            <w:tcW w:w="727" w:type="pct"/>
            <w:vMerge w:val="continue"/>
            <w:vAlign w:val="center"/>
          </w:tcPr>
          <w:p>
            <w:pPr>
              <w:spacing w:line="240" w:lineRule="auto"/>
              <w:ind w:firstLine="42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值班室</w:t>
            </w:r>
          </w:p>
        </w:tc>
        <w:tc>
          <w:tcPr>
            <w:tcW w:w="2983" w:type="pct"/>
            <w:vAlign w:val="center"/>
          </w:tcPr>
          <w:p>
            <w:pPr>
              <w:spacing w:line="240" w:lineRule="auto"/>
              <w:ind w:firstLine="0" w:firstLineChars="0"/>
              <w:rPr>
                <w:sz w:val="21"/>
                <w:szCs w:val="21"/>
              </w:rPr>
            </w:pPr>
            <w:r>
              <w:rPr>
                <w:sz w:val="21"/>
                <w:szCs w:val="21"/>
              </w:rPr>
              <w:t>位于厂区入口，建筑面积50m</w:t>
            </w:r>
            <w:r>
              <w:rPr>
                <w:sz w:val="21"/>
                <w:szCs w:val="21"/>
                <w:vertAlign w:val="superscript"/>
              </w:rPr>
              <w:t>2</w:t>
            </w:r>
          </w:p>
        </w:tc>
        <w:tc>
          <w:tcPr>
            <w:tcW w:w="727" w:type="pct"/>
            <w:vMerge w:val="continue"/>
            <w:vAlign w:val="center"/>
          </w:tcPr>
          <w:p>
            <w:pPr>
              <w:spacing w:line="240" w:lineRule="auto"/>
              <w:ind w:firstLine="42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配电房</w:t>
            </w:r>
          </w:p>
        </w:tc>
        <w:tc>
          <w:tcPr>
            <w:tcW w:w="2983" w:type="pct"/>
            <w:vAlign w:val="center"/>
          </w:tcPr>
          <w:p>
            <w:pPr>
              <w:spacing w:line="240" w:lineRule="auto"/>
              <w:ind w:firstLine="0" w:firstLineChars="0"/>
              <w:rPr>
                <w:sz w:val="21"/>
                <w:szCs w:val="21"/>
              </w:rPr>
            </w:pPr>
            <w:r>
              <w:rPr>
                <w:sz w:val="21"/>
                <w:szCs w:val="21"/>
              </w:rPr>
              <w:t>位于工业场地北侧，1F砖房，建筑面积45m</w:t>
            </w:r>
            <w:r>
              <w:rPr>
                <w:sz w:val="21"/>
                <w:szCs w:val="21"/>
                <w:vertAlign w:val="superscript"/>
              </w:rPr>
              <w:t>2</w:t>
            </w:r>
          </w:p>
        </w:tc>
        <w:tc>
          <w:tcPr>
            <w:tcW w:w="727" w:type="pct"/>
            <w:vMerge w:val="continue"/>
            <w:vAlign w:val="center"/>
          </w:tcPr>
          <w:p>
            <w:pPr>
              <w:spacing w:line="240" w:lineRule="auto"/>
              <w:ind w:firstLine="42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车辆清洗场</w:t>
            </w:r>
          </w:p>
        </w:tc>
        <w:tc>
          <w:tcPr>
            <w:tcW w:w="2983" w:type="pct"/>
            <w:vAlign w:val="center"/>
          </w:tcPr>
          <w:p>
            <w:pPr>
              <w:spacing w:line="240" w:lineRule="auto"/>
              <w:ind w:firstLine="0" w:firstLineChars="0"/>
              <w:rPr>
                <w:sz w:val="21"/>
                <w:szCs w:val="21"/>
              </w:rPr>
            </w:pPr>
            <w:r>
              <w:rPr>
                <w:bCs/>
                <w:sz w:val="21"/>
                <w:szCs w:val="21"/>
              </w:rPr>
              <w:t>加工场地密闭厂房外，面积约50 m</w:t>
            </w:r>
            <w:r>
              <w:rPr>
                <w:bCs/>
                <w:sz w:val="21"/>
                <w:szCs w:val="21"/>
                <w:vertAlign w:val="superscript"/>
              </w:rPr>
              <w:t>2</w:t>
            </w:r>
            <w:r>
              <w:rPr>
                <w:bCs/>
                <w:sz w:val="21"/>
                <w:szCs w:val="21"/>
              </w:rPr>
              <w:t>，主要用于运输车辆及设备的冲洗，配套隔油沉砂池，对废水进行隔油、沉沙处理后，回用于矿区洒水抑尘</w:t>
            </w:r>
          </w:p>
        </w:tc>
        <w:tc>
          <w:tcPr>
            <w:tcW w:w="727"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restart"/>
            <w:vAlign w:val="center"/>
          </w:tcPr>
          <w:p>
            <w:pPr>
              <w:spacing w:line="240" w:lineRule="auto"/>
              <w:ind w:firstLine="0" w:firstLineChars="0"/>
              <w:jc w:val="center"/>
              <w:rPr>
                <w:sz w:val="21"/>
                <w:szCs w:val="21"/>
              </w:rPr>
            </w:pPr>
            <w:r>
              <w:rPr>
                <w:sz w:val="21"/>
                <w:szCs w:val="21"/>
              </w:rPr>
              <w:t>公用工程</w:t>
            </w:r>
          </w:p>
        </w:tc>
        <w:tc>
          <w:tcPr>
            <w:tcW w:w="926" w:type="pct"/>
            <w:gridSpan w:val="2"/>
            <w:vAlign w:val="center"/>
          </w:tcPr>
          <w:p>
            <w:pPr>
              <w:spacing w:line="240" w:lineRule="auto"/>
              <w:ind w:firstLine="0" w:firstLineChars="0"/>
              <w:jc w:val="center"/>
              <w:rPr>
                <w:sz w:val="21"/>
                <w:szCs w:val="21"/>
              </w:rPr>
            </w:pPr>
            <w:r>
              <w:rPr>
                <w:sz w:val="21"/>
                <w:szCs w:val="21"/>
              </w:rPr>
              <w:t>供水系统</w:t>
            </w:r>
          </w:p>
        </w:tc>
        <w:tc>
          <w:tcPr>
            <w:tcW w:w="2983" w:type="pct"/>
            <w:vAlign w:val="center"/>
          </w:tcPr>
          <w:p>
            <w:pPr>
              <w:spacing w:line="240" w:lineRule="auto"/>
              <w:ind w:firstLine="0" w:firstLineChars="0"/>
              <w:rPr>
                <w:bCs/>
                <w:sz w:val="21"/>
                <w:szCs w:val="21"/>
              </w:rPr>
            </w:pPr>
            <w:r>
              <w:rPr>
                <w:bCs/>
                <w:sz w:val="21"/>
                <w:szCs w:val="21"/>
              </w:rPr>
              <w:t>沿用原有矿山范围内已有的供水设备，矿山生产使用场地蓄水池（800 m</w:t>
            </w:r>
            <w:r>
              <w:rPr>
                <w:bCs/>
                <w:sz w:val="21"/>
                <w:szCs w:val="21"/>
                <w:vertAlign w:val="superscript"/>
              </w:rPr>
              <w:t>3</w:t>
            </w:r>
            <w:r>
              <w:rPr>
                <w:bCs/>
                <w:sz w:val="21"/>
                <w:szCs w:val="21"/>
              </w:rPr>
              <w:t>）、生活用水使用乡镇蓄水池接管道至加工场地。</w:t>
            </w:r>
          </w:p>
        </w:tc>
        <w:tc>
          <w:tcPr>
            <w:tcW w:w="727" w:type="pct"/>
            <w:vAlign w:val="center"/>
          </w:tcPr>
          <w:p>
            <w:pPr>
              <w:spacing w:line="240" w:lineRule="auto"/>
              <w:ind w:firstLine="0" w:firstLineChars="0"/>
              <w:jc w:val="center"/>
              <w:rPr>
                <w:sz w:val="21"/>
                <w:szCs w:val="21"/>
              </w:rPr>
            </w:pPr>
            <w:r>
              <w:rPr>
                <w:sz w:val="21"/>
                <w:szCs w:val="21"/>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供电系统</w:t>
            </w:r>
          </w:p>
        </w:tc>
        <w:tc>
          <w:tcPr>
            <w:tcW w:w="2983" w:type="pct"/>
            <w:vAlign w:val="center"/>
          </w:tcPr>
          <w:p>
            <w:pPr>
              <w:spacing w:line="240" w:lineRule="auto"/>
              <w:ind w:firstLine="0" w:firstLineChars="0"/>
              <w:rPr>
                <w:bCs/>
                <w:sz w:val="21"/>
                <w:szCs w:val="21"/>
              </w:rPr>
            </w:pPr>
            <w:r>
              <w:rPr>
                <w:bCs/>
                <w:sz w:val="21"/>
                <w:szCs w:val="21"/>
              </w:rPr>
              <w:t>由当地市政电网供给</w:t>
            </w:r>
          </w:p>
        </w:tc>
        <w:tc>
          <w:tcPr>
            <w:tcW w:w="727" w:type="pct"/>
            <w:vAlign w:val="center"/>
          </w:tcPr>
          <w:p>
            <w:pPr>
              <w:spacing w:line="240" w:lineRule="auto"/>
              <w:ind w:firstLine="0" w:firstLineChars="0"/>
              <w:jc w:val="center"/>
              <w:rPr>
                <w:sz w:val="21"/>
                <w:szCs w:val="21"/>
              </w:rPr>
            </w:pPr>
            <w:r>
              <w:rPr>
                <w:sz w:val="21"/>
                <w:szCs w:val="21"/>
              </w:rPr>
              <w:t>已转让给重庆峰磊矿业有限公司继续利用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restart"/>
            <w:vAlign w:val="center"/>
          </w:tcPr>
          <w:p>
            <w:pPr>
              <w:spacing w:line="240" w:lineRule="auto"/>
              <w:ind w:firstLine="0" w:firstLineChars="0"/>
              <w:jc w:val="center"/>
              <w:rPr>
                <w:sz w:val="21"/>
                <w:szCs w:val="21"/>
              </w:rPr>
            </w:pPr>
            <w:r>
              <w:rPr>
                <w:sz w:val="21"/>
                <w:szCs w:val="21"/>
              </w:rPr>
              <w:t>储运工程</w:t>
            </w:r>
          </w:p>
        </w:tc>
        <w:tc>
          <w:tcPr>
            <w:tcW w:w="926" w:type="pct"/>
            <w:gridSpan w:val="2"/>
            <w:vAlign w:val="center"/>
          </w:tcPr>
          <w:p>
            <w:pPr>
              <w:spacing w:line="240" w:lineRule="auto"/>
              <w:ind w:firstLine="0" w:firstLineChars="0"/>
              <w:jc w:val="center"/>
              <w:rPr>
                <w:sz w:val="21"/>
                <w:szCs w:val="21"/>
              </w:rPr>
            </w:pPr>
            <w:r>
              <w:rPr>
                <w:bCs/>
                <w:sz w:val="21"/>
                <w:szCs w:val="21"/>
              </w:rPr>
              <w:t>矿区公路</w:t>
            </w:r>
          </w:p>
        </w:tc>
        <w:tc>
          <w:tcPr>
            <w:tcW w:w="2983" w:type="pct"/>
            <w:vAlign w:val="center"/>
          </w:tcPr>
          <w:p>
            <w:pPr>
              <w:spacing w:line="240" w:lineRule="auto"/>
              <w:ind w:firstLine="0" w:firstLineChars="0"/>
              <w:rPr>
                <w:bCs/>
                <w:sz w:val="21"/>
                <w:szCs w:val="21"/>
              </w:rPr>
            </w:pPr>
            <w:r>
              <w:rPr>
                <w:bCs/>
                <w:sz w:val="21"/>
                <w:szCs w:val="21"/>
              </w:rPr>
              <w:t>矿山场内作业道路均在矿区内部，根据采场位置和开采顺序布设矿山作业道路，矿山公路泥结碎石路面，与盐井一矿、二矿矿山公路连接外运</w:t>
            </w:r>
          </w:p>
        </w:tc>
        <w:tc>
          <w:tcPr>
            <w:tcW w:w="727" w:type="pct"/>
            <w:vAlign w:val="center"/>
          </w:tcPr>
          <w:p>
            <w:pPr>
              <w:spacing w:line="240" w:lineRule="auto"/>
              <w:ind w:firstLine="0" w:firstLineChars="0"/>
              <w:jc w:val="center"/>
              <w:rPr>
                <w:sz w:val="21"/>
                <w:szCs w:val="21"/>
              </w:rPr>
            </w:pPr>
            <w:r>
              <w:rPr>
                <w:sz w:val="21"/>
                <w:szCs w:val="21"/>
              </w:rPr>
              <w:t>已复垦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bCs/>
                <w:sz w:val="21"/>
                <w:szCs w:val="21"/>
              </w:rPr>
              <w:t>临时储矿场</w:t>
            </w:r>
          </w:p>
        </w:tc>
        <w:tc>
          <w:tcPr>
            <w:tcW w:w="2983" w:type="pct"/>
            <w:vAlign w:val="center"/>
          </w:tcPr>
          <w:p>
            <w:pPr>
              <w:spacing w:line="240" w:lineRule="auto"/>
              <w:ind w:firstLine="0" w:firstLineChars="0"/>
              <w:rPr>
                <w:bCs/>
                <w:sz w:val="21"/>
                <w:szCs w:val="21"/>
              </w:rPr>
            </w:pPr>
            <w:r>
              <w:rPr>
                <w:sz w:val="21"/>
                <w:szCs w:val="21"/>
              </w:rPr>
              <w:t>位于加工区破碎系统附近，临时储存原矿</w:t>
            </w:r>
          </w:p>
        </w:tc>
        <w:tc>
          <w:tcPr>
            <w:tcW w:w="727" w:type="pct"/>
            <w:vAlign w:val="center"/>
          </w:tcPr>
          <w:p>
            <w:pPr>
              <w:spacing w:line="240" w:lineRule="auto"/>
              <w:ind w:firstLine="0" w:firstLineChars="0"/>
              <w:jc w:val="center"/>
              <w:rPr>
                <w:sz w:val="21"/>
                <w:szCs w:val="21"/>
              </w:rPr>
            </w:pPr>
            <w:r>
              <w:rPr>
                <w:sz w:val="21"/>
                <w:szCs w:val="21"/>
              </w:rPr>
              <w:t>已转让给重庆峰磊矿业有限公司继续利用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bCs/>
                <w:sz w:val="21"/>
                <w:szCs w:val="21"/>
              </w:rPr>
            </w:pPr>
            <w:r>
              <w:rPr>
                <w:sz w:val="21"/>
                <w:szCs w:val="21"/>
              </w:rPr>
              <w:t>材料库房</w:t>
            </w:r>
          </w:p>
        </w:tc>
        <w:tc>
          <w:tcPr>
            <w:tcW w:w="2983" w:type="pct"/>
            <w:vAlign w:val="center"/>
          </w:tcPr>
          <w:p>
            <w:pPr>
              <w:spacing w:line="240" w:lineRule="auto"/>
              <w:ind w:firstLine="0" w:firstLineChars="0"/>
              <w:rPr>
                <w:sz w:val="21"/>
                <w:szCs w:val="21"/>
              </w:rPr>
            </w:pPr>
            <w:r>
              <w:rPr>
                <w:sz w:val="21"/>
                <w:szCs w:val="21"/>
              </w:rPr>
              <w:t>位于加工区东北侧，</w:t>
            </w:r>
            <w:r>
              <w:rPr>
                <w:bCs/>
                <w:sz w:val="21"/>
                <w:szCs w:val="21"/>
              </w:rPr>
              <w:t>共2F，建筑面积90m</w:t>
            </w:r>
            <w:r>
              <w:rPr>
                <w:bCs/>
                <w:sz w:val="21"/>
                <w:szCs w:val="21"/>
                <w:vertAlign w:val="superscript"/>
              </w:rPr>
              <w:t>2</w:t>
            </w:r>
          </w:p>
        </w:tc>
        <w:tc>
          <w:tcPr>
            <w:tcW w:w="727" w:type="pct"/>
            <w:vAlign w:val="center"/>
          </w:tcPr>
          <w:p>
            <w:pPr>
              <w:spacing w:line="240" w:lineRule="auto"/>
              <w:ind w:firstLine="0" w:firstLineChars="0"/>
              <w:jc w:val="center"/>
              <w:rPr>
                <w:sz w:val="21"/>
                <w:szCs w:val="21"/>
              </w:rPr>
            </w:pPr>
            <w:r>
              <w:rPr>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产品料仓</w:t>
            </w:r>
          </w:p>
        </w:tc>
        <w:tc>
          <w:tcPr>
            <w:tcW w:w="2983" w:type="pct"/>
            <w:vAlign w:val="center"/>
          </w:tcPr>
          <w:p>
            <w:pPr>
              <w:spacing w:line="240" w:lineRule="auto"/>
              <w:ind w:firstLine="0" w:firstLineChars="0"/>
              <w:rPr>
                <w:bCs/>
                <w:sz w:val="21"/>
                <w:szCs w:val="21"/>
              </w:rPr>
            </w:pPr>
            <w:r>
              <w:rPr>
                <w:bCs/>
                <w:sz w:val="21"/>
                <w:szCs w:val="21"/>
              </w:rPr>
              <w:t>料仓位于加工区密闭厂房内东北侧，堆放所有成品，占地面积2000m</w:t>
            </w:r>
            <w:r>
              <w:rPr>
                <w:bCs/>
                <w:sz w:val="21"/>
                <w:szCs w:val="21"/>
                <w:vertAlign w:val="superscript"/>
              </w:rPr>
              <w:t>2</w:t>
            </w:r>
          </w:p>
        </w:tc>
        <w:tc>
          <w:tcPr>
            <w:tcW w:w="727" w:type="pct"/>
            <w:vAlign w:val="center"/>
          </w:tcPr>
          <w:p>
            <w:pPr>
              <w:spacing w:line="240" w:lineRule="auto"/>
              <w:ind w:firstLine="0" w:firstLineChars="0"/>
              <w:jc w:val="center"/>
              <w:rPr>
                <w:sz w:val="21"/>
                <w:szCs w:val="21"/>
              </w:rPr>
            </w:pPr>
            <w:r>
              <w:rPr>
                <w:sz w:val="21"/>
                <w:szCs w:val="21"/>
              </w:rPr>
              <w:t>已进行改造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产品堆场</w:t>
            </w:r>
          </w:p>
        </w:tc>
        <w:tc>
          <w:tcPr>
            <w:tcW w:w="2983" w:type="pct"/>
            <w:vAlign w:val="center"/>
          </w:tcPr>
          <w:p>
            <w:pPr>
              <w:spacing w:line="240" w:lineRule="auto"/>
              <w:ind w:firstLine="0" w:firstLineChars="0"/>
              <w:rPr>
                <w:bCs/>
                <w:sz w:val="21"/>
                <w:szCs w:val="21"/>
              </w:rPr>
            </w:pPr>
            <w:r>
              <w:rPr>
                <w:bCs/>
                <w:sz w:val="21"/>
                <w:szCs w:val="21"/>
              </w:rPr>
              <w:t>设置产品堆场，碎石堆放在堆场</w:t>
            </w:r>
          </w:p>
        </w:tc>
        <w:tc>
          <w:tcPr>
            <w:tcW w:w="727" w:type="pct"/>
            <w:vAlign w:val="center"/>
          </w:tcPr>
          <w:p>
            <w:pPr>
              <w:spacing w:line="240" w:lineRule="auto"/>
              <w:ind w:firstLine="0" w:firstLineChars="0"/>
              <w:jc w:val="center"/>
              <w:rPr>
                <w:sz w:val="21"/>
                <w:szCs w:val="21"/>
              </w:rPr>
            </w:pPr>
            <w:r>
              <w:rPr>
                <w:sz w:val="21"/>
                <w:szCs w:val="21"/>
              </w:rPr>
              <w:t>已进行改造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restart"/>
            <w:vAlign w:val="center"/>
          </w:tcPr>
          <w:p>
            <w:pPr>
              <w:spacing w:line="240" w:lineRule="auto"/>
              <w:ind w:firstLine="0" w:firstLineChars="0"/>
              <w:rPr>
                <w:sz w:val="21"/>
                <w:szCs w:val="21"/>
              </w:rPr>
            </w:pPr>
            <w:r>
              <w:rPr>
                <w:sz w:val="21"/>
                <w:szCs w:val="21"/>
              </w:rPr>
              <w:t>环保工程</w:t>
            </w:r>
          </w:p>
        </w:tc>
        <w:tc>
          <w:tcPr>
            <w:tcW w:w="385" w:type="pct"/>
            <w:vMerge w:val="restart"/>
            <w:vAlign w:val="center"/>
          </w:tcPr>
          <w:p>
            <w:pPr>
              <w:spacing w:line="240" w:lineRule="auto"/>
              <w:ind w:firstLine="0" w:firstLineChars="0"/>
              <w:jc w:val="center"/>
              <w:rPr>
                <w:sz w:val="21"/>
                <w:szCs w:val="21"/>
              </w:rPr>
            </w:pPr>
            <w:r>
              <w:rPr>
                <w:sz w:val="21"/>
                <w:szCs w:val="21"/>
              </w:rPr>
              <w:t>废水措施</w:t>
            </w:r>
          </w:p>
        </w:tc>
        <w:tc>
          <w:tcPr>
            <w:tcW w:w="541" w:type="pct"/>
            <w:vAlign w:val="center"/>
          </w:tcPr>
          <w:p>
            <w:pPr>
              <w:spacing w:line="240" w:lineRule="auto"/>
              <w:ind w:firstLine="0" w:firstLineChars="0"/>
              <w:jc w:val="center"/>
              <w:rPr>
                <w:sz w:val="21"/>
                <w:szCs w:val="21"/>
              </w:rPr>
            </w:pPr>
            <w:r>
              <w:rPr>
                <w:sz w:val="21"/>
                <w:szCs w:val="21"/>
              </w:rPr>
              <w:t>旱厕</w:t>
            </w:r>
          </w:p>
        </w:tc>
        <w:tc>
          <w:tcPr>
            <w:tcW w:w="2983" w:type="pct"/>
            <w:vAlign w:val="center"/>
          </w:tcPr>
          <w:p>
            <w:pPr>
              <w:spacing w:line="240" w:lineRule="auto"/>
              <w:ind w:firstLine="0" w:firstLineChars="0"/>
              <w:rPr>
                <w:bCs/>
                <w:sz w:val="21"/>
                <w:szCs w:val="21"/>
              </w:rPr>
            </w:pPr>
            <w:r>
              <w:rPr>
                <w:sz w:val="21"/>
                <w:szCs w:val="21"/>
              </w:rPr>
              <w:t>利用加工区现有旱厕收集员工生活污水</w:t>
            </w:r>
          </w:p>
        </w:tc>
        <w:tc>
          <w:tcPr>
            <w:tcW w:w="727" w:type="pct"/>
            <w:vAlign w:val="center"/>
          </w:tcPr>
          <w:p>
            <w:pPr>
              <w:spacing w:line="240" w:lineRule="auto"/>
              <w:ind w:firstLine="0" w:firstLineChars="0"/>
              <w:jc w:val="center"/>
              <w:rPr>
                <w:sz w:val="21"/>
                <w:szCs w:val="21"/>
              </w:rPr>
            </w:pPr>
            <w:r>
              <w:rPr>
                <w:sz w:val="21"/>
                <w:szCs w:val="21"/>
              </w:rPr>
              <w:t>已转让给重庆峰磊矿业有限公司继续利用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rPr>
                <w:sz w:val="21"/>
                <w:szCs w:val="21"/>
              </w:rPr>
            </w:pPr>
          </w:p>
        </w:tc>
        <w:tc>
          <w:tcPr>
            <w:tcW w:w="385" w:type="pct"/>
            <w:vMerge w:val="continue"/>
            <w:vAlign w:val="center"/>
          </w:tcPr>
          <w:p>
            <w:pPr>
              <w:spacing w:line="240" w:lineRule="auto"/>
              <w:ind w:firstLine="0" w:firstLineChars="0"/>
              <w:jc w:val="center"/>
              <w:rPr>
                <w:sz w:val="21"/>
                <w:szCs w:val="21"/>
              </w:rPr>
            </w:pPr>
          </w:p>
        </w:tc>
        <w:tc>
          <w:tcPr>
            <w:tcW w:w="541" w:type="pct"/>
            <w:vAlign w:val="center"/>
          </w:tcPr>
          <w:p>
            <w:pPr>
              <w:spacing w:line="240" w:lineRule="auto"/>
              <w:ind w:firstLine="0" w:firstLineChars="0"/>
              <w:jc w:val="center"/>
              <w:rPr>
                <w:sz w:val="21"/>
                <w:szCs w:val="21"/>
              </w:rPr>
            </w:pPr>
            <w:r>
              <w:rPr>
                <w:sz w:val="21"/>
                <w:szCs w:val="21"/>
              </w:rPr>
              <w:t>矿山洒水系统</w:t>
            </w:r>
          </w:p>
        </w:tc>
        <w:tc>
          <w:tcPr>
            <w:tcW w:w="2983" w:type="pct"/>
            <w:vAlign w:val="center"/>
          </w:tcPr>
          <w:p>
            <w:pPr>
              <w:spacing w:line="240" w:lineRule="auto"/>
              <w:ind w:firstLine="0" w:firstLineChars="0"/>
              <w:rPr>
                <w:bCs/>
                <w:sz w:val="21"/>
                <w:szCs w:val="21"/>
              </w:rPr>
            </w:pPr>
            <w:r>
              <w:rPr>
                <w:sz w:val="21"/>
                <w:szCs w:val="21"/>
              </w:rPr>
              <w:t>对矿山开采作业面、装运作业点、转运点及矿区道路等进行洒水抑尘</w:t>
            </w:r>
          </w:p>
        </w:tc>
        <w:tc>
          <w:tcPr>
            <w:tcW w:w="727" w:type="pct"/>
            <w:vAlign w:val="center"/>
          </w:tcPr>
          <w:p>
            <w:pPr>
              <w:spacing w:line="240" w:lineRule="auto"/>
              <w:ind w:firstLine="0" w:firstLineChars="0"/>
              <w:jc w:val="center"/>
              <w:rPr>
                <w:sz w:val="21"/>
                <w:szCs w:val="21"/>
              </w:rPr>
            </w:pPr>
            <w:r>
              <w:rPr>
                <w:sz w:val="21"/>
                <w:szCs w:val="21"/>
              </w:rPr>
              <w:t>已复垦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385" w:type="pct"/>
            <w:vMerge w:val="continue"/>
            <w:vAlign w:val="center"/>
          </w:tcPr>
          <w:p>
            <w:pPr>
              <w:spacing w:line="240" w:lineRule="auto"/>
              <w:ind w:firstLine="0" w:firstLineChars="0"/>
              <w:jc w:val="center"/>
              <w:rPr>
                <w:sz w:val="21"/>
                <w:szCs w:val="21"/>
              </w:rPr>
            </w:pPr>
          </w:p>
        </w:tc>
        <w:tc>
          <w:tcPr>
            <w:tcW w:w="541" w:type="pct"/>
            <w:vAlign w:val="center"/>
          </w:tcPr>
          <w:p>
            <w:pPr>
              <w:spacing w:line="240" w:lineRule="auto"/>
              <w:ind w:firstLine="0" w:firstLineChars="0"/>
              <w:jc w:val="center"/>
              <w:rPr>
                <w:sz w:val="21"/>
                <w:szCs w:val="21"/>
              </w:rPr>
            </w:pPr>
            <w:r>
              <w:rPr>
                <w:sz w:val="21"/>
                <w:szCs w:val="21"/>
              </w:rPr>
              <w:t>截排水沟和沉砂池</w:t>
            </w:r>
          </w:p>
        </w:tc>
        <w:tc>
          <w:tcPr>
            <w:tcW w:w="2983" w:type="pct"/>
            <w:vAlign w:val="center"/>
          </w:tcPr>
          <w:p>
            <w:pPr>
              <w:spacing w:line="240" w:lineRule="auto"/>
              <w:ind w:firstLine="0" w:firstLineChars="0"/>
              <w:rPr>
                <w:bCs/>
                <w:sz w:val="21"/>
                <w:szCs w:val="21"/>
              </w:rPr>
            </w:pPr>
            <w:r>
              <w:rPr>
                <w:sz w:val="21"/>
                <w:szCs w:val="21"/>
              </w:rPr>
              <w:t>截排和处理开采区及加工区的初期雨水，沿矿区周边修建</w:t>
            </w:r>
          </w:p>
        </w:tc>
        <w:tc>
          <w:tcPr>
            <w:tcW w:w="727" w:type="pct"/>
            <w:vAlign w:val="center"/>
          </w:tcPr>
          <w:p>
            <w:pPr>
              <w:spacing w:line="240" w:lineRule="auto"/>
              <w:ind w:firstLine="0" w:firstLineChars="0"/>
              <w:jc w:val="center"/>
              <w:rPr>
                <w:sz w:val="21"/>
                <w:szCs w:val="21"/>
              </w:rPr>
            </w:pPr>
            <w:r>
              <w:rPr>
                <w:sz w:val="21"/>
                <w:szCs w:val="21"/>
              </w:rPr>
              <w:t>已复垦开采区的，保留加工区的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废气治理</w:t>
            </w:r>
          </w:p>
        </w:tc>
        <w:tc>
          <w:tcPr>
            <w:tcW w:w="2983" w:type="pct"/>
            <w:vAlign w:val="center"/>
          </w:tcPr>
          <w:p>
            <w:pPr>
              <w:spacing w:line="240" w:lineRule="auto"/>
              <w:ind w:firstLine="0" w:firstLineChars="0"/>
              <w:rPr>
                <w:sz w:val="21"/>
                <w:szCs w:val="21"/>
              </w:rPr>
            </w:pPr>
            <w:r>
              <w:rPr>
                <w:rFonts w:hint="eastAsia" w:ascii="宋体" w:hAnsi="宋体" w:cs="宋体"/>
                <w:sz w:val="21"/>
                <w:szCs w:val="21"/>
              </w:rPr>
              <w:t>①</w:t>
            </w:r>
            <w:r>
              <w:rPr>
                <w:sz w:val="21"/>
                <w:szCs w:val="21"/>
              </w:rPr>
              <w:t>矿石开采区设洒水车进行洒水抑尘，加工区密闭厂房内设洒水抑尘管道系统和喷雾式洒水龙头进行抑尘。</w:t>
            </w:r>
          </w:p>
          <w:p>
            <w:pPr>
              <w:spacing w:line="240" w:lineRule="auto"/>
              <w:ind w:firstLine="0" w:firstLineChars="0"/>
              <w:rPr>
                <w:sz w:val="21"/>
                <w:szCs w:val="21"/>
              </w:rPr>
            </w:pPr>
            <w:r>
              <w:rPr>
                <w:rFonts w:hint="eastAsia" w:ascii="宋体" w:hAnsi="宋体" w:cs="宋体"/>
                <w:sz w:val="21"/>
                <w:szCs w:val="21"/>
              </w:rPr>
              <w:t>②</w:t>
            </w:r>
            <w:r>
              <w:rPr>
                <w:sz w:val="21"/>
                <w:szCs w:val="21"/>
              </w:rPr>
              <w:t>矿区卸载场设置雨棚、雨棚上设置喷雾式洒水设施、除车辆进出口外其它三面全封闭。产品仓、仓下卸料装车口设喷雾式洒水设施。</w:t>
            </w:r>
          </w:p>
          <w:p>
            <w:pPr>
              <w:spacing w:line="240" w:lineRule="auto"/>
              <w:ind w:firstLine="0" w:firstLineChars="0"/>
              <w:rPr>
                <w:bCs/>
                <w:sz w:val="21"/>
                <w:szCs w:val="21"/>
              </w:rPr>
            </w:pPr>
            <w:r>
              <w:rPr>
                <w:rFonts w:hint="eastAsia" w:ascii="宋体" w:hAnsi="宋体" w:cs="宋体"/>
                <w:sz w:val="21"/>
                <w:szCs w:val="21"/>
              </w:rPr>
              <w:t>③</w:t>
            </w:r>
            <w:r>
              <w:rPr>
                <w:sz w:val="21"/>
                <w:szCs w:val="21"/>
              </w:rPr>
              <w:t>加工区厂房密闭，1#、2#生产线</w:t>
            </w:r>
            <w:r>
              <w:rPr>
                <w:bCs/>
                <w:sz w:val="21"/>
                <w:szCs w:val="21"/>
              </w:rPr>
              <w:t>反击式破碎机各配备1套布袋除尘器（风量5000m</w:t>
            </w:r>
            <w:r>
              <w:rPr>
                <w:bCs/>
                <w:sz w:val="21"/>
                <w:szCs w:val="21"/>
                <w:vertAlign w:val="superscript"/>
              </w:rPr>
              <w:t>3</w:t>
            </w:r>
            <w:r>
              <w:rPr>
                <w:bCs/>
                <w:sz w:val="21"/>
                <w:szCs w:val="21"/>
              </w:rPr>
              <w:t>/h），经处理后沿15m排气筒高空排放；</w:t>
            </w:r>
            <w:r>
              <w:rPr>
                <w:sz w:val="21"/>
                <w:szCs w:val="21"/>
              </w:rPr>
              <w:t>1#、2#生产线</w:t>
            </w:r>
            <w:r>
              <w:rPr>
                <w:bCs/>
                <w:sz w:val="21"/>
                <w:szCs w:val="21"/>
              </w:rPr>
              <w:t>两台筛分机共配备一台布袋除尘器（风量25000m</w:t>
            </w:r>
            <w:r>
              <w:rPr>
                <w:bCs/>
                <w:sz w:val="21"/>
                <w:szCs w:val="21"/>
                <w:vertAlign w:val="superscript"/>
              </w:rPr>
              <w:t>3</w:t>
            </w:r>
            <w:r>
              <w:rPr>
                <w:bCs/>
                <w:sz w:val="21"/>
                <w:szCs w:val="21"/>
              </w:rPr>
              <w:t>/h），经处理后经15m排气筒高空排放。</w:t>
            </w:r>
          </w:p>
        </w:tc>
        <w:tc>
          <w:tcPr>
            <w:tcW w:w="727" w:type="pct"/>
            <w:vAlign w:val="center"/>
          </w:tcPr>
          <w:p>
            <w:pPr>
              <w:spacing w:line="240" w:lineRule="auto"/>
              <w:ind w:firstLine="0" w:firstLineChars="0"/>
              <w:jc w:val="center"/>
              <w:rPr>
                <w:sz w:val="21"/>
                <w:szCs w:val="21"/>
              </w:rPr>
            </w:pPr>
            <w:r>
              <w:rPr>
                <w:sz w:val="21"/>
                <w:szCs w:val="21"/>
              </w:rPr>
              <w:t>开采区相关设施已拆除，保留工业场地设施作为后期利用。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4" w:type="pct"/>
            <w:vMerge w:val="continue"/>
            <w:vAlign w:val="center"/>
          </w:tcPr>
          <w:p>
            <w:pPr>
              <w:spacing w:line="240" w:lineRule="auto"/>
              <w:ind w:firstLine="0" w:firstLineChars="0"/>
              <w:jc w:val="center"/>
              <w:rPr>
                <w:sz w:val="21"/>
                <w:szCs w:val="21"/>
              </w:rPr>
            </w:pPr>
          </w:p>
        </w:tc>
        <w:tc>
          <w:tcPr>
            <w:tcW w:w="926" w:type="pct"/>
            <w:gridSpan w:val="2"/>
            <w:vAlign w:val="center"/>
          </w:tcPr>
          <w:p>
            <w:pPr>
              <w:spacing w:line="240" w:lineRule="auto"/>
              <w:ind w:firstLine="0" w:firstLineChars="0"/>
              <w:jc w:val="center"/>
              <w:rPr>
                <w:sz w:val="21"/>
                <w:szCs w:val="21"/>
              </w:rPr>
            </w:pPr>
            <w:r>
              <w:rPr>
                <w:sz w:val="21"/>
                <w:szCs w:val="21"/>
              </w:rPr>
              <w:t>固废处置</w:t>
            </w:r>
          </w:p>
        </w:tc>
        <w:tc>
          <w:tcPr>
            <w:tcW w:w="2983" w:type="pct"/>
            <w:vAlign w:val="center"/>
          </w:tcPr>
          <w:p>
            <w:pPr>
              <w:spacing w:line="240" w:lineRule="auto"/>
              <w:ind w:firstLine="0" w:firstLineChars="0"/>
              <w:rPr>
                <w:sz w:val="21"/>
                <w:szCs w:val="21"/>
              </w:rPr>
            </w:pPr>
            <w:r>
              <w:rPr>
                <w:sz w:val="21"/>
                <w:szCs w:val="21"/>
              </w:rPr>
              <w:t>设备检修产生废润滑油等危险废物暂存于危险废物贮存间，定期交资质单位处置。</w:t>
            </w:r>
          </w:p>
        </w:tc>
        <w:tc>
          <w:tcPr>
            <w:tcW w:w="727" w:type="pct"/>
            <w:vAlign w:val="center"/>
          </w:tcPr>
          <w:p>
            <w:pPr>
              <w:spacing w:line="240" w:lineRule="auto"/>
              <w:ind w:firstLine="0" w:firstLineChars="0"/>
              <w:jc w:val="center"/>
              <w:rPr>
                <w:sz w:val="21"/>
                <w:szCs w:val="21"/>
              </w:rPr>
            </w:pPr>
            <w:r>
              <w:rPr>
                <w:sz w:val="21"/>
                <w:szCs w:val="21"/>
              </w:rPr>
              <w:t>已转让给重庆峰磊矿业有限公司继续利用</w:t>
            </w:r>
          </w:p>
        </w:tc>
      </w:tr>
    </w:tbl>
    <w:p>
      <w:pPr>
        <w:pStyle w:val="5"/>
        <w:rPr>
          <w:color w:val="auto"/>
        </w:rPr>
      </w:pPr>
      <w:r>
        <w:rPr>
          <w:color w:val="auto"/>
        </w:rPr>
        <w:t>2.3.3主要设备</w:t>
      </w:r>
    </w:p>
    <w:p>
      <w:pPr>
        <w:spacing w:line="460" w:lineRule="exact"/>
        <w:ind w:firstLine="520"/>
        <w:jc w:val="both"/>
        <w:rPr>
          <w:szCs w:val="26"/>
        </w:rPr>
      </w:pPr>
      <w:r>
        <w:rPr>
          <w:szCs w:val="26"/>
        </w:rPr>
        <w:t>主要设备见下表。</w:t>
      </w:r>
    </w:p>
    <w:p>
      <w:pPr>
        <w:pStyle w:val="84"/>
      </w:pPr>
      <w:r>
        <w:t>表2.3-4   现有项目主要设备统计表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072"/>
        <w:gridCol w:w="1975"/>
        <w:gridCol w:w="1650"/>
        <w:gridCol w:w="1049"/>
        <w:gridCol w:w="1301"/>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58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位置</w:t>
            </w:r>
          </w:p>
        </w:tc>
        <w:tc>
          <w:tcPr>
            <w:tcW w:w="106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设备名称</w:t>
            </w:r>
          </w:p>
        </w:tc>
        <w:tc>
          <w:tcPr>
            <w:tcW w:w="85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规格型号</w:t>
            </w:r>
          </w:p>
        </w:tc>
        <w:tc>
          <w:tcPr>
            <w:tcW w:w="57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数量/台</w:t>
            </w:r>
          </w:p>
        </w:tc>
        <w:tc>
          <w:tcPr>
            <w:tcW w:w="70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工艺用途</w:t>
            </w:r>
          </w:p>
        </w:tc>
        <w:tc>
          <w:tcPr>
            <w:tcW w:w="82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1</w:t>
            </w:r>
          </w:p>
        </w:tc>
        <w:tc>
          <w:tcPr>
            <w:tcW w:w="583" w:type="pct"/>
            <w:vMerge w:val="restart"/>
            <w:vAlign w:val="center"/>
          </w:tcPr>
          <w:p>
            <w:pPr>
              <w:spacing w:line="240" w:lineRule="auto"/>
              <w:ind w:firstLine="0" w:firstLineChars="0"/>
              <w:jc w:val="center"/>
              <w:rPr>
                <w:sz w:val="21"/>
                <w:szCs w:val="21"/>
              </w:rPr>
            </w:pPr>
            <w:r>
              <w:rPr>
                <w:sz w:val="21"/>
                <w:szCs w:val="21"/>
              </w:rPr>
              <w:t>开采区</w:t>
            </w:r>
          </w:p>
        </w:tc>
        <w:tc>
          <w:tcPr>
            <w:tcW w:w="1069" w:type="pct"/>
            <w:vAlign w:val="center"/>
          </w:tcPr>
          <w:p>
            <w:pPr>
              <w:spacing w:line="240" w:lineRule="auto"/>
              <w:ind w:firstLine="0" w:firstLineChars="0"/>
              <w:jc w:val="center"/>
              <w:rPr>
                <w:sz w:val="21"/>
                <w:szCs w:val="21"/>
              </w:rPr>
            </w:pPr>
            <w:r>
              <w:rPr>
                <w:sz w:val="21"/>
                <w:szCs w:val="21"/>
              </w:rPr>
              <w:t>潜孔风压钻机</w:t>
            </w:r>
          </w:p>
        </w:tc>
        <w:tc>
          <w:tcPr>
            <w:tcW w:w="855" w:type="pct"/>
            <w:vAlign w:val="center"/>
          </w:tcPr>
          <w:p>
            <w:pPr>
              <w:spacing w:line="240" w:lineRule="auto"/>
              <w:ind w:firstLine="0" w:firstLineChars="0"/>
              <w:jc w:val="center"/>
              <w:rPr>
                <w:sz w:val="21"/>
                <w:szCs w:val="21"/>
              </w:rPr>
            </w:pPr>
            <w:r>
              <w:rPr>
                <w:sz w:val="21"/>
                <w:szCs w:val="21"/>
              </w:rPr>
              <w:t>ZGYX-421型</w:t>
            </w:r>
          </w:p>
        </w:tc>
        <w:tc>
          <w:tcPr>
            <w:tcW w:w="570" w:type="pct"/>
            <w:vAlign w:val="center"/>
          </w:tcPr>
          <w:p>
            <w:pPr>
              <w:spacing w:line="240" w:lineRule="auto"/>
              <w:ind w:firstLine="0" w:firstLineChars="0"/>
              <w:jc w:val="center"/>
              <w:rPr>
                <w:sz w:val="21"/>
                <w:szCs w:val="21"/>
              </w:rPr>
            </w:pPr>
            <w:r>
              <w:rPr>
                <w:sz w:val="21"/>
                <w:szCs w:val="21"/>
              </w:rPr>
              <w:t>2</w:t>
            </w:r>
          </w:p>
        </w:tc>
        <w:tc>
          <w:tcPr>
            <w:tcW w:w="706" w:type="pct"/>
            <w:vAlign w:val="center"/>
          </w:tcPr>
          <w:p>
            <w:pPr>
              <w:spacing w:line="240" w:lineRule="auto"/>
              <w:ind w:firstLine="0" w:firstLineChars="0"/>
              <w:jc w:val="center"/>
              <w:rPr>
                <w:sz w:val="21"/>
                <w:szCs w:val="21"/>
              </w:rPr>
            </w:pPr>
            <w:r>
              <w:rPr>
                <w:sz w:val="21"/>
                <w:szCs w:val="21"/>
              </w:rPr>
              <w:t>钻孔</w:t>
            </w:r>
          </w:p>
        </w:tc>
        <w:tc>
          <w:tcPr>
            <w:tcW w:w="821" w:type="pct"/>
            <w:vMerge w:val="restart"/>
            <w:vAlign w:val="center"/>
          </w:tcPr>
          <w:p>
            <w:pPr>
              <w:spacing w:line="240" w:lineRule="auto"/>
              <w:ind w:firstLine="0" w:firstLineChars="0"/>
              <w:jc w:val="center"/>
              <w:rPr>
                <w:sz w:val="21"/>
                <w:szCs w:val="21"/>
              </w:rPr>
            </w:pPr>
            <w:r>
              <w:rPr>
                <w:sz w:val="21"/>
                <w:szCs w:val="21"/>
              </w:rPr>
              <w:t>设备性能不佳，已外售处理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2</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移动式螺杆空压机</w:t>
            </w:r>
          </w:p>
        </w:tc>
        <w:tc>
          <w:tcPr>
            <w:tcW w:w="855" w:type="pct"/>
            <w:vAlign w:val="center"/>
          </w:tcPr>
          <w:p>
            <w:pPr>
              <w:spacing w:line="240" w:lineRule="auto"/>
              <w:ind w:firstLine="0" w:firstLineChars="0"/>
              <w:jc w:val="center"/>
              <w:rPr>
                <w:sz w:val="21"/>
                <w:szCs w:val="21"/>
              </w:rPr>
            </w:pPr>
            <w:r>
              <w:rPr>
                <w:sz w:val="21"/>
                <w:szCs w:val="21"/>
              </w:rPr>
              <w:t>VHP-700E型</w:t>
            </w:r>
          </w:p>
        </w:tc>
        <w:tc>
          <w:tcPr>
            <w:tcW w:w="570" w:type="pct"/>
            <w:vAlign w:val="center"/>
          </w:tcPr>
          <w:p>
            <w:pPr>
              <w:spacing w:line="240" w:lineRule="auto"/>
              <w:ind w:firstLine="0" w:firstLineChars="0"/>
              <w:jc w:val="center"/>
              <w:rPr>
                <w:sz w:val="21"/>
                <w:szCs w:val="21"/>
              </w:rPr>
            </w:pPr>
            <w:r>
              <w:rPr>
                <w:sz w:val="21"/>
                <w:szCs w:val="21"/>
              </w:rPr>
              <w:t>1</w:t>
            </w:r>
          </w:p>
        </w:tc>
        <w:tc>
          <w:tcPr>
            <w:tcW w:w="706" w:type="pct"/>
            <w:vAlign w:val="center"/>
          </w:tcPr>
          <w:p>
            <w:pPr>
              <w:spacing w:line="240" w:lineRule="auto"/>
              <w:ind w:firstLine="0" w:firstLineChars="0"/>
              <w:jc w:val="center"/>
              <w:rPr>
                <w:sz w:val="21"/>
                <w:szCs w:val="21"/>
              </w:rPr>
            </w:pPr>
            <w:r>
              <w:rPr>
                <w:sz w:val="21"/>
                <w:szCs w:val="21"/>
              </w:rPr>
              <w:t>/</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96" w:type="pct"/>
            <w:vAlign w:val="center"/>
          </w:tcPr>
          <w:p>
            <w:pPr>
              <w:spacing w:line="240" w:lineRule="auto"/>
              <w:ind w:firstLine="0" w:firstLineChars="0"/>
              <w:jc w:val="center"/>
              <w:rPr>
                <w:sz w:val="21"/>
                <w:szCs w:val="21"/>
              </w:rPr>
            </w:pPr>
            <w:r>
              <w:rPr>
                <w:sz w:val="21"/>
                <w:szCs w:val="21"/>
              </w:rPr>
              <w:t>3</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挖掘机</w:t>
            </w:r>
          </w:p>
        </w:tc>
        <w:tc>
          <w:tcPr>
            <w:tcW w:w="855" w:type="pct"/>
            <w:vAlign w:val="center"/>
          </w:tcPr>
          <w:p>
            <w:pPr>
              <w:spacing w:line="240" w:lineRule="auto"/>
              <w:ind w:firstLine="0" w:firstLineChars="0"/>
              <w:jc w:val="center"/>
              <w:rPr>
                <w:sz w:val="21"/>
                <w:szCs w:val="21"/>
              </w:rPr>
            </w:pPr>
            <w:r>
              <w:rPr>
                <w:sz w:val="21"/>
                <w:szCs w:val="21"/>
              </w:rPr>
              <w:t>CAT336</w:t>
            </w:r>
          </w:p>
        </w:tc>
        <w:tc>
          <w:tcPr>
            <w:tcW w:w="570" w:type="pct"/>
            <w:vAlign w:val="center"/>
          </w:tcPr>
          <w:p>
            <w:pPr>
              <w:spacing w:line="240" w:lineRule="auto"/>
              <w:ind w:firstLine="0" w:firstLineChars="0"/>
              <w:jc w:val="center"/>
              <w:rPr>
                <w:sz w:val="21"/>
                <w:szCs w:val="21"/>
              </w:rPr>
            </w:pPr>
            <w:r>
              <w:rPr>
                <w:sz w:val="21"/>
                <w:szCs w:val="21"/>
              </w:rPr>
              <w:t>1</w:t>
            </w:r>
          </w:p>
        </w:tc>
        <w:tc>
          <w:tcPr>
            <w:tcW w:w="706" w:type="pct"/>
            <w:vAlign w:val="center"/>
          </w:tcPr>
          <w:p>
            <w:pPr>
              <w:spacing w:line="240" w:lineRule="auto"/>
              <w:ind w:firstLine="0" w:firstLineChars="0"/>
              <w:jc w:val="center"/>
              <w:rPr>
                <w:sz w:val="21"/>
                <w:szCs w:val="21"/>
              </w:rPr>
            </w:pPr>
            <w:r>
              <w:rPr>
                <w:sz w:val="21"/>
                <w:szCs w:val="21"/>
              </w:rPr>
              <w:t>挖掘</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4</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挖掘机</w:t>
            </w:r>
          </w:p>
        </w:tc>
        <w:tc>
          <w:tcPr>
            <w:tcW w:w="855" w:type="pct"/>
            <w:vAlign w:val="center"/>
          </w:tcPr>
          <w:p>
            <w:pPr>
              <w:spacing w:line="240" w:lineRule="auto"/>
              <w:ind w:firstLine="0" w:firstLineChars="0"/>
              <w:jc w:val="center"/>
              <w:rPr>
                <w:sz w:val="21"/>
                <w:szCs w:val="21"/>
              </w:rPr>
            </w:pPr>
            <w:r>
              <w:rPr>
                <w:sz w:val="21"/>
                <w:szCs w:val="21"/>
              </w:rPr>
              <w:t>CAT329</w:t>
            </w:r>
          </w:p>
        </w:tc>
        <w:tc>
          <w:tcPr>
            <w:tcW w:w="570" w:type="pct"/>
            <w:vAlign w:val="center"/>
          </w:tcPr>
          <w:p>
            <w:pPr>
              <w:spacing w:line="240" w:lineRule="auto"/>
              <w:ind w:firstLine="0" w:firstLineChars="0"/>
              <w:jc w:val="center"/>
              <w:rPr>
                <w:sz w:val="21"/>
                <w:szCs w:val="21"/>
              </w:rPr>
            </w:pPr>
            <w:r>
              <w:rPr>
                <w:sz w:val="21"/>
                <w:szCs w:val="21"/>
              </w:rPr>
              <w:t>1</w:t>
            </w:r>
          </w:p>
        </w:tc>
        <w:tc>
          <w:tcPr>
            <w:tcW w:w="706" w:type="pct"/>
            <w:vAlign w:val="center"/>
          </w:tcPr>
          <w:p>
            <w:pPr>
              <w:spacing w:line="240" w:lineRule="auto"/>
              <w:ind w:firstLine="0" w:firstLineChars="0"/>
              <w:jc w:val="center"/>
              <w:rPr>
                <w:sz w:val="21"/>
                <w:szCs w:val="21"/>
              </w:rPr>
            </w:pPr>
            <w:r>
              <w:rPr>
                <w:sz w:val="21"/>
                <w:szCs w:val="21"/>
              </w:rPr>
              <w:t>挖掘</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5</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挖掘机</w:t>
            </w:r>
          </w:p>
        </w:tc>
        <w:tc>
          <w:tcPr>
            <w:tcW w:w="855" w:type="pct"/>
            <w:vAlign w:val="center"/>
          </w:tcPr>
          <w:p>
            <w:pPr>
              <w:spacing w:line="240" w:lineRule="auto"/>
              <w:ind w:firstLine="0" w:firstLineChars="0"/>
              <w:jc w:val="center"/>
              <w:rPr>
                <w:sz w:val="21"/>
                <w:szCs w:val="21"/>
              </w:rPr>
            </w:pPr>
            <w:r>
              <w:rPr>
                <w:sz w:val="21"/>
                <w:szCs w:val="21"/>
              </w:rPr>
              <w:t>CAT332</w:t>
            </w:r>
          </w:p>
        </w:tc>
        <w:tc>
          <w:tcPr>
            <w:tcW w:w="570" w:type="pct"/>
            <w:vAlign w:val="center"/>
          </w:tcPr>
          <w:p>
            <w:pPr>
              <w:spacing w:line="240" w:lineRule="auto"/>
              <w:ind w:firstLine="0" w:firstLineChars="0"/>
              <w:jc w:val="center"/>
              <w:rPr>
                <w:sz w:val="21"/>
                <w:szCs w:val="21"/>
              </w:rPr>
            </w:pPr>
            <w:r>
              <w:rPr>
                <w:sz w:val="21"/>
                <w:szCs w:val="21"/>
              </w:rPr>
              <w:t>1</w:t>
            </w:r>
          </w:p>
        </w:tc>
        <w:tc>
          <w:tcPr>
            <w:tcW w:w="706" w:type="pct"/>
            <w:vAlign w:val="center"/>
          </w:tcPr>
          <w:p>
            <w:pPr>
              <w:spacing w:line="240" w:lineRule="auto"/>
              <w:ind w:firstLine="0" w:firstLineChars="0"/>
              <w:jc w:val="center"/>
              <w:rPr>
                <w:sz w:val="21"/>
                <w:szCs w:val="21"/>
              </w:rPr>
            </w:pPr>
            <w:r>
              <w:rPr>
                <w:sz w:val="21"/>
                <w:szCs w:val="21"/>
              </w:rPr>
              <w:t>挖掘</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6</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挖掘机</w:t>
            </w:r>
          </w:p>
        </w:tc>
        <w:tc>
          <w:tcPr>
            <w:tcW w:w="855" w:type="pct"/>
            <w:vAlign w:val="center"/>
          </w:tcPr>
          <w:p>
            <w:pPr>
              <w:spacing w:line="240" w:lineRule="auto"/>
              <w:ind w:firstLine="0" w:firstLineChars="0"/>
              <w:jc w:val="center"/>
              <w:rPr>
                <w:sz w:val="21"/>
                <w:szCs w:val="21"/>
              </w:rPr>
            </w:pPr>
            <w:r>
              <w:rPr>
                <w:sz w:val="21"/>
                <w:szCs w:val="21"/>
              </w:rPr>
              <w:t>CAT232</w:t>
            </w:r>
          </w:p>
        </w:tc>
        <w:tc>
          <w:tcPr>
            <w:tcW w:w="570" w:type="pct"/>
            <w:vAlign w:val="center"/>
          </w:tcPr>
          <w:p>
            <w:pPr>
              <w:spacing w:line="240" w:lineRule="auto"/>
              <w:ind w:firstLine="0" w:firstLineChars="0"/>
              <w:jc w:val="center"/>
              <w:rPr>
                <w:sz w:val="21"/>
                <w:szCs w:val="21"/>
              </w:rPr>
            </w:pPr>
            <w:r>
              <w:rPr>
                <w:sz w:val="21"/>
                <w:szCs w:val="21"/>
              </w:rPr>
              <w:t>1</w:t>
            </w:r>
          </w:p>
        </w:tc>
        <w:tc>
          <w:tcPr>
            <w:tcW w:w="706" w:type="pct"/>
            <w:vAlign w:val="center"/>
          </w:tcPr>
          <w:p>
            <w:pPr>
              <w:spacing w:line="240" w:lineRule="auto"/>
              <w:ind w:firstLine="0" w:firstLineChars="0"/>
              <w:jc w:val="center"/>
              <w:rPr>
                <w:sz w:val="21"/>
                <w:szCs w:val="21"/>
              </w:rPr>
            </w:pPr>
            <w:r>
              <w:rPr>
                <w:sz w:val="21"/>
                <w:szCs w:val="21"/>
              </w:rPr>
              <w:t>挖掘</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96" w:type="pct"/>
            <w:vAlign w:val="center"/>
          </w:tcPr>
          <w:p>
            <w:pPr>
              <w:spacing w:line="240" w:lineRule="auto"/>
              <w:ind w:firstLine="0" w:firstLineChars="0"/>
              <w:jc w:val="center"/>
              <w:rPr>
                <w:sz w:val="21"/>
                <w:szCs w:val="21"/>
              </w:rPr>
            </w:pPr>
            <w:r>
              <w:rPr>
                <w:sz w:val="21"/>
                <w:szCs w:val="21"/>
              </w:rPr>
              <w:t>7</w:t>
            </w:r>
          </w:p>
        </w:tc>
        <w:tc>
          <w:tcPr>
            <w:tcW w:w="583" w:type="pct"/>
            <w:vMerge w:val="restart"/>
            <w:vAlign w:val="center"/>
          </w:tcPr>
          <w:p>
            <w:pPr>
              <w:spacing w:line="240" w:lineRule="auto"/>
              <w:ind w:firstLine="0" w:firstLineChars="0"/>
              <w:jc w:val="center"/>
              <w:rPr>
                <w:sz w:val="21"/>
                <w:szCs w:val="21"/>
              </w:rPr>
            </w:pPr>
            <w:r>
              <w:rPr>
                <w:sz w:val="21"/>
                <w:szCs w:val="21"/>
              </w:rPr>
              <w:t>工业场地</w:t>
            </w:r>
          </w:p>
        </w:tc>
        <w:tc>
          <w:tcPr>
            <w:tcW w:w="1069" w:type="pct"/>
            <w:vAlign w:val="center"/>
          </w:tcPr>
          <w:p>
            <w:pPr>
              <w:spacing w:line="240" w:lineRule="auto"/>
              <w:ind w:firstLine="0" w:firstLineChars="0"/>
              <w:jc w:val="center"/>
              <w:rPr>
                <w:sz w:val="21"/>
                <w:szCs w:val="21"/>
              </w:rPr>
            </w:pPr>
            <w:r>
              <w:rPr>
                <w:sz w:val="21"/>
                <w:szCs w:val="21"/>
              </w:rPr>
              <w:t>颚式破碎机</w:t>
            </w:r>
          </w:p>
        </w:tc>
        <w:tc>
          <w:tcPr>
            <w:tcW w:w="855" w:type="pct"/>
            <w:vAlign w:val="center"/>
          </w:tcPr>
          <w:p>
            <w:pPr>
              <w:spacing w:line="240" w:lineRule="auto"/>
              <w:ind w:firstLine="0" w:firstLineChars="0"/>
              <w:jc w:val="center"/>
              <w:rPr>
                <w:sz w:val="21"/>
                <w:szCs w:val="21"/>
              </w:rPr>
            </w:pPr>
            <w:r>
              <w:rPr>
                <w:sz w:val="21"/>
                <w:szCs w:val="21"/>
              </w:rPr>
              <w:t>PE1000*1200</w:t>
            </w:r>
          </w:p>
        </w:tc>
        <w:tc>
          <w:tcPr>
            <w:tcW w:w="570" w:type="pct"/>
            <w:vAlign w:val="center"/>
          </w:tcPr>
          <w:p>
            <w:pPr>
              <w:spacing w:line="240" w:lineRule="auto"/>
              <w:ind w:firstLine="0" w:firstLineChars="0"/>
              <w:jc w:val="center"/>
              <w:rPr>
                <w:sz w:val="21"/>
                <w:szCs w:val="21"/>
              </w:rPr>
            </w:pPr>
            <w:r>
              <w:rPr>
                <w:sz w:val="21"/>
                <w:szCs w:val="21"/>
              </w:rPr>
              <w:t>2</w:t>
            </w:r>
          </w:p>
        </w:tc>
        <w:tc>
          <w:tcPr>
            <w:tcW w:w="706" w:type="pct"/>
            <w:vAlign w:val="center"/>
          </w:tcPr>
          <w:p>
            <w:pPr>
              <w:spacing w:line="240" w:lineRule="auto"/>
              <w:ind w:firstLine="0" w:firstLineChars="0"/>
              <w:jc w:val="center"/>
              <w:rPr>
                <w:sz w:val="21"/>
                <w:szCs w:val="21"/>
              </w:rPr>
            </w:pPr>
            <w:r>
              <w:rPr>
                <w:sz w:val="21"/>
                <w:szCs w:val="21"/>
              </w:rPr>
              <w:t>一级破碎（颚破）</w:t>
            </w:r>
          </w:p>
        </w:tc>
        <w:tc>
          <w:tcPr>
            <w:tcW w:w="821" w:type="pct"/>
            <w:vMerge w:val="restart"/>
            <w:vAlign w:val="center"/>
          </w:tcPr>
          <w:p>
            <w:pPr>
              <w:spacing w:line="240" w:lineRule="auto"/>
              <w:ind w:firstLine="0" w:firstLineChars="0"/>
              <w:jc w:val="center"/>
              <w:rPr>
                <w:sz w:val="21"/>
                <w:szCs w:val="21"/>
              </w:rPr>
            </w:pPr>
            <w:r>
              <w:rPr>
                <w:sz w:val="21"/>
                <w:szCs w:val="21"/>
              </w:rPr>
              <w:t>继续利用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8</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反击式破碎机</w:t>
            </w:r>
          </w:p>
        </w:tc>
        <w:tc>
          <w:tcPr>
            <w:tcW w:w="855" w:type="pct"/>
            <w:vAlign w:val="center"/>
          </w:tcPr>
          <w:p>
            <w:pPr>
              <w:spacing w:line="240" w:lineRule="auto"/>
              <w:ind w:firstLine="0" w:firstLineChars="0"/>
              <w:jc w:val="center"/>
              <w:rPr>
                <w:sz w:val="21"/>
                <w:szCs w:val="21"/>
              </w:rPr>
            </w:pPr>
            <w:r>
              <w:rPr>
                <w:sz w:val="21"/>
                <w:szCs w:val="21"/>
              </w:rPr>
              <w:t>PFY1515</w:t>
            </w:r>
          </w:p>
        </w:tc>
        <w:tc>
          <w:tcPr>
            <w:tcW w:w="570" w:type="pct"/>
            <w:vAlign w:val="center"/>
          </w:tcPr>
          <w:p>
            <w:pPr>
              <w:spacing w:line="240" w:lineRule="auto"/>
              <w:ind w:firstLine="0" w:firstLineChars="0"/>
              <w:jc w:val="center"/>
              <w:rPr>
                <w:sz w:val="21"/>
                <w:szCs w:val="21"/>
              </w:rPr>
            </w:pPr>
            <w:r>
              <w:rPr>
                <w:sz w:val="21"/>
                <w:szCs w:val="21"/>
              </w:rPr>
              <w:t>2</w:t>
            </w:r>
          </w:p>
        </w:tc>
        <w:tc>
          <w:tcPr>
            <w:tcW w:w="706" w:type="pct"/>
            <w:vAlign w:val="center"/>
          </w:tcPr>
          <w:p>
            <w:pPr>
              <w:spacing w:line="240" w:lineRule="auto"/>
              <w:ind w:firstLine="0" w:firstLineChars="0"/>
              <w:jc w:val="center"/>
              <w:rPr>
                <w:sz w:val="21"/>
                <w:szCs w:val="21"/>
              </w:rPr>
            </w:pPr>
            <w:r>
              <w:rPr>
                <w:sz w:val="21"/>
                <w:szCs w:val="21"/>
              </w:rPr>
              <w:t>二级破碎（反击破）</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9</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筛分机</w:t>
            </w:r>
          </w:p>
        </w:tc>
        <w:tc>
          <w:tcPr>
            <w:tcW w:w="855" w:type="pct"/>
            <w:vAlign w:val="center"/>
          </w:tcPr>
          <w:p>
            <w:pPr>
              <w:spacing w:line="240" w:lineRule="auto"/>
              <w:ind w:firstLine="0" w:firstLineChars="0"/>
              <w:jc w:val="center"/>
              <w:rPr>
                <w:sz w:val="21"/>
                <w:szCs w:val="21"/>
              </w:rPr>
            </w:pPr>
            <w:r>
              <w:rPr>
                <w:sz w:val="21"/>
                <w:szCs w:val="21"/>
              </w:rPr>
              <w:t>/</w:t>
            </w:r>
          </w:p>
        </w:tc>
        <w:tc>
          <w:tcPr>
            <w:tcW w:w="570" w:type="pct"/>
            <w:vAlign w:val="center"/>
          </w:tcPr>
          <w:p>
            <w:pPr>
              <w:spacing w:line="240" w:lineRule="auto"/>
              <w:ind w:firstLine="0" w:firstLineChars="0"/>
              <w:jc w:val="center"/>
              <w:rPr>
                <w:sz w:val="21"/>
                <w:szCs w:val="21"/>
              </w:rPr>
            </w:pPr>
            <w:r>
              <w:rPr>
                <w:sz w:val="21"/>
                <w:szCs w:val="21"/>
              </w:rPr>
              <w:t>2</w:t>
            </w:r>
          </w:p>
        </w:tc>
        <w:tc>
          <w:tcPr>
            <w:tcW w:w="706" w:type="pct"/>
            <w:vAlign w:val="center"/>
          </w:tcPr>
          <w:p>
            <w:pPr>
              <w:spacing w:line="240" w:lineRule="auto"/>
              <w:ind w:firstLine="0" w:firstLineChars="0"/>
              <w:jc w:val="center"/>
              <w:rPr>
                <w:sz w:val="21"/>
                <w:szCs w:val="21"/>
              </w:rPr>
            </w:pPr>
            <w:r>
              <w:rPr>
                <w:sz w:val="21"/>
                <w:szCs w:val="21"/>
              </w:rPr>
              <w:t>筛分</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vAlign w:val="center"/>
          </w:tcPr>
          <w:p>
            <w:pPr>
              <w:spacing w:line="240" w:lineRule="auto"/>
              <w:ind w:firstLine="0" w:firstLineChars="0"/>
              <w:jc w:val="center"/>
              <w:rPr>
                <w:sz w:val="21"/>
                <w:szCs w:val="21"/>
              </w:rPr>
            </w:pPr>
            <w:r>
              <w:rPr>
                <w:sz w:val="21"/>
                <w:szCs w:val="21"/>
              </w:rPr>
              <w:t>10</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皮带输送机</w:t>
            </w:r>
          </w:p>
        </w:tc>
        <w:tc>
          <w:tcPr>
            <w:tcW w:w="855" w:type="pct"/>
            <w:vAlign w:val="center"/>
          </w:tcPr>
          <w:p>
            <w:pPr>
              <w:spacing w:line="240" w:lineRule="auto"/>
              <w:ind w:firstLine="0" w:firstLineChars="0"/>
              <w:jc w:val="center"/>
              <w:rPr>
                <w:sz w:val="21"/>
                <w:szCs w:val="21"/>
              </w:rPr>
            </w:pPr>
            <w:r>
              <w:rPr>
                <w:sz w:val="21"/>
                <w:szCs w:val="21"/>
              </w:rPr>
              <w:t>/</w:t>
            </w:r>
          </w:p>
        </w:tc>
        <w:tc>
          <w:tcPr>
            <w:tcW w:w="570" w:type="pct"/>
            <w:vAlign w:val="center"/>
          </w:tcPr>
          <w:p>
            <w:pPr>
              <w:spacing w:line="240" w:lineRule="auto"/>
              <w:ind w:firstLine="0" w:firstLineChars="0"/>
              <w:jc w:val="center"/>
              <w:rPr>
                <w:sz w:val="21"/>
                <w:szCs w:val="21"/>
              </w:rPr>
            </w:pPr>
            <w:r>
              <w:rPr>
                <w:sz w:val="21"/>
                <w:szCs w:val="21"/>
              </w:rPr>
              <w:t>2</w:t>
            </w:r>
          </w:p>
        </w:tc>
        <w:tc>
          <w:tcPr>
            <w:tcW w:w="706" w:type="pct"/>
            <w:vAlign w:val="center"/>
          </w:tcPr>
          <w:p>
            <w:pPr>
              <w:spacing w:line="240" w:lineRule="auto"/>
              <w:ind w:firstLine="0" w:firstLineChars="0"/>
              <w:jc w:val="center"/>
              <w:rPr>
                <w:sz w:val="21"/>
                <w:szCs w:val="21"/>
              </w:rPr>
            </w:pPr>
            <w:r>
              <w:rPr>
                <w:sz w:val="21"/>
                <w:szCs w:val="21"/>
              </w:rPr>
              <w:t>传输</w:t>
            </w:r>
          </w:p>
        </w:tc>
        <w:tc>
          <w:tcPr>
            <w:tcW w:w="821"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96" w:type="pct"/>
            <w:vAlign w:val="center"/>
          </w:tcPr>
          <w:p>
            <w:pPr>
              <w:spacing w:line="240" w:lineRule="auto"/>
              <w:ind w:firstLine="0" w:firstLineChars="0"/>
              <w:jc w:val="center"/>
              <w:rPr>
                <w:sz w:val="21"/>
                <w:szCs w:val="21"/>
              </w:rPr>
            </w:pPr>
            <w:r>
              <w:rPr>
                <w:sz w:val="21"/>
                <w:szCs w:val="21"/>
              </w:rPr>
              <w:t>11</w:t>
            </w:r>
          </w:p>
        </w:tc>
        <w:tc>
          <w:tcPr>
            <w:tcW w:w="583" w:type="pct"/>
            <w:vMerge w:val="continue"/>
            <w:vAlign w:val="center"/>
          </w:tcPr>
          <w:p>
            <w:pPr>
              <w:spacing w:line="240" w:lineRule="auto"/>
              <w:ind w:firstLine="0" w:firstLineChars="0"/>
              <w:jc w:val="center"/>
              <w:rPr>
                <w:sz w:val="21"/>
                <w:szCs w:val="21"/>
              </w:rPr>
            </w:pPr>
          </w:p>
        </w:tc>
        <w:tc>
          <w:tcPr>
            <w:tcW w:w="1069" w:type="pct"/>
            <w:vAlign w:val="center"/>
          </w:tcPr>
          <w:p>
            <w:pPr>
              <w:spacing w:line="240" w:lineRule="auto"/>
              <w:ind w:firstLine="0" w:firstLineChars="0"/>
              <w:jc w:val="center"/>
              <w:rPr>
                <w:sz w:val="21"/>
                <w:szCs w:val="21"/>
              </w:rPr>
            </w:pPr>
            <w:r>
              <w:rPr>
                <w:sz w:val="21"/>
                <w:szCs w:val="21"/>
              </w:rPr>
              <w:t>布袋除尘器</w:t>
            </w:r>
          </w:p>
        </w:tc>
        <w:tc>
          <w:tcPr>
            <w:tcW w:w="855" w:type="pct"/>
            <w:vAlign w:val="center"/>
          </w:tcPr>
          <w:p>
            <w:pPr>
              <w:spacing w:line="240" w:lineRule="auto"/>
              <w:ind w:firstLine="0" w:firstLineChars="0"/>
              <w:jc w:val="center"/>
              <w:rPr>
                <w:sz w:val="21"/>
                <w:szCs w:val="21"/>
              </w:rPr>
            </w:pPr>
            <w:r>
              <w:rPr>
                <w:sz w:val="21"/>
                <w:szCs w:val="21"/>
              </w:rPr>
              <w:t>/</w:t>
            </w:r>
          </w:p>
        </w:tc>
        <w:tc>
          <w:tcPr>
            <w:tcW w:w="570" w:type="pct"/>
            <w:vAlign w:val="center"/>
          </w:tcPr>
          <w:p>
            <w:pPr>
              <w:spacing w:line="240" w:lineRule="auto"/>
              <w:ind w:firstLine="0" w:firstLineChars="0"/>
              <w:jc w:val="center"/>
              <w:rPr>
                <w:sz w:val="21"/>
                <w:szCs w:val="21"/>
              </w:rPr>
            </w:pPr>
            <w:r>
              <w:rPr>
                <w:sz w:val="21"/>
                <w:szCs w:val="21"/>
              </w:rPr>
              <w:t>3</w:t>
            </w:r>
          </w:p>
        </w:tc>
        <w:tc>
          <w:tcPr>
            <w:tcW w:w="706" w:type="pct"/>
            <w:vAlign w:val="center"/>
          </w:tcPr>
          <w:p>
            <w:pPr>
              <w:spacing w:line="240" w:lineRule="auto"/>
              <w:ind w:firstLine="0" w:firstLineChars="0"/>
              <w:jc w:val="center"/>
              <w:rPr>
                <w:sz w:val="21"/>
                <w:szCs w:val="21"/>
              </w:rPr>
            </w:pPr>
            <w:r>
              <w:rPr>
                <w:sz w:val="21"/>
                <w:szCs w:val="21"/>
              </w:rPr>
              <w:t>过滤除尘</w:t>
            </w:r>
          </w:p>
        </w:tc>
        <w:tc>
          <w:tcPr>
            <w:tcW w:w="821" w:type="pct"/>
            <w:vMerge w:val="continue"/>
            <w:vAlign w:val="center"/>
          </w:tcPr>
          <w:p>
            <w:pPr>
              <w:spacing w:line="240" w:lineRule="auto"/>
              <w:ind w:firstLine="0" w:firstLineChars="0"/>
              <w:jc w:val="center"/>
              <w:rPr>
                <w:sz w:val="21"/>
                <w:szCs w:val="21"/>
              </w:rPr>
            </w:pPr>
          </w:p>
        </w:tc>
      </w:tr>
    </w:tbl>
    <w:p>
      <w:pPr>
        <w:pStyle w:val="5"/>
        <w:rPr>
          <w:color w:val="auto"/>
        </w:rPr>
      </w:pPr>
      <w:r>
        <w:rPr>
          <w:color w:val="auto"/>
        </w:rPr>
        <w:t>2.3.4排污统计及达标分析</w:t>
      </w:r>
    </w:p>
    <w:p>
      <w:pPr>
        <w:spacing w:line="360" w:lineRule="auto"/>
        <w:ind w:firstLine="480"/>
        <w:jc w:val="both"/>
        <w:rPr>
          <w:kern w:val="0"/>
          <w:sz w:val="24"/>
          <w:szCs w:val="24"/>
        </w:rPr>
      </w:pPr>
      <w:r>
        <w:rPr>
          <w:sz w:val="24"/>
          <w:szCs w:val="24"/>
        </w:rPr>
        <w:t>本评价根据《重庆市盐井三峡矿业有限公司茶园村采石场70万吨扩建项目环境影响报告书》，对现有项目排污情况进行调查，利用验收调查报告进行达标分析。</w:t>
      </w:r>
    </w:p>
    <w:p>
      <w:pPr>
        <w:autoSpaceDE w:val="0"/>
        <w:autoSpaceDN w:val="0"/>
        <w:spacing w:line="360" w:lineRule="auto"/>
        <w:ind w:firstLine="480"/>
        <w:jc w:val="both"/>
        <w:outlineLvl w:val="3"/>
        <w:rPr>
          <w:kern w:val="0"/>
          <w:sz w:val="24"/>
          <w:szCs w:val="24"/>
        </w:rPr>
      </w:pPr>
      <w:r>
        <w:rPr>
          <w:kern w:val="0"/>
          <w:sz w:val="24"/>
          <w:szCs w:val="24"/>
        </w:rPr>
        <w:t>（1）废气</w:t>
      </w:r>
    </w:p>
    <w:p>
      <w:pPr>
        <w:spacing w:line="360" w:lineRule="auto"/>
        <w:ind w:firstLine="480"/>
        <w:jc w:val="both"/>
        <w:rPr>
          <w:kern w:val="0"/>
          <w:sz w:val="24"/>
          <w:szCs w:val="24"/>
        </w:rPr>
      </w:pPr>
      <w:r>
        <w:rPr>
          <w:rFonts w:hint="eastAsia" w:ascii="宋体" w:hAnsi="宋体" w:cs="宋体"/>
          <w:kern w:val="0"/>
          <w:sz w:val="24"/>
          <w:szCs w:val="24"/>
        </w:rPr>
        <w:t>①</w:t>
      </w:r>
      <w:r>
        <w:rPr>
          <w:kern w:val="0"/>
          <w:sz w:val="24"/>
          <w:szCs w:val="24"/>
        </w:rPr>
        <w:t>污染物统计</w:t>
      </w:r>
    </w:p>
    <w:p>
      <w:pPr>
        <w:pStyle w:val="84"/>
      </w:pPr>
      <w:r>
        <w:t>表2.3-5  现有项目粉尘排放量统计表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092"/>
        <w:gridCol w:w="1742"/>
        <w:gridCol w:w="2470"/>
        <w:gridCol w:w="1573"/>
        <w:gridCol w:w="1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27"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58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排放方式</w:t>
            </w:r>
          </w:p>
        </w:tc>
        <w:tc>
          <w:tcPr>
            <w:tcW w:w="93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产尘环节</w:t>
            </w:r>
          </w:p>
        </w:tc>
        <w:tc>
          <w:tcPr>
            <w:tcW w:w="133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已采措施</w:t>
            </w:r>
          </w:p>
        </w:tc>
        <w:tc>
          <w:tcPr>
            <w:tcW w:w="847"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排放量（t/a）</w:t>
            </w:r>
          </w:p>
        </w:tc>
        <w:tc>
          <w:tcPr>
            <w:tcW w:w="87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1</w:t>
            </w:r>
          </w:p>
        </w:tc>
        <w:tc>
          <w:tcPr>
            <w:tcW w:w="588" w:type="pct"/>
            <w:vMerge w:val="restart"/>
            <w:shd w:val="clear" w:color="auto" w:fill="auto"/>
            <w:vAlign w:val="center"/>
          </w:tcPr>
          <w:p>
            <w:pPr>
              <w:spacing w:line="240" w:lineRule="auto"/>
              <w:ind w:firstLine="0" w:firstLineChars="0"/>
              <w:jc w:val="center"/>
              <w:rPr>
                <w:sz w:val="21"/>
                <w:szCs w:val="21"/>
              </w:rPr>
            </w:pPr>
            <w:r>
              <w:rPr>
                <w:sz w:val="21"/>
                <w:szCs w:val="21"/>
              </w:rPr>
              <w:t>无组织排放</w:t>
            </w:r>
          </w:p>
        </w:tc>
        <w:tc>
          <w:tcPr>
            <w:tcW w:w="938" w:type="pct"/>
            <w:shd w:val="clear" w:color="auto" w:fill="auto"/>
            <w:vAlign w:val="center"/>
          </w:tcPr>
          <w:p>
            <w:pPr>
              <w:spacing w:line="240" w:lineRule="auto"/>
              <w:ind w:firstLine="0" w:firstLineChars="0"/>
              <w:jc w:val="center"/>
              <w:rPr>
                <w:sz w:val="21"/>
                <w:szCs w:val="21"/>
              </w:rPr>
            </w:pPr>
            <w:r>
              <w:rPr>
                <w:sz w:val="21"/>
                <w:szCs w:val="21"/>
              </w:rPr>
              <w:t>覆盖层剥离扬尘</w:t>
            </w:r>
          </w:p>
        </w:tc>
        <w:tc>
          <w:tcPr>
            <w:tcW w:w="1330" w:type="pct"/>
            <w:shd w:val="clear" w:color="auto" w:fill="auto"/>
            <w:vAlign w:val="center"/>
          </w:tcPr>
          <w:p>
            <w:pPr>
              <w:spacing w:line="240" w:lineRule="auto"/>
              <w:ind w:firstLine="0" w:firstLineChars="0"/>
              <w:jc w:val="center"/>
              <w:rPr>
                <w:sz w:val="21"/>
                <w:szCs w:val="21"/>
              </w:rPr>
            </w:pPr>
            <w:r>
              <w:rPr>
                <w:sz w:val="21"/>
                <w:szCs w:val="21"/>
              </w:rPr>
              <w:t>洒水抑尘</w:t>
            </w:r>
          </w:p>
        </w:tc>
        <w:tc>
          <w:tcPr>
            <w:tcW w:w="847" w:type="pct"/>
            <w:shd w:val="clear" w:color="auto" w:fill="auto"/>
            <w:vAlign w:val="center"/>
          </w:tcPr>
          <w:p>
            <w:pPr>
              <w:spacing w:line="240" w:lineRule="auto"/>
              <w:ind w:firstLine="0" w:firstLineChars="0"/>
              <w:jc w:val="center"/>
              <w:rPr>
                <w:sz w:val="21"/>
                <w:szCs w:val="21"/>
              </w:rPr>
            </w:pPr>
            <w:r>
              <w:rPr>
                <w:sz w:val="21"/>
                <w:szCs w:val="21"/>
              </w:rPr>
              <w:t>0.102</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除尘效率60%以上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2</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钻孔扬尘</w:t>
            </w:r>
          </w:p>
        </w:tc>
        <w:tc>
          <w:tcPr>
            <w:tcW w:w="1330" w:type="pct"/>
            <w:shd w:val="clear" w:color="auto" w:fill="auto"/>
            <w:vAlign w:val="center"/>
          </w:tcPr>
          <w:p>
            <w:pPr>
              <w:spacing w:line="240" w:lineRule="auto"/>
              <w:ind w:firstLine="0" w:firstLineChars="0"/>
              <w:jc w:val="center"/>
              <w:rPr>
                <w:sz w:val="21"/>
                <w:szCs w:val="21"/>
              </w:rPr>
            </w:pPr>
            <w:r>
              <w:rPr>
                <w:sz w:val="21"/>
                <w:szCs w:val="21"/>
              </w:rPr>
              <w:t>湿式作业</w:t>
            </w:r>
          </w:p>
        </w:tc>
        <w:tc>
          <w:tcPr>
            <w:tcW w:w="847" w:type="pct"/>
            <w:shd w:val="clear" w:color="auto" w:fill="auto"/>
            <w:vAlign w:val="center"/>
          </w:tcPr>
          <w:p>
            <w:pPr>
              <w:spacing w:line="240" w:lineRule="auto"/>
              <w:ind w:firstLine="0" w:firstLineChars="0"/>
              <w:jc w:val="center"/>
              <w:rPr>
                <w:sz w:val="21"/>
                <w:szCs w:val="21"/>
              </w:rPr>
            </w:pPr>
            <w:r>
              <w:rPr>
                <w:sz w:val="21"/>
                <w:szCs w:val="21"/>
              </w:rPr>
              <w:t>0.280</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3</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爆破扬尘</w:t>
            </w:r>
          </w:p>
        </w:tc>
        <w:tc>
          <w:tcPr>
            <w:tcW w:w="1330" w:type="pct"/>
            <w:shd w:val="clear" w:color="auto" w:fill="auto"/>
            <w:vAlign w:val="center"/>
          </w:tcPr>
          <w:p>
            <w:pPr>
              <w:spacing w:line="240" w:lineRule="auto"/>
              <w:ind w:firstLine="0" w:firstLineChars="0"/>
              <w:jc w:val="center"/>
              <w:rPr>
                <w:sz w:val="21"/>
                <w:szCs w:val="21"/>
              </w:rPr>
            </w:pPr>
            <w:r>
              <w:rPr>
                <w:sz w:val="21"/>
                <w:szCs w:val="21"/>
              </w:rPr>
              <w:t>水抑尘、棕垫覆盖</w:t>
            </w:r>
          </w:p>
        </w:tc>
        <w:tc>
          <w:tcPr>
            <w:tcW w:w="847" w:type="pct"/>
            <w:shd w:val="clear" w:color="auto" w:fill="auto"/>
            <w:vAlign w:val="center"/>
          </w:tcPr>
          <w:p>
            <w:pPr>
              <w:spacing w:line="240" w:lineRule="auto"/>
              <w:ind w:firstLine="0" w:firstLineChars="0"/>
              <w:jc w:val="center"/>
              <w:rPr>
                <w:sz w:val="21"/>
                <w:szCs w:val="21"/>
              </w:rPr>
            </w:pPr>
            <w:r>
              <w:rPr>
                <w:sz w:val="21"/>
                <w:szCs w:val="21"/>
              </w:rPr>
              <w:t>/</w:t>
            </w:r>
          </w:p>
        </w:tc>
        <w:tc>
          <w:tcPr>
            <w:tcW w:w="870" w:type="pct"/>
            <w:shd w:val="clear" w:color="auto" w:fill="auto"/>
            <w:vAlign w:val="center"/>
          </w:tcPr>
          <w:p>
            <w:pPr>
              <w:spacing w:line="240" w:lineRule="auto"/>
              <w:ind w:firstLine="0" w:firstLineChars="0"/>
              <w:jc w:val="center"/>
              <w:rPr>
                <w:sz w:val="21"/>
                <w:szCs w:val="21"/>
              </w:rPr>
            </w:pPr>
            <w:r>
              <w:rPr>
                <w:sz w:val="21"/>
                <w:szCs w:val="21"/>
              </w:rPr>
              <w:t>产生量小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4</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装卸扬尘</w:t>
            </w:r>
          </w:p>
        </w:tc>
        <w:tc>
          <w:tcPr>
            <w:tcW w:w="1330" w:type="pct"/>
            <w:shd w:val="clear" w:color="auto" w:fill="auto"/>
            <w:vAlign w:val="center"/>
          </w:tcPr>
          <w:p>
            <w:pPr>
              <w:spacing w:line="240" w:lineRule="auto"/>
              <w:ind w:firstLine="0" w:firstLineChars="0"/>
              <w:jc w:val="center"/>
              <w:rPr>
                <w:sz w:val="21"/>
                <w:szCs w:val="21"/>
              </w:rPr>
            </w:pPr>
            <w:r>
              <w:rPr>
                <w:sz w:val="21"/>
                <w:szCs w:val="21"/>
              </w:rPr>
              <w:t>洒水抑尘</w:t>
            </w:r>
          </w:p>
        </w:tc>
        <w:tc>
          <w:tcPr>
            <w:tcW w:w="847" w:type="pct"/>
            <w:shd w:val="clear" w:color="auto" w:fill="auto"/>
            <w:vAlign w:val="center"/>
          </w:tcPr>
          <w:p>
            <w:pPr>
              <w:spacing w:line="240" w:lineRule="auto"/>
              <w:ind w:firstLine="0" w:firstLineChars="0"/>
              <w:jc w:val="center"/>
              <w:rPr>
                <w:sz w:val="21"/>
                <w:szCs w:val="21"/>
              </w:rPr>
            </w:pPr>
            <w:r>
              <w:rPr>
                <w:sz w:val="21"/>
                <w:szCs w:val="21"/>
              </w:rPr>
              <w:t>0.666</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5</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风力扬尘</w:t>
            </w:r>
          </w:p>
        </w:tc>
        <w:tc>
          <w:tcPr>
            <w:tcW w:w="1330" w:type="pct"/>
            <w:shd w:val="clear" w:color="auto" w:fill="auto"/>
            <w:vAlign w:val="center"/>
          </w:tcPr>
          <w:p>
            <w:pPr>
              <w:spacing w:line="240" w:lineRule="auto"/>
              <w:ind w:firstLine="0" w:firstLineChars="0"/>
              <w:jc w:val="center"/>
              <w:rPr>
                <w:sz w:val="21"/>
                <w:szCs w:val="21"/>
              </w:rPr>
            </w:pPr>
            <w:r>
              <w:rPr>
                <w:sz w:val="21"/>
                <w:szCs w:val="21"/>
              </w:rPr>
              <w:t>边采边复垦、洒水抑尘</w:t>
            </w:r>
          </w:p>
        </w:tc>
        <w:tc>
          <w:tcPr>
            <w:tcW w:w="847" w:type="pct"/>
            <w:shd w:val="clear" w:color="auto" w:fill="auto"/>
            <w:vAlign w:val="center"/>
          </w:tcPr>
          <w:p>
            <w:pPr>
              <w:spacing w:line="240" w:lineRule="auto"/>
              <w:ind w:firstLine="0" w:firstLineChars="0"/>
              <w:jc w:val="center"/>
              <w:rPr>
                <w:sz w:val="21"/>
                <w:szCs w:val="21"/>
              </w:rPr>
            </w:pPr>
            <w:r>
              <w:rPr>
                <w:sz w:val="21"/>
                <w:szCs w:val="21"/>
              </w:rPr>
              <w:t>1.400</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6</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运输扬尘</w:t>
            </w:r>
          </w:p>
        </w:tc>
        <w:tc>
          <w:tcPr>
            <w:tcW w:w="1330" w:type="pct"/>
            <w:shd w:val="clear" w:color="auto" w:fill="auto"/>
            <w:vAlign w:val="center"/>
          </w:tcPr>
          <w:p>
            <w:pPr>
              <w:spacing w:line="240" w:lineRule="auto"/>
              <w:ind w:firstLine="0" w:firstLineChars="0"/>
              <w:jc w:val="center"/>
              <w:rPr>
                <w:sz w:val="21"/>
                <w:szCs w:val="21"/>
              </w:rPr>
            </w:pPr>
            <w:r>
              <w:rPr>
                <w:sz w:val="21"/>
                <w:szCs w:val="21"/>
              </w:rPr>
              <w:t>洒水抑尘</w:t>
            </w:r>
          </w:p>
        </w:tc>
        <w:tc>
          <w:tcPr>
            <w:tcW w:w="847" w:type="pct"/>
            <w:shd w:val="clear" w:color="auto" w:fill="auto"/>
            <w:vAlign w:val="center"/>
          </w:tcPr>
          <w:p>
            <w:pPr>
              <w:spacing w:line="240" w:lineRule="auto"/>
              <w:ind w:firstLine="0" w:firstLineChars="0"/>
              <w:jc w:val="center"/>
              <w:rPr>
                <w:sz w:val="21"/>
                <w:szCs w:val="21"/>
              </w:rPr>
            </w:pPr>
            <w:r>
              <w:rPr>
                <w:sz w:val="21"/>
                <w:szCs w:val="21"/>
              </w:rPr>
              <w:t>0.625</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7</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转运粉尘</w:t>
            </w:r>
          </w:p>
        </w:tc>
        <w:tc>
          <w:tcPr>
            <w:tcW w:w="1330" w:type="pct"/>
            <w:shd w:val="clear" w:color="auto" w:fill="auto"/>
            <w:vAlign w:val="center"/>
          </w:tcPr>
          <w:p>
            <w:pPr>
              <w:spacing w:line="240" w:lineRule="auto"/>
              <w:ind w:firstLine="0" w:firstLineChars="0"/>
              <w:jc w:val="center"/>
              <w:rPr>
                <w:sz w:val="21"/>
                <w:szCs w:val="21"/>
              </w:rPr>
            </w:pPr>
            <w:r>
              <w:rPr>
                <w:sz w:val="21"/>
                <w:szCs w:val="21"/>
              </w:rPr>
              <w:t>密闭式</w:t>
            </w:r>
          </w:p>
        </w:tc>
        <w:tc>
          <w:tcPr>
            <w:tcW w:w="847" w:type="pct"/>
            <w:shd w:val="clear" w:color="auto" w:fill="auto"/>
            <w:vAlign w:val="center"/>
          </w:tcPr>
          <w:p>
            <w:pPr>
              <w:spacing w:line="240" w:lineRule="auto"/>
              <w:ind w:firstLine="0" w:firstLineChars="0"/>
              <w:jc w:val="center"/>
              <w:rPr>
                <w:sz w:val="21"/>
                <w:szCs w:val="21"/>
              </w:rPr>
            </w:pPr>
            <w:r>
              <w:rPr>
                <w:sz w:val="21"/>
                <w:szCs w:val="21"/>
              </w:rPr>
              <w:t>/</w:t>
            </w:r>
          </w:p>
        </w:tc>
        <w:tc>
          <w:tcPr>
            <w:tcW w:w="870" w:type="pct"/>
            <w:shd w:val="clear" w:color="auto" w:fill="auto"/>
            <w:vAlign w:val="center"/>
          </w:tcPr>
          <w:p>
            <w:pPr>
              <w:spacing w:line="240" w:lineRule="auto"/>
              <w:ind w:firstLine="0" w:firstLineChars="0"/>
              <w:jc w:val="center"/>
              <w:rPr>
                <w:sz w:val="21"/>
                <w:szCs w:val="21"/>
              </w:rPr>
            </w:pPr>
            <w:r>
              <w:rPr>
                <w:sz w:val="21"/>
                <w:szCs w:val="21"/>
              </w:rPr>
              <w:t>产生量小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卸载平台扬尘</w:t>
            </w:r>
          </w:p>
        </w:tc>
        <w:tc>
          <w:tcPr>
            <w:tcW w:w="1330" w:type="pct"/>
            <w:shd w:val="clear" w:color="auto" w:fill="auto"/>
            <w:vAlign w:val="center"/>
          </w:tcPr>
          <w:p>
            <w:pPr>
              <w:spacing w:line="240" w:lineRule="auto"/>
              <w:ind w:firstLine="0" w:firstLineChars="0"/>
              <w:jc w:val="center"/>
              <w:rPr>
                <w:sz w:val="21"/>
                <w:szCs w:val="21"/>
              </w:rPr>
            </w:pPr>
            <w:r>
              <w:rPr>
                <w:bCs/>
                <w:sz w:val="21"/>
                <w:szCs w:val="21"/>
              </w:rPr>
              <w:t>用彩钢板三面封闭，顶上加盖，顶棚上设置喷雾式洒水装置等措施</w:t>
            </w:r>
          </w:p>
        </w:tc>
        <w:tc>
          <w:tcPr>
            <w:tcW w:w="847" w:type="pct"/>
            <w:shd w:val="clear" w:color="auto" w:fill="auto"/>
            <w:vAlign w:val="center"/>
          </w:tcPr>
          <w:p>
            <w:pPr>
              <w:spacing w:line="240" w:lineRule="auto"/>
              <w:ind w:firstLine="0" w:firstLineChars="0"/>
              <w:jc w:val="center"/>
              <w:rPr>
                <w:sz w:val="21"/>
                <w:szCs w:val="21"/>
              </w:rPr>
            </w:pPr>
            <w:r>
              <w:rPr>
                <w:sz w:val="21"/>
                <w:szCs w:val="21"/>
              </w:rPr>
              <w:t>/</w:t>
            </w:r>
          </w:p>
        </w:tc>
        <w:tc>
          <w:tcPr>
            <w:tcW w:w="870" w:type="pct"/>
            <w:shd w:val="clear" w:color="auto" w:fill="auto"/>
            <w:vAlign w:val="center"/>
          </w:tcPr>
          <w:p>
            <w:pPr>
              <w:spacing w:line="240" w:lineRule="auto"/>
              <w:ind w:firstLine="0" w:firstLineChars="0"/>
              <w:jc w:val="center"/>
              <w:rPr>
                <w:sz w:val="21"/>
                <w:szCs w:val="21"/>
              </w:rPr>
            </w:pPr>
            <w:r>
              <w:rPr>
                <w:sz w:val="21"/>
                <w:szCs w:val="21"/>
              </w:rPr>
              <w:t>产生量小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8</w:t>
            </w:r>
          </w:p>
        </w:tc>
        <w:tc>
          <w:tcPr>
            <w:tcW w:w="588" w:type="pct"/>
            <w:vMerge w:val="continue"/>
            <w:shd w:val="clear" w:color="auto" w:fill="auto"/>
            <w:vAlign w:val="center"/>
          </w:tcPr>
          <w:p>
            <w:pPr>
              <w:spacing w:line="240" w:lineRule="auto"/>
              <w:ind w:firstLine="0" w:firstLineChars="0"/>
              <w:jc w:val="center"/>
              <w:rPr>
                <w:sz w:val="21"/>
                <w:szCs w:val="21"/>
              </w:rPr>
            </w:pPr>
          </w:p>
        </w:tc>
        <w:tc>
          <w:tcPr>
            <w:tcW w:w="938" w:type="pct"/>
            <w:shd w:val="clear" w:color="auto" w:fill="auto"/>
            <w:vAlign w:val="center"/>
          </w:tcPr>
          <w:p>
            <w:pPr>
              <w:spacing w:line="240" w:lineRule="auto"/>
              <w:ind w:firstLine="0" w:firstLineChars="0"/>
              <w:jc w:val="center"/>
              <w:rPr>
                <w:sz w:val="21"/>
                <w:szCs w:val="21"/>
              </w:rPr>
            </w:pPr>
            <w:r>
              <w:rPr>
                <w:sz w:val="21"/>
                <w:szCs w:val="21"/>
              </w:rPr>
              <w:t>产品堆场扬尘</w:t>
            </w:r>
          </w:p>
        </w:tc>
        <w:tc>
          <w:tcPr>
            <w:tcW w:w="1330" w:type="pct"/>
            <w:shd w:val="clear" w:color="auto" w:fill="auto"/>
            <w:vAlign w:val="center"/>
          </w:tcPr>
          <w:p>
            <w:pPr>
              <w:spacing w:line="240" w:lineRule="auto"/>
              <w:ind w:firstLine="0" w:firstLineChars="0"/>
              <w:jc w:val="center"/>
              <w:rPr>
                <w:sz w:val="21"/>
                <w:szCs w:val="21"/>
              </w:rPr>
            </w:pPr>
            <w:r>
              <w:rPr>
                <w:sz w:val="21"/>
                <w:szCs w:val="21"/>
              </w:rPr>
              <w:t>设置围挡、雨棚、喷淋设施</w:t>
            </w:r>
          </w:p>
        </w:tc>
        <w:tc>
          <w:tcPr>
            <w:tcW w:w="847" w:type="pct"/>
            <w:shd w:val="clear" w:color="auto" w:fill="auto"/>
            <w:vAlign w:val="center"/>
          </w:tcPr>
          <w:p>
            <w:pPr>
              <w:spacing w:line="240" w:lineRule="auto"/>
              <w:ind w:firstLine="0" w:firstLineChars="0"/>
              <w:jc w:val="center"/>
              <w:rPr>
                <w:sz w:val="21"/>
                <w:szCs w:val="21"/>
              </w:rPr>
            </w:pPr>
            <w:r>
              <w:rPr>
                <w:sz w:val="21"/>
                <w:szCs w:val="21"/>
              </w:rPr>
              <w:t>0.597</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3" w:type="pct"/>
            <w:gridSpan w:val="4"/>
            <w:vAlign w:val="center"/>
          </w:tcPr>
          <w:p>
            <w:pPr>
              <w:spacing w:line="240" w:lineRule="auto"/>
              <w:ind w:firstLine="0" w:firstLineChars="0"/>
              <w:jc w:val="center"/>
              <w:rPr>
                <w:sz w:val="21"/>
                <w:szCs w:val="21"/>
              </w:rPr>
            </w:pPr>
            <w:r>
              <w:rPr>
                <w:sz w:val="21"/>
                <w:szCs w:val="21"/>
              </w:rPr>
              <w:t>小计</w:t>
            </w:r>
          </w:p>
        </w:tc>
        <w:tc>
          <w:tcPr>
            <w:tcW w:w="847" w:type="pct"/>
            <w:shd w:val="clear" w:color="auto" w:fill="auto"/>
            <w:vAlign w:val="center"/>
          </w:tcPr>
          <w:p>
            <w:pPr>
              <w:spacing w:line="240" w:lineRule="auto"/>
              <w:ind w:firstLine="0" w:firstLineChars="0"/>
              <w:jc w:val="center"/>
              <w:rPr>
                <w:sz w:val="21"/>
                <w:szCs w:val="21"/>
              </w:rPr>
            </w:pPr>
            <w:r>
              <w:rPr>
                <w:sz w:val="21"/>
                <w:szCs w:val="21"/>
              </w:rPr>
              <w:t>3.670</w:t>
            </w:r>
          </w:p>
        </w:tc>
        <w:tc>
          <w:tcPr>
            <w:tcW w:w="870" w:type="pct"/>
            <w:shd w:val="clear" w:color="auto" w:fill="auto"/>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Align w:val="center"/>
          </w:tcPr>
          <w:p>
            <w:pPr>
              <w:spacing w:line="240" w:lineRule="auto"/>
              <w:ind w:firstLine="0" w:firstLineChars="0"/>
              <w:jc w:val="center"/>
              <w:rPr>
                <w:sz w:val="21"/>
                <w:szCs w:val="21"/>
              </w:rPr>
            </w:pPr>
            <w:r>
              <w:rPr>
                <w:sz w:val="21"/>
                <w:szCs w:val="21"/>
              </w:rPr>
              <w:t>9</w:t>
            </w:r>
          </w:p>
        </w:tc>
        <w:tc>
          <w:tcPr>
            <w:tcW w:w="588" w:type="pct"/>
            <w:shd w:val="clear" w:color="auto" w:fill="auto"/>
            <w:vAlign w:val="center"/>
          </w:tcPr>
          <w:p>
            <w:pPr>
              <w:spacing w:line="240" w:lineRule="auto"/>
              <w:ind w:firstLine="0" w:firstLineChars="0"/>
              <w:jc w:val="center"/>
              <w:rPr>
                <w:sz w:val="21"/>
                <w:szCs w:val="21"/>
              </w:rPr>
            </w:pPr>
            <w:r>
              <w:rPr>
                <w:sz w:val="21"/>
                <w:szCs w:val="21"/>
              </w:rPr>
              <w:t>有组织排放</w:t>
            </w:r>
          </w:p>
        </w:tc>
        <w:tc>
          <w:tcPr>
            <w:tcW w:w="938" w:type="pct"/>
            <w:shd w:val="clear" w:color="auto" w:fill="auto"/>
            <w:vAlign w:val="center"/>
          </w:tcPr>
          <w:p>
            <w:pPr>
              <w:spacing w:line="240" w:lineRule="auto"/>
              <w:ind w:firstLine="0" w:firstLineChars="0"/>
              <w:jc w:val="center"/>
              <w:rPr>
                <w:sz w:val="21"/>
                <w:szCs w:val="21"/>
              </w:rPr>
            </w:pPr>
            <w:r>
              <w:rPr>
                <w:sz w:val="21"/>
                <w:szCs w:val="21"/>
              </w:rPr>
              <w:t>破碎、筛分、二次破碎扬尘</w:t>
            </w:r>
          </w:p>
        </w:tc>
        <w:tc>
          <w:tcPr>
            <w:tcW w:w="1330" w:type="pct"/>
            <w:shd w:val="clear" w:color="auto" w:fill="auto"/>
            <w:vAlign w:val="center"/>
          </w:tcPr>
          <w:p>
            <w:pPr>
              <w:spacing w:line="240" w:lineRule="auto"/>
              <w:ind w:firstLine="0" w:firstLineChars="0"/>
              <w:jc w:val="center"/>
              <w:rPr>
                <w:sz w:val="21"/>
                <w:szCs w:val="21"/>
              </w:rPr>
            </w:pPr>
            <w:r>
              <w:rPr>
                <w:sz w:val="21"/>
                <w:szCs w:val="21"/>
              </w:rPr>
              <w:t>彩钢棚封闭、布袋除尘器、喷淋洒水装置、15m排气筒</w:t>
            </w:r>
          </w:p>
        </w:tc>
        <w:tc>
          <w:tcPr>
            <w:tcW w:w="847" w:type="pct"/>
            <w:shd w:val="clear" w:color="auto" w:fill="auto"/>
            <w:vAlign w:val="center"/>
          </w:tcPr>
          <w:p>
            <w:pPr>
              <w:spacing w:line="240" w:lineRule="auto"/>
              <w:ind w:firstLine="0" w:firstLineChars="0"/>
              <w:jc w:val="center"/>
              <w:rPr>
                <w:sz w:val="21"/>
                <w:szCs w:val="21"/>
              </w:rPr>
            </w:pPr>
            <w:r>
              <w:rPr>
                <w:sz w:val="21"/>
                <w:szCs w:val="21"/>
              </w:rPr>
              <w:t>1.014</w:t>
            </w:r>
          </w:p>
        </w:tc>
        <w:tc>
          <w:tcPr>
            <w:tcW w:w="870" w:type="pct"/>
            <w:shd w:val="clear" w:color="auto" w:fill="auto"/>
            <w:vAlign w:val="center"/>
          </w:tcPr>
          <w:p>
            <w:pPr>
              <w:spacing w:line="240" w:lineRule="auto"/>
              <w:ind w:firstLine="0" w:firstLineChars="0"/>
              <w:jc w:val="center"/>
              <w:rPr>
                <w:sz w:val="21"/>
                <w:szCs w:val="21"/>
              </w:rPr>
            </w:pPr>
            <w:r>
              <w:rPr>
                <w:sz w:val="21"/>
                <w:szCs w:val="21"/>
              </w:rPr>
              <w:t>除尘效率99.5%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3" w:type="pct"/>
            <w:gridSpan w:val="4"/>
            <w:vAlign w:val="center"/>
          </w:tcPr>
          <w:p>
            <w:pPr>
              <w:spacing w:line="240" w:lineRule="auto"/>
              <w:ind w:firstLine="0" w:firstLineChars="0"/>
              <w:jc w:val="center"/>
              <w:rPr>
                <w:sz w:val="21"/>
                <w:szCs w:val="21"/>
              </w:rPr>
            </w:pPr>
            <w:r>
              <w:rPr>
                <w:sz w:val="21"/>
                <w:szCs w:val="21"/>
              </w:rPr>
              <w:t>总计</w:t>
            </w:r>
          </w:p>
        </w:tc>
        <w:tc>
          <w:tcPr>
            <w:tcW w:w="847" w:type="pct"/>
            <w:shd w:val="clear" w:color="auto" w:fill="auto"/>
            <w:vAlign w:val="center"/>
          </w:tcPr>
          <w:p>
            <w:pPr>
              <w:spacing w:line="240" w:lineRule="auto"/>
              <w:ind w:firstLine="0" w:firstLineChars="0"/>
              <w:jc w:val="center"/>
              <w:rPr>
                <w:sz w:val="21"/>
                <w:szCs w:val="21"/>
              </w:rPr>
            </w:pPr>
            <w:r>
              <w:rPr>
                <w:sz w:val="21"/>
                <w:szCs w:val="21"/>
              </w:rPr>
              <w:t>4.684</w:t>
            </w:r>
          </w:p>
        </w:tc>
        <w:tc>
          <w:tcPr>
            <w:tcW w:w="870" w:type="pct"/>
            <w:shd w:val="clear" w:color="auto" w:fill="auto"/>
            <w:vAlign w:val="center"/>
          </w:tcPr>
          <w:p>
            <w:pPr>
              <w:spacing w:line="240" w:lineRule="auto"/>
              <w:ind w:firstLine="0" w:firstLineChars="0"/>
              <w:jc w:val="center"/>
              <w:rPr>
                <w:sz w:val="21"/>
                <w:szCs w:val="21"/>
              </w:rPr>
            </w:pPr>
            <w:r>
              <w:rPr>
                <w:sz w:val="21"/>
                <w:szCs w:val="21"/>
              </w:rPr>
              <w:t>/</w:t>
            </w:r>
          </w:p>
        </w:tc>
      </w:tr>
    </w:tbl>
    <w:p>
      <w:pPr>
        <w:spacing w:line="360" w:lineRule="auto"/>
        <w:ind w:firstLine="480"/>
        <w:jc w:val="both"/>
        <w:rPr>
          <w:kern w:val="0"/>
          <w:sz w:val="24"/>
          <w:szCs w:val="24"/>
        </w:rPr>
      </w:pPr>
      <w:r>
        <w:rPr>
          <w:rFonts w:hint="eastAsia" w:ascii="宋体" w:hAnsi="宋体" w:cs="宋体"/>
          <w:kern w:val="0"/>
          <w:sz w:val="24"/>
          <w:szCs w:val="24"/>
        </w:rPr>
        <w:t>②</w:t>
      </w:r>
      <w:r>
        <w:rPr>
          <w:kern w:val="0"/>
          <w:sz w:val="24"/>
          <w:szCs w:val="24"/>
        </w:rPr>
        <w:t>达标分析</w:t>
      </w:r>
    </w:p>
    <w:p>
      <w:pPr>
        <w:spacing w:line="360" w:lineRule="auto"/>
        <w:ind w:firstLine="480"/>
        <w:jc w:val="both"/>
        <w:rPr>
          <w:kern w:val="0"/>
          <w:sz w:val="24"/>
          <w:szCs w:val="24"/>
        </w:rPr>
      </w:pPr>
      <w:r>
        <w:rPr>
          <w:kern w:val="0"/>
          <w:sz w:val="24"/>
          <w:szCs w:val="24"/>
        </w:rPr>
        <w:t>根据《茶园村采石场70万吨扩建项目竣工环境保护验收调查报告》及验收监测报告（中质环（检）字【2022】第Y210141号），</w:t>
      </w:r>
      <w:r>
        <w:rPr>
          <w:sz w:val="24"/>
        </w:rPr>
        <w:t>现有</w:t>
      </w:r>
      <w:r>
        <w:rPr>
          <w:kern w:val="0"/>
          <w:sz w:val="24"/>
          <w:szCs w:val="24"/>
        </w:rPr>
        <w:t>工程工业场地破碎筛分有组织废气和无组织废气监测结果见下表；</w:t>
      </w:r>
    </w:p>
    <w:p>
      <w:pPr>
        <w:pStyle w:val="84"/>
      </w:pPr>
      <w:r>
        <w:t>表2.3-6  1#布袋除尘器（1#反击式破碎机）排气筒出口检测结果一览表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2047"/>
        <w:gridCol w:w="1212"/>
        <w:gridCol w:w="1989"/>
        <w:gridCol w:w="1533"/>
        <w:gridCol w:w="1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监测项目</w:t>
            </w:r>
          </w:p>
        </w:tc>
        <w:tc>
          <w:tcPr>
            <w:tcW w:w="2047"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采样时间</w:t>
            </w:r>
          </w:p>
        </w:tc>
        <w:tc>
          <w:tcPr>
            <w:tcW w:w="1212"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排放浓度mg/m</w:t>
            </w:r>
            <w:r>
              <w:rPr>
                <w:b/>
                <w:sz w:val="21"/>
                <w:szCs w:val="21"/>
                <w:vertAlign w:val="superscript"/>
              </w:rPr>
              <w:t>3</w:t>
            </w:r>
          </w:p>
        </w:tc>
        <w:tc>
          <w:tcPr>
            <w:tcW w:w="1989"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排放速率kg/h</w:t>
            </w:r>
          </w:p>
        </w:tc>
        <w:tc>
          <w:tcPr>
            <w:tcW w:w="1353"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标准限值</w:t>
            </w:r>
          </w:p>
        </w:tc>
        <w:tc>
          <w:tcPr>
            <w:tcW w:w="1393"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达标判定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Merge w:val="restart"/>
            <w:vAlign w:val="center"/>
          </w:tcPr>
          <w:p>
            <w:pPr>
              <w:spacing w:line="240" w:lineRule="auto"/>
              <w:ind w:firstLine="0" w:firstLineChars="0"/>
              <w:jc w:val="center"/>
              <w:rPr>
                <w:sz w:val="21"/>
                <w:szCs w:val="21"/>
              </w:rPr>
            </w:pPr>
            <w:r>
              <w:rPr>
                <w:sz w:val="21"/>
                <w:szCs w:val="21"/>
              </w:rPr>
              <w:t>颗粒物</w:t>
            </w:r>
          </w:p>
        </w:tc>
        <w:tc>
          <w:tcPr>
            <w:tcW w:w="2047" w:type="dxa"/>
            <w:vAlign w:val="center"/>
          </w:tcPr>
          <w:p>
            <w:pPr>
              <w:spacing w:line="240" w:lineRule="auto"/>
              <w:ind w:firstLine="0" w:firstLineChars="0"/>
              <w:jc w:val="center"/>
              <w:rPr>
                <w:sz w:val="21"/>
                <w:szCs w:val="21"/>
              </w:rPr>
            </w:pPr>
            <w:r>
              <w:rPr>
                <w:sz w:val="21"/>
                <w:szCs w:val="21"/>
              </w:rPr>
              <w:t>2021年12月30日</w:t>
            </w:r>
          </w:p>
        </w:tc>
        <w:tc>
          <w:tcPr>
            <w:tcW w:w="1212" w:type="dxa"/>
            <w:vAlign w:val="center"/>
          </w:tcPr>
          <w:p>
            <w:pPr>
              <w:spacing w:line="240" w:lineRule="auto"/>
              <w:ind w:firstLine="0" w:firstLineChars="0"/>
              <w:jc w:val="center"/>
              <w:rPr>
                <w:sz w:val="21"/>
                <w:szCs w:val="21"/>
              </w:rPr>
            </w:pPr>
            <w:r>
              <w:rPr>
                <w:sz w:val="21"/>
                <w:szCs w:val="21"/>
              </w:rPr>
              <w:t>5.6~6.5</w:t>
            </w:r>
          </w:p>
        </w:tc>
        <w:tc>
          <w:tcPr>
            <w:tcW w:w="1989" w:type="dxa"/>
            <w:vAlign w:val="center"/>
          </w:tcPr>
          <w:p>
            <w:pPr>
              <w:spacing w:line="240" w:lineRule="auto"/>
              <w:ind w:firstLine="0" w:firstLineChars="0"/>
              <w:jc w:val="center"/>
              <w:rPr>
                <w:sz w:val="21"/>
                <w:szCs w:val="21"/>
              </w:rPr>
            </w:pPr>
            <w:r>
              <w:rPr>
                <w:sz w:val="21"/>
                <w:szCs w:val="21"/>
              </w:rPr>
              <w:t>5.83×10</w:t>
            </w:r>
            <w:r>
              <w:rPr>
                <w:sz w:val="21"/>
                <w:szCs w:val="21"/>
                <w:vertAlign w:val="superscript"/>
              </w:rPr>
              <w:t>-3</w:t>
            </w:r>
            <w:r>
              <w:rPr>
                <w:sz w:val="21"/>
                <w:szCs w:val="21"/>
              </w:rPr>
              <w:t>~6.66×10</w:t>
            </w:r>
            <w:r>
              <w:rPr>
                <w:sz w:val="21"/>
                <w:szCs w:val="21"/>
                <w:vertAlign w:val="superscript"/>
              </w:rPr>
              <w:t>-3</w:t>
            </w:r>
          </w:p>
        </w:tc>
        <w:tc>
          <w:tcPr>
            <w:tcW w:w="1353" w:type="dxa"/>
            <w:vMerge w:val="restart"/>
            <w:vAlign w:val="center"/>
          </w:tcPr>
          <w:p>
            <w:pPr>
              <w:spacing w:line="240" w:lineRule="auto"/>
              <w:ind w:firstLine="0" w:firstLineChars="0"/>
              <w:jc w:val="center"/>
              <w:rPr>
                <w:sz w:val="21"/>
                <w:szCs w:val="21"/>
              </w:rPr>
            </w:pPr>
            <w:r>
              <w:rPr>
                <w:sz w:val="21"/>
                <w:szCs w:val="21"/>
              </w:rPr>
              <w:t>100mg/m</w:t>
            </w:r>
            <w:r>
              <w:rPr>
                <w:sz w:val="21"/>
                <w:szCs w:val="21"/>
                <w:vertAlign w:val="superscript"/>
              </w:rPr>
              <w:t>3</w:t>
            </w:r>
            <w:r>
              <w:rPr>
                <w:sz w:val="21"/>
                <w:szCs w:val="21"/>
              </w:rPr>
              <w:t>，1.5kg/h</w:t>
            </w:r>
          </w:p>
        </w:tc>
        <w:tc>
          <w:tcPr>
            <w:tcW w:w="1393"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Merge w:val="continue"/>
            <w:vAlign w:val="center"/>
          </w:tcPr>
          <w:p>
            <w:pPr>
              <w:spacing w:line="240" w:lineRule="auto"/>
              <w:ind w:firstLine="0" w:firstLineChars="0"/>
              <w:jc w:val="center"/>
              <w:rPr>
                <w:sz w:val="21"/>
                <w:szCs w:val="21"/>
              </w:rPr>
            </w:pPr>
          </w:p>
        </w:tc>
        <w:tc>
          <w:tcPr>
            <w:tcW w:w="2047" w:type="dxa"/>
            <w:vAlign w:val="center"/>
          </w:tcPr>
          <w:p>
            <w:pPr>
              <w:spacing w:line="240" w:lineRule="auto"/>
              <w:ind w:firstLine="0" w:firstLineChars="0"/>
              <w:jc w:val="center"/>
              <w:rPr>
                <w:sz w:val="21"/>
                <w:szCs w:val="21"/>
              </w:rPr>
            </w:pPr>
            <w:r>
              <w:rPr>
                <w:sz w:val="21"/>
                <w:szCs w:val="21"/>
              </w:rPr>
              <w:t>2021年12月30日</w:t>
            </w:r>
          </w:p>
        </w:tc>
        <w:tc>
          <w:tcPr>
            <w:tcW w:w="1212" w:type="dxa"/>
            <w:vAlign w:val="center"/>
          </w:tcPr>
          <w:p>
            <w:pPr>
              <w:spacing w:line="240" w:lineRule="auto"/>
              <w:ind w:firstLine="0" w:firstLineChars="0"/>
              <w:jc w:val="center"/>
              <w:rPr>
                <w:sz w:val="21"/>
                <w:szCs w:val="21"/>
              </w:rPr>
            </w:pPr>
            <w:r>
              <w:rPr>
                <w:sz w:val="21"/>
                <w:szCs w:val="21"/>
              </w:rPr>
              <w:t>6.0~7.7</w:t>
            </w:r>
          </w:p>
        </w:tc>
        <w:tc>
          <w:tcPr>
            <w:tcW w:w="1989" w:type="dxa"/>
            <w:vAlign w:val="center"/>
          </w:tcPr>
          <w:p>
            <w:pPr>
              <w:spacing w:line="240" w:lineRule="auto"/>
              <w:ind w:firstLine="0" w:firstLineChars="0"/>
              <w:jc w:val="center"/>
              <w:rPr>
                <w:sz w:val="21"/>
                <w:szCs w:val="21"/>
              </w:rPr>
            </w:pPr>
            <w:r>
              <w:rPr>
                <w:sz w:val="21"/>
                <w:szCs w:val="21"/>
              </w:rPr>
              <w:t>6.20×10</w:t>
            </w:r>
            <w:r>
              <w:rPr>
                <w:sz w:val="21"/>
                <w:szCs w:val="21"/>
                <w:vertAlign w:val="superscript"/>
              </w:rPr>
              <w:t>-3</w:t>
            </w:r>
            <w:r>
              <w:rPr>
                <w:sz w:val="21"/>
                <w:szCs w:val="21"/>
              </w:rPr>
              <w:t>~7.95×10</w:t>
            </w:r>
            <w:r>
              <w:rPr>
                <w:sz w:val="21"/>
                <w:szCs w:val="21"/>
                <w:vertAlign w:val="superscript"/>
              </w:rPr>
              <w:t>-3</w:t>
            </w:r>
          </w:p>
        </w:tc>
        <w:tc>
          <w:tcPr>
            <w:tcW w:w="1353" w:type="dxa"/>
            <w:vMerge w:val="continue"/>
            <w:vAlign w:val="center"/>
          </w:tcPr>
          <w:p>
            <w:pPr>
              <w:spacing w:line="240" w:lineRule="auto"/>
              <w:ind w:firstLine="0" w:firstLineChars="0"/>
              <w:jc w:val="center"/>
              <w:rPr>
                <w:sz w:val="21"/>
                <w:szCs w:val="21"/>
              </w:rPr>
            </w:pPr>
          </w:p>
        </w:tc>
        <w:tc>
          <w:tcPr>
            <w:tcW w:w="1393" w:type="dxa"/>
            <w:vAlign w:val="center"/>
          </w:tcPr>
          <w:p>
            <w:pPr>
              <w:spacing w:line="240" w:lineRule="auto"/>
              <w:ind w:firstLine="0" w:firstLineChars="0"/>
              <w:jc w:val="center"/>
              <w:rPr>
                <w:sz w:val="21"/>
                <w:szCs w:val="21"/>
              </w:rPr>
            </w:pPr>
            <w:r>
              <w:rPr>
                <w:sz w:val="21"/>
                <w:szCs w:val="21"/>
              </w:rPr>
              <w:t>达标</w:t>
            </w:r>
          </w:p>
        </w:tc>
      </w:tr>
    </w:tbl>
    <w:p>
      <w:pPr>
        <w:spacing w:line="460" w:lineRule="exact"/>
        <w:ind w:firstLine="480"/>
      </w:pPr>
      <w:r>
        <w:rPr>
          <w:sz w:val="24"/>
        </w:rPr>
        <w:t>根据上表可知，现有1#布袋除尘器排放的</w:t>
      </w:r>
      <w:r>
        <w:rPr>
          <w:bCs/>
          <w:sz w:val="24"/>
        </w:rPr>
        <w:t>颗粒物浓度和速率满足</w:t>
      </w:r>
      <w:r>
        <w:rPr>
          <w:sz w:val="24"/>
        </w:rPr>
        <w:t>《大气污染物综合排放标准》（DB50/418-2016）</w:t>
      </w:r>
      <w:r>
        <w:rPr>
          <w:bCs/>
          <w:sz w:val="24"/>
        </w:rPr>
        <w:t>表1影响区排放限值。</w:t>
      </w:r>
    </w:p>
    <w:p>
      <w:pPr>
        <w:pStyle w:val="84"/>
      </w:pPr>
      <w:r>
        <w:t>表2.3-7   2#布袋除尘器（2#反击式破碎机）排气筒出口检测结果一览表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2048"/>
        <w:gridCol w:w="1124"/>
        <w:gridCol w:w="1993"/>
        <w:gridCol w:w="1533"/>
        <w:gridCol w:w="1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监测项目</w:t>
            </w:r>
          </w:p>
        </w:tc>
        <w:tc>
          <w:tcPr>
            <w:tcW w:w="2048"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采样时间</w:t>
            </w:r>
          </w:p>
        </w:tc>
        <w:tc>
          <w:tcPr>
            <w:tcW w:w="1124"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排放浓度mg/m</w:t>
            </w:r>
            <w:r>
              <w:rPr>
                <w:b/>
                <w:sz w:val="21"/>
                <w:szCs w:val="21"/>
                <w:vertAlign w:val="superscript"/>
              </w:rPr>
              <w:t>3</w:t>
            </w:r>
          </w:p>
        </w:tc>
        <w:tc>
          <w:tcPr>
            <w:tcW w:w="1993"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排放速率kg/h</w:t>
            </w:r>
          </w:p>
        </w:tc>
        <w:tc>
          <w:tcPr>
            <w:tcW w:w="1437"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标准限值</w:t>
            </w:r>
          </w:p>
        </w:tc>
        <w:tc>
          <w:tcPr>
            <w:tcW w:w="1393"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达标判定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Merge w:val="restart"/>
            <w:vAlign w:val="center"/>
          </w:tcPr>
          <w:p>
            <w:pPr>
              <w:spacing w:line="240" w:lineRule="auto"/>
              <w:ind w:firstLine="0" w:firstLineChars="0"/>
              <w:jc w:val="center"/>
              <w:rPr>
                <w:sz w:val="21"/>
                <w:szCs w:val="21"/>
              </w:rPr>
            </w:pPr>
            <w:r>
              <w:rPr>
                <w:sz w:val="21"/>
                <w:szCs w:val="21"/>
              </w:rPr>
              <w:t>颗粒物</w:t>
            </w:r>
          </w:p>
        </w:tc>
        <w:tc>
          <w:tcPr>
            <w:tcW w:w="2048" w:type="dxa"/>
            <w:vAlign w:val="center"/>
          </w:tcPr>
          <w:p>
            <w:pPr>
              <w:spacing w:line="240" w:lineRule="auto"/>
              <w:ind w:firstLine="0" w:firstLineChars="0"/>
              <w:jc w:val="center"/>
              <w:rPr>
                <w:sz w:val="21"/>
                <w:szCs w:val="21"/>
              </w:rPr>
            </w:pPr>
            <w:r>
              <w:rPr>
                <w:sz w:val="21"/>
                <w:szCs w:val="21"/>
              </w:rPr>
              <w:t>2021年12月30日</w:t>
            </w:r>
          </w:p>
        </w:tc>
        <w:tc>
          <w:tcPr>
            <w:tcW w:w="1124" w:type="dxa"/>
            <w:vAlign w:val="center"/>
          </w:tcPr>
          <w:p>
            <w:pPr>
              <w:spacing w:line="240" w:lineRule="auto"/>
              <w:ind w:firstLine="0" w:firstLineChars="0"/>
              <w:jc w:val="center"/>
              <w:rPr>
                <w:sz w:val="21"/>
                <w:szCs w:val="21"/>
              </w:rPr>
            </w:pPr>
            <w:r>
              <w:rPr>
                <w:sz w:val="21"/>
                <w:szCs w:val="21"/>
              </w:rPr>
              <w:t>5.4~5.8</w:t>
            </w:r>
          </w:p>
        </w:tc>
        <w:tc>
          <w:tcPr>
            <w:tcW w:w="1993" w:type="dxa"/>
            <w:vAlign w:val="center"/>
          </w:tcPr>
          <w:p>
            <w:pPr>
              <w:spacing w:line="240" w:lineRule="auto"/>
              <w:ind w:firstLine="0" w:firstLineChars="0"/>
              <w:jc w:val="center"/>
              <w:rPr>
                <w:sz w:val="21"/>
                <w:szCs w:val="21"/>
              </w:rPr>
            </w:pPr>
            <w:r>
              <w:rPr>
                <w:sz w:val="21"/>
                <w:szCs w:val="21"/>
              </w:rPr>
              <w:t>5.76×10</w:t>
            </w:r>
            <w:r>
              <w:rPr>
                <w:sz w:val="21"/>
                <w:szCs w:val="21"/>
                <w:vertAlign w:val="superscript"/>
              </w:rPr>
              <w:t>-3</w:t>
            </w:r>
            <w:r>
              <w:rPr>
                <w:sz w:val="21"/>
                <w:szCs w:val="21"/>
              </w:rPr>
              <w:t>~6.17×10</w:t>
            </w:r>
            <w:r>
              <w:rPr>
                <w:sz w:val="21"/>
                <w:szCs w:val="21"/>
                <w:vertAlign w:val="superscript"/>
              </w:rPr>
              <w:t>-3</w:t>
            </w:r>
          </w:p>
        </w:tc>
        <w:tc>
          <w:tcPr>
            <w:tcW w:w="1437" w:type="dxa"/>
            <w:vMerge w:val="restart"/>
            <w:vAlign w:val="center"/>
          </w:tcPr>
          <w:p>
            <w:pPr>
              <w:spacing w:line="240" w:lineRule="auto"/>
              <w:ind w:firstLine="0" w:firstLineChars="0"/>
              <w:jc w:val="center"/>
              <w:rPr>
                <w:sz w:val="21"/>
                <w:szCs w:val="21"/>
              </w:rPr>
            </w:pPr>
            <w:r>
              <w:rPr>
                <w:sz w:val="21"/>
                <w:szCs w:val="21"/>
              </w:rPr>
              <w:t>100mg/m</w:t>
            </w:r>
            <w:r>
              <w:rPr>
                <w:sz w:val="21"/>
                <w:szCs w:val="21"/>
                <w:vertAlign w:val="superscript"/>
              </w:rPr>
              <w:t>3</w:t>
            </w:r>
            <w:r>
              <w:rPr>
                <w:sz w:val="21"/>
                <w:szCs w:val="21"/>
              </w:rPr>
              <w:t>，1.5kg/h</w:t>
            </w:r>
          </w:p>
        </w:tc>
        <w:tc>
          <w:tcPr>
            <w:tcW w:w="1393"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Merge w:val="continue"/>
            <w:vAlign w:val="center"/>
          </w:tcPr>
          <w:p>
            <w:pPr>
              <w:spacing w:line="240" w:lineRule="auto"/>
              <w:ind w:firstLine="0" w:firstLineChars="0"/>
              <w:jc w:val="center"/>
              <w:rPr>
                <w:sz w:val="21"/>
                <w:szCs w:val="21"/>
              </w:rPr>
            </w:pPr>
          </w:p>
        </w:tc>
        <w:tc>
          <w:tcPr>
            <w:tcW w:w="2048" w:type="dxa"/>
            <w:vAlign w:val="center"/>
          </w:tcPr>
          <w:p>
            <w:pPr>
              <w:spacing w:line="240" w:lineRule="auto"/>
              <w:ind w:firstLine="0" w:firstLineChars="0"/>
              <w:jc w:val="center"/>
              <w:rPr>
                <w:sz w:val="21"/>
                <w:szCs w:val="21"/>
              </w:rPr>
            </w:pPr>
            <w:r>
              <w:rPr>
                <w:sz w:val="21"/>
                <w:szCs w:val="21"/>
              </w:rPr>
              <w:t>2021年12月30日</w:t>
            </w:r>
          </w:p>
        </w:tc>
        <w:tc>
          <w:tcPr>
            <w:tcW w:w="1124" w:type="dxa"/>
            <w:vAlign w:val="center"/>
          </w:tcPr>
          <w:p>
            <w:pPr>
              <w:spacing w:line="240" w:lineRule="auto"/>
              <w:ind w:firstLine="0" w:firstLineChars="0"/>
              <w:jc w:val="center"/>
              <w:rPr>
                <w:sz w:val="21"/>
                <w:szCs w:val="21"/>
              </w:rPr>
            </w:pPr>
            <w:r>
              <w:rPr>
                <w:sz w:val="21"/>
                <w:szCs w:val="21"/>
              </w:rPr>
              <w:t>5.6~5.9</w:t>
            </w:r>
          </w:p>
        </w:tc>
        <w:tc>
          <w:tcPr>
            <w:tcW w:w="1993" w:type="dxa"/>
            <w:vAlign w:val="center"/>
          </w:tcPr>
          <w:p>
            <w:pPr>
              <w:spacing w:line="240" w:lineRule="auto"/>
              <w:ind w:firstLine="0" w:firstLineChars="0"/>
              <w:jc w:val="center"/>
              <w:rPr>
                <w:sz w:val="21"/>
                <w:szCs w:val="21"/>
              </w:rPr>
            </w:pPr>
            <w:r>
              <w:rPr>
                <w:sz w:val="21"/>
                <w:szCs w:val="21"/>
              </w:rPr>
              <w:t>5.89×10</w:t>
            </w:r>
            <w:r>
              <w:rPr>
                <w:sz w:val="21"/>
                <w:szCs w:val="21"/>
                <w:vertAlign w:val="superscript"/>
              </w:rPr>
              <w:t>-3</w:t>
            </w:r>
            <w:r>
              <w:rPr>
                <w:sz w:val="21"/>
                <w:szCs w:val="21"/>
              </w:rPr>
              <w:t>~6.24×10</w:t>
            </w:r>
            <w:r>
              <w:rPr>
                <w:sz w:val="21"/>
                <w:szCs w:val="21"/>
                <w:vertAlign w:val="superscript"/>
              </w:rPr>
              <w:t>-3</w:t>
            </w:r>
          </w:p>
        </w:tc>
        <w:tc>
          <w:tcPr>
            <w:tcW w:w="1437" w:type="dxa"/>
            <w:vMerge w:val="continue"/>
            <w:vAlign w:val="center"/>
          </w:tcPr>
          <w:p>
            <w:pPr>
              <w:spacing w:line="240" w:lineRule="auto"/>
              <w:ind w:firstLine="0" w:firstLineChars="0"/>
              <w:jc w:val="center"/>
              <w:rPr>
                <w:sz w:val="21"/>
                <w:szCs w:val="21"/>
              </w:rPr>
            </w:pPr>
          </w:p>
        </w:tc>
        <w:tc>
          <w:tcPr>
            <w:tcW w:w="1393" w:type="dxa"/>
            <w:vAlign w:val="center"/>
          </w:tcPr>
          <w:p>
            <w:pPr>
              <w:spacing w:line="240" w:lineRule="auto"/>
              <w:ind w:firstLine="0" w:firstLineChars="0"/>
              <w:jc w:val="center"/>
              <w:rPr>
                <w:sz w:val="21"/>
                <w:szCs w:val="21"/>
              </w:rPr>
            </w:pPr>
            <w:r>
              <w:rPr>
                <w:sz w:val="21"/>
                <w:szCs w:val="21"/>
              </w:rPr>
              <w:t>达标</w:t>
            </w:r>
          </w:p>
        </w:tc>
      </w:tr>
    </w:tbl>
    <w:p>
      <w:pPr>
        <w:spacing w:line="460" w:lineRule="exact"/>
        <w:ind w:firstLine="480"/>
        <w:rPr>
          <w:bCs/>
          <w:sz w:val="24"/>
        </w:rPr>
      </w:pPr>
      <w:r>
        <w:rPr>
          <w:sz w:val="24"/>
        </w:rPr>
        <w:t>根据上表可知，现有2#布袋除尘器排放的</w:t>
      </w:r>
      <w:r>
        <w:rPr>
          <w:bCs/>
          <w:sz w:val="24"/>
        </w:rPr>
        <w:t>颗粒物浓度和速率满足</w:t>
      </w:r>
      <w:r>
        <w:rPr>
          <w:sz w:val="24"/>
        </w:rPr>
        <w:t>《大气污染物综合排放标准》（DB50/418-2016）</w:t>
      </w:r>
      <w:r>
        <w:rPr>
          <w:bCs/>
          <w:sz w:val="24"/>
        </w:rPr>
        <w:t>表1影响区排放限值。</w:t>
      </w:r>
    </w:p>
    <w:p>
      <w:pPr>
        <w:pStyle w:val="84"/>
      </w:pPr>
      <w:r>
        <w:t>表2.3-8    3#布袋除尘器（筛分机）排气筒出口检测结果一览表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2047"/>
        <w:gridCol w:w="1121"/>
        <w:gridCol w:w="1998"/>
        <w:gridCol w:w="1533"/>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监测项目</w:t>
            </w:r>
          </w:p>
        </w:tc>
        <w:tc>
          <w:tcPr>
            <w:tcW w:w="2047"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采样时间</w:t>
            </w:r>
          </w:p>
        </w:tc>
        <w:tc>
          <w:tcPr>
            <w:tcW w:w="1121"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排放浓度mg/m</w:t>
            </w:r>
            <w:r>
              <w:rPr>
                <w:b/>
                <w:sz w:val="21"/>
                <w:szCs w:val="21"/>
                <w:vertAlign w:val="superscript"/>
              </w:rPr>
              <w:t>3</w:t>
            </w:r>
          </w:p>
        </w:tc>
        <w:tc>
          <w:tcPr>
            <w:tcW w:w="1998"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排放速率kg/h</w:t>
            </w:r>
          </w:p>
        </w:tc>
        <w:tc>
          <w:tcPr>
            <w:tcW w:w="1437"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标准限值</w:t>
            </w:r>
          </w:p>
        </w:tc>
        <w:tc>
          <w:tcPr>
            <w:tcW w:w="1391"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达标判定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Merge w:val="restart"/>
            <w:vAlign w:val="center"/>
          </w:tcPr>
          <w:p>
            <w:pPr>
              <w:spacing w:line="240" w:lineRule="auto"/>
              <w:ind w:firstLine="0" w:firstLineChars="0"/>
              <w:jc w:val="center"/>
              <w:rPr>
                <w:sz w:val="21"/>
                <w:szCs w:val="21"/>
              </w:rPr>
            </w:pPr>
            <w:r>
              <w:rPr>
                <w:sz w:val="21"/>
                <w:szCs w:val="21"/>
              </w:rPr>
              <w:t>颗粒物</w:t>
            </w:r>
          </w:p>
        </w:tc>
        <w:tc>
          <w:tcPr>
            <w:tcW w:w="2047" w:type="dxa"/>
            <w:vAlign w:val="center"/>
          </w:tcPr>
          <w:p>
            <w:pPr>
              <w:spacing w:line="240" w:lineRule="auto"/>
              <w:ind w:firstLine="0" w:firstLineChars="0"/>
              <w:jc w:val="center"/>
              <w:rPr>
                <w:sz w:val="21"/>
                <w:szCs w:val="21"/>
              </w:rPr>
            </w:pPr>
            <w:r>
              <w:rPr>
                <w:sz w:val="21"/>
                <w:szCs w:val="21"/>
              </w:rPr>
              <w:t>2021年12月30日</w:t>
            </w:r>
          </w:p>
        </w:tc>
        <w:tc>
          <w:tcPr>
            <w:tcW w:w="1121" w:type="dxa"/>
            <w:vAlign w:val="center"/>
          </w:tcPr>
          <w:p>
            <w:pPr>
              <w:spacing w:line="240" w:lineRule="auto"/>
              <w:ind w:firstLine="0" w:firstLineChars="0"/>
              <w:jc w:val="center"/>
              <w:rPr>
                <w:sz w:val="21"/>
                <w:szCs w:val="21"/>
              </w:rPr>
            </w:pPr>
            <w:r>
              <w:rPr>
                <w:sz w:val="21"/>
                <w:szCs w:val="21"/>
              </w:rPr>
              <w:t>6.8~7.7</w:t>
            </w:r>
          </w:p>
        </w:tc>
        <w:tc>
          <w:tcPr>
            <w:tcW w:w="1998" w:type="dxa"/>
            <w:vAlign w:val="center"/>
          </w:tcPr>
          <w:p>
            <w:pPr>
              <w:spacing w:line="240" w:lineRule="auto"/>
              <w:ind w:firstLine="0" w:firstLineChars="0"/>
              <w:jc w:val="center"/>
              <w:rPr>
                <w:sz w:val="21"/>
                <w:szCs w:val="21"/>
              </w:rPr>
            </w:pPr>
            <w:r>
              <w:rPr>
                <w:sz w:val="21"/>
                <w:szCs w:val="21"/>
              </w:rPr>
              <w:t>0.143~0.163</w:t>
            </w:r>
          </w:p>
        </w:tc>
        <w:tc>
          <w:tcPr>
            <w:tcW w:w="1437" w:type="dxa"/>
            <w:vMerge w:val="restart"/>
            <w:vAlign w:val="center"/>
          </w:tcPr>
          <w:p>
            <w:pPr>
              <w:spacing w:line="240" w:lineRule="auto"/>
              <w:ind w:firstLine="0" w:firstLineChars="0"/>
              <w:jc w:val="center"/>
              <w:rPr>
                <w:sz w:val="21"/>
                <w:szCs w:val="21"/>
              </w:rPr>
            </w:pPr>
            <w:r>
              <w:rPr>
                <w:sz w:val="21"/>
                <w:szCs w:val="21"/>
              </w:rPr>
              <w:t>100mg/m</w:t>
            </w:r>
            <w:r>
              <w:rPr>
                <w:sz w:val="21"/>
                <w:szCs w:val="21"/>
                <w:vertAlign w:val="superscript"/>
              </w:rPr>
              <w:t>3</w:t>
            </w:r>
            <w:r>
              <w:rPr>
                <w:sz w:val="21"/>
                <w:szCs w:val="21"/>
              </w:rPr>
              <w:t>，1.5kg/h</w:t>
            </w:r>
          </w:p>
        </w:tc>
        <w:tc>
          <w:tcPr>
            <w:tcW w:w="1391" w:type="dxa"/>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Merge w:val="continue"/>
            <w:vAlign w:val="center"/>
          </w:tcPr>
          <w:p>
            <w:pPr>
              <w:spacing w:line="240" w:lineRule="auto"/>
              <w:ind w:firstLine="0" w:firstLineChars="0"/>
              <w:jc w:val="center"/>
              <w:rPr>
                <w:sz w:val="21"/>
                <w:szCs w:val="21"/>
              </w:rPr>
            </w:pPr>
          </w:p>
        </w:tc>
        <w:tc>
          <w:tcPr>
            <w:tcW w:w="2047" w:type="dxa"/>
            <w:vAlign w:val="center"/>
          </w:tcPr>
          <w:p>
            <w:pPr>
              <w:spacing w:line="240" w:lineRule="auto"/>
              <w:ind w:firstLine="0" w:firstLineChars="0"/>
              <w:jc w:val="center"/>
              <w:rPr>
                <w:sz w:val="21"/>
                <w:szCs w:val="21"/>
              </w:rPr>
            </w:pPr>
            <w:r>
              <w:rPr>
                <w:sz w:val="21"/>
                <w:szCs w:val="21"/>
              </w:rPr>
              <w:t>2021年12月30日</w:t>
            </w:r>
          </w:p>
        </w:tc>
        <w:tc>
          <w:tcPr>
            <w:tcW w:w="1121" w:type="dxa"/>
            <w:vAlign w:val="center"/>
          </w:tcPr>
          <w:p>
            <w:pPr>
              <w:spacing w:line="240" w:lineRule="auto"/>
              <w:ind w:firstLine="0" w:firstLineChars="0"/>
              <w:jc w:val="center"/>
              <w:rPr>
                <w:sz w:val="21"/>
                <w:szCs w:val="21"/>
              </w:rPr>
            </w:pPr>
            <w:r>
              <w:rPr>
                <w:sz w:val="21"/>
                <w:szCs w:val="21"/>
              </w:rPr>
              <w:t>6.5~7.2</w:t>
            </w:r>
          </w:p>
        </w:tc>
        <w:tc>
          <w:tcPr>
            <w:tcW w:w="1998" w:type="dxa"/>
            <w:vAlign w:val="center"/>
          </w:tcPr>
          <w:p>
            <w:pPr>
              <w:spacing w:line="240" w:lineRule="auto"/>
              <w:ind w:firstLine="0" w:firstLineChars="0"/>
              <w:jc w:val="center"/>
              <w:rPr>
                <w:sz w:val="21"/>
                <w:szCs w:val="21"/>
              </w:rPr>
            </w:pPr>
            <w:r>
              <w:rPr>
                <w:sz w:val="21"/>
                <w:szCs w:val="21"/>
              </w:rPr>
              <w:t>0.130~0.154</w:t>
            </w:r>
          </w:p>
        </w:tc>
        <w:tc>
          <w:tcPr>
            <w:tcW w:w="1437" w:type="dxa"/>
            <w:vMerge w:val="continue"/>
            <w:vAlign w:val="center"/>
          </w:tcPr>
          <w:p>
            <w:pPr>
              <w:spacing w:line="240" w:lineRule="auto"/>
              <w:ind w:firstLine="0" w:firstLineChars="0"/>
              <w:jc w:val="center"/>
              <w:rPr>
                <w:sz w:val="21"/>
                <w:szCs w:val="21"/>
              </w:rPr>
            </w:pPr>
          </w:p>
        </w:tc>
        <w:tc>
          <w:tcPr>
            <w:tcW w:w="1391" w:type="dxa"/>
            <w:vAlign w:val="center"/>
          </w:tcPr>
          <w:p>
            <w:pPr>
              <w:spacing w:line="240" w:lineRule="auto"/>
              <w:ind w:firstLine="0" w:firstLineChars="0"/>
              <w:jc w:val="center"/>
              <w:rPr>
                <w:sz w:val="21"/>
                <w:szCs w:val="21"/>
              </w:rPr>
            </w:pPr>
            <w:r>
              <w:rPr>
                <w:sz w:val="21"/>
                <w:szCs w:val="21"/>
              </w:rPr>
              <w:t>达标</w:t>
            </w:r>
          </w:p>
        </w:tc>
      </w:tr>
    </w:tbl>
    <w:p>
      <w:pPr>
        <w:spacing w:line="460" w:lineRule="exact"/>
        <w:ind w:firstLine="480"/>
        <w:rPr>
          <w:bCs/>
          <w:sz w:val="24"/>
        </w:rPr>
      </w:pPr>
      <w:r>
        <w:rPr>
          <w:sz w:val="24"/>
        </w:rPr>
        <w:t>根据上表可知，现有3#布袋除尘器排放的</w:t>
      </w:r>
      <w:r>
        <w:rPr>
          <w:bCs/>
          <w:sz w:val="24"/>
        </w:rPr>
        <w:t>颗粒物浓度和速率满足</w:t>
      </w:r>
      <w:r>
        <w:rPr>
          <w:sz w:val="24"/>
        </w:rPr>
        <w:t>《大气污染物综合排放标准》（DB50/418-2016）</w:t>
      </w:r>
      <w:r>
        <w:rPr>
          <w:bCs/>
          <w:sz w:val="24"/>
        </w:rPr>
        <w:t>表1影响区排放限值。</w:t>
      </w:r>
    </w:p>
    <w:p>
      <w:pPr>
        <w:pStyle w:val="84"/>
      </w:pPr>
      <w:r>
        <w:t>表2.3-9   无组织废气检测结果一览表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0"/>
        <w:gridCol w:w="2535"/>
        <w:gridCol w:w="1642"/>
        <w:gridCol w:w="1850"/>
        <w:gridCol w:w="1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监测项目</w:t>
            </w:r>
          </w:p>
        </w:tc>
        <w:tc>
          <w:tcPr>
            <w:tcW w:w="1365"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采样时间</w:t>
            </w:r>
          </w:p>
        </w:tc>
        <w:tc>
          <w:tcPr>
            <w:tcW w:w="88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排放浓度mg/m</w:t>
            </w:r>
            <w:r>
              <w:rPr>
                <w:b/>
                <w:sz w:val="21"/>
                <w:szCs w:val="21"/>
                <w:vertAlign w:val="superscript"/>
              </w:rPr>
              <w:t>3</w:t>
            </w:r>
          </w:p>
        </w:tc>
        <w:tc>
          <w:tcPr>
            <w:tcW w:w="99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标准限值</w:t>
            </w:r>
          </w:p>
        </w:tc>
        <w:tc>
          <w:tcPr>
            <w:tcW w:w="99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达标判定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vMerge w:val="restart"/>
            <w:vAlign w:val="center"/>
          </w:tcPr>
          <w:p>
            <w:pPr>
              <w:spacing w:line="240" w:lineRule="auto"/>
              <w:ind w:firstLine="0" w:firstLineChars="0"/>
              <w:jc w:val="center"/>
              <w:rPr>
                <w:sz w:val="21"/>
                <w:szCs w:val="21"/>
              </w:rPr>
            </w:pPr>
            <w:r>
              <w:rPr>
                <w:sz w:val="21"/>
                <w:szCs w:val="21"/>
              </w:rPr>
              <w:t>总悬浮颗粒物</w:t>
            </w:r>
          </w:p>
        </w:tc>
        <w:tc>
          <w:tcPr>
            <w:tcW w:w="1365" w:type="pct"/>
            <w:vAlign w:val="center"/>
          </w:tcPr>
          <w:p>
            <w:pPr>
              <w:spacing w:line="240" w:lineRule="auto"/>
              <w:ind w:firstLine="0" w:firstLineChars="0"/>
              <w:jc w:val="center"/>
              <w:rPr>
                <w:sz w:val="21"/>
                <w:szCs w:val="21"/>
              </w:rPr>
            </w:pPr>
            <w:r>
              <w:rPr>
                <w:sz w:val="21"/>
                <w:szCs w:val="21"/>
              </w:rPr>
              <w:t>2021年12月30日</w:t>
            </w:r>
          </w:p>
        </w:tc>
        <w:tc>
          <w:tcPr>
            <w:tcW w:w="884" w:type="pct"/>
            <w:vAlign w:val="center"/>
          </w:tcPr>
          <w:p>
            <w:pPr>
              <w:spacing w:line="240" w:lineRule="auto"/>
              <w:ind w:firstLine="0" w:firstLineChars="0"/>
              <w:jc w:val="center"/>
              <w:rPr>
                <w:sz w:val="21"/>
                <w:szCs w:val="21"/>
              </w:rPr>
            </w:pPr>
            <w:r>
              <w:rPr>
                <w:sz w:val="21"/>
                <w:szCs w:val="21"/>
              </w:rPr>
              <w:t>0.457~0.735</w:t>
            </w:r>
          </w:p>
        </w:tc>
        <w:tc>
          <w:tcPr>
            <w:tcW w:w="996" w:type="pct"/>
            <w:vMerge w:val="restart"/>
            <w:vAlign w:val="center"/>
          </w:tcPr>
          <w:p>
            <w:pPr>
              <w:spacing w:line="240" w:lineRule="auto"/>
              <w:ind w:firstLine="0" w:firstLineChars="0"/>
              <w:jc w:val="center"/>
              <w:rPr>
                <w:sz w:val="21"/>
                <w:szCs w:val="21"/>
              </w:rPr>
            </w:pPr>
            <w:r>
              <w:rPr>
                <w:sz w:val="21"/>
                <w:szCs w:val="21"/>
              </w:rPr>
              <w:t>1.0mg/m</w:t>
            </w:r>
            <w:r>
              <w:rPr>
                <w:sz w:val="21"/>
                <w:szCs w:val="21"/>
                <w:vertAlign w:val="superscript"/>
              </w:rPr>
              <w:t>3</w:t>
            </w:r>
          </w:p>
        </w:tc>
        <w:tc>
          <w:tcPr>
            <w:tcW w:w="996"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vMerge w:val="continue"/>
            <w:vAlign w:val="center"/>
          </w:tcPr>
          <w:p>
            <w:pPr>
              <w:spacing w:line="240" w:lineRule="auto"/>
              <w:ind w:firstLine="0" w:firstLineChars="0"/>
              <w:jc w:val="center"/>
              <w:rPr>
                <w:sz w:val="21"/>
                <w:szCs w:val="21"/>
              </w:rPr>
            </w:pPr>
          </w:p>
        </w:tc>
        <w:tc>
          <w:tcPr>
            <w:tcW w:w="1365" w:type="pct"/>
            <w:vAlign w:val="center"/>
          </w:tcPr>
          <w:p>
            <w:pPr>
              <w:spacing w:line="240" w:lineRule="auto"/>
              <w:ind w:firstLine="0" w:firstLineChars="0"/>
              <w:jc w:val="center"/>
              <w:rPr>
                <w:sz w:val="21"/>
                <w:szCs w:val="21"/>
              </w:rPr>
            </w:pPr>
            <w:r>
              <w:rPr>
                <w:sz w:val="21"/>
                <w:szCs w:val="21"/>
              </w:rPr>
              <w:t>2021年12月30日</w:t>
            </w:r>
          </w:p>
        </w:tc>
        <w:tc>
          <w:tcPr>
            <w:tcW w:w="884" w:type="pct"/>
            <w:vAlign w:val="center"/>
          </w:tcPr>
          <w:p>
            <w:pPr>
              <w:spacing w:line="240" w:lineRule="auto"/>
              <w:ind w:firstLine="0" w:firstLineChars="0"/>
              <w:jc w:val="center"/>
              <w:rPr>
                <w:sz w:val="21"/>
                <w:szCs w:val="21"/>
              </w:rPr>
            </w:pPr>
            <w:r>
              <w:rPr>
                <w:sz w:val="21"/>
                <w:szCs w:val="21"/>
              </w:rPr>
              <w:t>0.467~0.547</w:t>
            </w:r>
          </w:p>
        </w:tc>
        <w:tc>
          <w:tcPr>
            <w:tcW w:w="996" w:type="pct"/>
            <w:vMerge w:val="continue"/>
            <w:vAlign w:val="center"/>
          </w:tcPr>
          <w:p>
            <w:pPr>
              <w:spacing w:line="240" w:lineRule="auto"/>
              <w:ind w:firstLine="0" w:firstLineChars="0"/>
              <w:jc w:val="center"/>
              <w:rPr>
                <w:sz w:val="21"/>
                <w:szCs w:val="21"/>
              </w:rPr>
            </w:pPr>
          </w:p>
        </w:tc>
        <w:tc>
          <w:tcPr>
            <w:tcW w:w="996" w:type="pct"/>
            <w:vAlign w:val="center"/>
          </w:tcPr>
          <w:p>
            <w:pPr>
              <w:spacing w:line="240" w:lineRule="auto"/>
              <w:ind w:firstLine="0" w:firstLineChars="0"/>
              <w:jc w:val="center"/>
              <w:rPr>
                <w:sz w:val="21"/>
                <w:szCs w:val="21"/>
              </w:rPr>
            </w:pPr>
            <w:r>
              <w:rPr>
                <w:sz w:val="21"/>
                <w:szCs w:val="21"/>
              </w:rPr>
              <w:t>达标</w:t>
            </w:r>
          </w:p>
        </w:tc>
      </w:tr>
    </w:tbl>
    <w:p>
      <w:pPr>
        <w:spacing w:line="360" w:lineRule="auto"/>
        <w:ind w:firstLine="480"/>
        <w:rPr>
          <w:sz w:val="24"/>
        </w:rPr>
      </w:pPr>
      <w:r>
        <w:rPr>
          <w:sz w:val="24"/>
        </w:rPr>
        <w:t>根据上表可知，</w:t>
      </w:r>
      <w:r>
        <w:rPr>
          <w:bCs/>
          <w:sz w:val="24"/>
        </w:rPr>
        <w:t>无组织废气颗粒物最大排放浓度0.735mg/m</w:t>
      </w:r>
      <w:r>
        <w:rPr>
          <w:bCs/>
          <w:sz w:val="24"/>
          <w:vertAlign w:val="superscript"/>
        </w:rPr>
        <w:t>3</w:t>
      </w:r>
      <w:r>
        <w:rPr>
          <w:bCs/>
          <w:sz w:val="24"/>
        </w:rPr>
        <w:t>，满足</w:t>
      </w:r>
      <w:r>
        <w:rPr>
          <w:sz w:val="24"/>
        </w:rPr>
        <w:t>《大气污染物综合排放标准》（DB50/418-2016）</w:t>
      </w:r>
      <w:r>
        <w:rPr>
          <w:bCs/>
          <w:sz w:val="24"/>
        </w:rPr>
        <w:t>表1排放限值。</w:t>
      </w:r>
    </w:p>
    <w:p>
      <w:pPr>
        <w:autoSpaceDE w:val="0"/>
        <w:autoSpaceDN w:val="0"/>
        <w:spacing w:line="360" w:lineRule="auto"/>
        <w:ind w:firstLine="480"/>
        <w:jc w:val="both"/>
        <w:outlineLvl w:val="3"/>
        <w:rPr>
          <w:kern w:val="0"/>
          <w:sz w:val="24"/>
          <w:szCs w:val="24"/>
        </w:rPr>
      </w:pPr>
      <w:r>
        <w:rPr>
          <w:kern w:val="0"/>
          <w:sz w:val="24"/>
          <w:szCs w:val="24"/>
        </w:rPr>
        <w:t>（2）废水</w:t>
      </w:r>
    </w:p>
    <w:p>
      <w:pPr>
        <w:spacing w:line="360" w:lineRule="auto"/>
        <w:ind w:firstLine="480"/>
        <w:rPr>
          <w:sz w:val="24"/>
          <w:szCs w:val="24"/>
        </w:rPr>
      </w:pPr>
      <w:r>
        <w:rPr>
          <w:sz w:val="24"/>
          <w:szCs w:val="24"/>
        </w:rPr>
        <w:t>工业场地用水主要是加工区喷淋用水、场地冲洗用水、车辆及设备清洗用水以及生活用水，加工区喷淋用水蒸发损耗掉，场地清洗废水、车辆和设备冲洗废水经隔油沉淀处理后全部用于场地撒水喷淋抑尘，不外排；</w:t>
      </w:r>
    </w:p>
    <w:p>
      <w:pPr>
        <w:spacing w:line="360" w:lineRule="auto"/>
        <w:ind w:firstLine="480"/>
      </w:pPr>
      <w:r>
        <w:rPr>
          <w:sz w:val="24"/>
        </w:rPr>
        <w:t>本矿产生的生活污水量较少，产生量为297m</w:t>
      </w:r>
      <w:r>
        <w:rPr>
          <w:sz w:val="24"/>
          <w:vertAlign w:val="superscript"/>
        </w:rPr>
        <w:t>3</w:t>
      </w:r>
      <w:r>
        <w:rPr>
          <w:sz w:val="24"/>
        </w:rPr>
        <w:t>/a，经原有化粪池收集后，由周围村民挑走用作农肥，不外排。</w:t>
      </w:r>
    </w:p>
    <w:p>
      <w:pPr>
        <w:pStyle w:val="84"/>
      </w:pPr>
      <w:r>
        <w:t>表2.3-10  生活污水产生及排放情况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3"/>
        <w:gridCol w:w="1176"/>
        <w:gridCol w:w="2127"/>
        <w:gridCol w:w="1843"/>
        <w:gridCol w:w="1276"/>
        <w:gridCol w:w="1133"/>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341" w:type="pct"/>
            <w:vMerge w:val="restart"/>
            <w:shd w:val="clear" w:color="auto" w:fill="D8D8D8" w:themeFill="background1" w:themeFillShade="D9"/>
            <w:noWrap/>
            <w:vAlign w:val="center"/>
          </w:tcPr>
          <w:p>
            <w:pPr>
              <w:spacing w:line="240" w:lineRule="auto"/>
              <w:ind w:firstLine="0" w:firstLineChars="0"/>
              <w:jc w:val="center"/>
              <w:rPr>
                <w:b/>
                <w:bCs/>
                <w:sz w:val="21"/>
                <w:szCs w:val="21"/>
              </w:rPr>
            </w:pPr>
            <w:r>
              <w:rPr>
                <w:b/>
                <w:bCs/>
                <w:sz w:val="21"/>
                <w:szCs w:val="21"/>
              </w:rPr>
              <w:t>名称</w:t>
            </w:r>
          </w:p>
        </w:tc>
        <w:tc>
          <w:tcPr>
            <w:tcW w:w="633"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w:t>
            </w:r>
          </w:p>
        </w:tc>
        <w:tc>
          <w:tcPr>
            <w:tcW w:w="2824"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污染物产生</w:t>
            </w:r>
          </w:p>
        </w:tc>
        <w:tc>
          <w:tcPr>
            <w:tcW w:w="610" w:type="pct"/>
            <w:vMerge w:val="restart"/>
            <w:shd w:val="clear" w:color="auto" w:fill="D8D8D8" w:themeFill="background1" w:themeFillShade="D9"/>
            <w:noWrap/>
            <w:vAlign w:val="center"/>
          </w:tcPr>
          <w:p>
            <w:pPr>
              <w:spacing w:line="240" w:lineRule="auto"/>
              <w:ind w:firstLine="0" w:firstLineChars="0"/>
              <w:jc w:val="center"/>
              <w:rPr>
                <w:b/>
                <w:bCs/>
                <w:sz w:val="21"/>
                <w:szCs w:val="21"/>
              </w:rPr>
            </w:pPr>
            <w:r>
              <w:rPr>
                <w:b/>
                <w:bCs/>
                <w:sz w:val="21"/>
                <w:szCs w:val="21"/>
              </w:rPr>
              <w:t>治理措施</w:t>
            </w:r>
          </w:p>
        </w:tc>
        <w:tc>
          <w:tcPr>
            <w:tcW w:w="592"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5" w:hRule="atLeast"/>
          <w:jc w:val="center"/>
        </w:trPr>
        <w:tc>
          <w:tcPr>
            <w:tcW w:w="341" w:type="pct"/>
            <w:vMerge w:val="continue"/>
            <w:shd w:val="clear" w:color="auto" w:fill="D8D8D8" w:themeFill="background1" w:themeFillShade="D9"/>
            <w:noWrap/>
            <w:vAlign w:val="center"/>
          </w:tcPr>
          <w:p>
            <w:pPr>
              <w:spacing w:line="240" w:lineRule="auto"/>
              <w:ind w:firstLine="0" w:firstLineChars="0"/>
              <w:jc w:val="center"/>
              <w:rPr>
                <w:b/>
                <w:bCs/>
                <w:sz w:val="21"/>
                <w:szCs w:val="21"/>
              </w:rPr>
            </w:pPr>
          </w:p>
        </w:tc>
        <w:tc>
          <w:tcPr>
            <w:tcW w:w="633"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114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污水产生量m</w:t>
            </w:r>
            <w:r>
              <w:rPr>
                <w:b/>
                <w:bCs/>
                <w:sz w:val="21"/>
                <w:szCs w:val="21"/>
                <w:vertAlign w:val="superscript"/>
              </w:rPr>
              <w:t>3</w:t>
            </w:r>
            <w:r>
              <w:rPr>
                <w:b/>
                <w:bCs/>
                <w:sz w:val="21"/>
                <w:szCs w:val="21"/>
              </w:rPr>
              <w:t>/a</w:t>
            </w:r>
          </w:p>
        </w:tc>
        <w:tc>
          <w:tcPr>
            <w:tcW w:w="992" w:type="pct"/>
            <w:shd w:val="clear" w:color="auto" w:fill="D8D8D8" w:themeFill="background1" w:themeFillShade="D9"/>
            <w:noWrap/>
            <w:vAlign w:val="center"/>
          </w:tcPr>
          <w:p>
            <w:pPr>
              <w:spacing w:line="240" w:lineRule="auto"/>
              <w:ind w:firstLine="0" w:firstLineChars="0"/>
              <w:jc w:val="center"/>
              <w:rPr>
                <w:b/>
                <w:bCs/>
                <w:sz w:val="21"/>
                <w:szCs w:val="21"/>
              </w:rPr>
            </w:pPr>
            <w:r>
              <w:rPr>
                <w:b/>
                <w:bCs/>
                <w:sz w:val="21"/>
                <w:szCs w:val="21"/>
              </w:rPr>
              <w:t>产生浓度mg/L</w:t>
            </w:r>
          </w:p>
        </w:tc>
        <w:tc>
          <w:tcPr>
            <w:tcW w:w="687" w:type="pct"/>
            <w:shd w:val="clear" w:color="auto" w:fill="D8D8D8" w:themeFill="background1" w:themeFillShade="D9"/>
            <w:noWrap/>
            <w:vAlign w:val="center"/>
          </w:tcPr>
          <w:p>
            <w:pPr>
              <w:spacing w:line="240" w:lineRule="auto"/>
              <w:ind w:firstLine="0" w:firstLineChars="0"/>
              <w:jc w:val="center"/>
              <w:rPr>
                <w:b/>
                <w:bCs/>
                <w:sz w:val="21"/>
                <w:szCs w:val="21"/>
              </w:rPr>
            </w:pPr>
            <w:r>
              <w:rPr>
                <w:b/>
                <w:bCs/>
                <w:sz w:val="21"/>
                <w:szCs w:val="21"/>
              </w:rPr>
              <w:t>产生量t/a</w:t>
            </w:r>
          </w:p>
        </w:tc>
        <w:tc>
          <w:tcPr>
            <w:tcW w:w="610" w:type="pct"/>
            <w:vMerge w:val="continue"/>
            <w:shd w:val="clear" w:color="auto" w:fill="D8D8D8" w:themeFill="background1" w:themeFillShade="D9"/>
            <w:noWrap/>
            <w:vAlign w:val="center"/>
          </w:tcPr>
          <w:p>
            <w:pPr>
              <w:spacing w:line="240" w:lineRule="auto"/>
              <w:ind w:firstLine="0" w:firstLineChars="0"/>
              <w:jc w:val="center"/>
              <w:rPr>
                <w:b/>
                <w:bCs/>
                <w:sz w:val="21"/>
                <w:szCs w:val="21"/>
              </w:rPr>
            </w:pPr>
          </w:p>
        </w:tc>
        <w:tc>
          <w:tcPr>
            <w:tcW w:w="592" w:type="pct"/>
            <w:vMerge w:val="continue"/>
            <w:shd w:val="clear" w:color="auto" w:fill="D8D8D8" w:themeFill="background1" w:themeFillShade="D9"/>
            <w:vAlign w:val="center"/>
          </w:tcPr>
          <w:p>
            <w:pPr>
              <w:spacing w:line="240" w:lineRule="auto"/>
              <w:ind w:firstLine="0" w:firstLineChars="0"/>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41" w:type="pct"/>
            <w:shd w:val="clear" w:color="auto" w:fill="auto"/>
            <w:noWrap/>
            <w:vAlign w:val="center"/>
          </w:tcPr>
          <w:p>
            <w:pPr>
              <w:spacing w:line="240" w:lineRule="auto"/>
              <w:ind w:firstLine="0" w:firstLineChars="0"/>
              <w:jc w:val="center"/>
              <w:rPr>
                <w:sz w:val="21"/>
                <w:szCs w:val="21"/>
              </w:rPr>
            </w:pPr>
            <w:r>
              <w:rPr>
                <w:sz w:val="21"/>
                <w:szCs w:val="21"/>
              </w:rPr>
              <w:t>1</w:t>
            </w:r>
          </w:p>
        </w:tc>
        <w:tc>
          <w:tcPr>
            <w:tcW w:w="633" w:type="pct"/>
            <w:vAlign w:val="center"/>
          </w:tcPr>
          <w:p>
            <w:pPr>
              <w:spacing w:line="240" w:lineRule="auto"/>
              <w:ind w:firstLine="0" w:firstLineChars="0"/>
              <w:jc w:val="center"/>
              <w:rPr>
                <w:sz w:val="21"/>
                <w:szCs w:val="21"/>
              </w:rPr>
            </w:pPr>
            <w:r>
              <w:rPr>
                <w:sz w:val="21"/>
                <w:szCs w:val="21"/>
              </w:rPr>
              <w:t>COD</w:t>
            </w:r>
          </w:p>
        </w:tc>
        <w:tc>
          <w:tcPr>
            <w:tcW w:w="1145" w:type="pct"/>
            <w:vMerge w:val="restart"/>
            <w:vAlign w:val="center"/>
          </w:tcPr>
          <w:p>
            <w:pPr>
              <w:spacing w:line="240" w:lineRule="auto"/>
              <w:ind w:firstLine="0" w:firstLineChars="0"/>
              <w:jc w:val="center"/>
              <w:rPr>
                <w:sz w:val="21"/>
                <w:szCs w:val="21"/>
              </w:rPr>
            </w:pPr>
            <w:r>
              <w:rPr>
                <w:sz w:val="21"/>
                <w:szCs w:val="21"/>
              </w:rPr>
              <w:t>297</w:t>
            </w:r>
          </w:p>
        </w:tc>
        <w:tc>
          <w:tcPr>
            <w:tcW w:w="992" w:type="pct"/>
            <w:shd w:val="clear" w:color="auto" w:fill="auto"/>
            <w:noWrap/>
            <w:vAlign w:val="center"/>
          </w:tcPr>
          <w:p>
            <w:pPr>
              <w:spacing w:line="240" w:lineRule="auto"/>
              <w:ind w:firstLine="0" w:firstLineChars="0"/>
              <w:jc w:val="center"/>
              <w:rPr>
                <w:sz w:val="21"/>
                <w:szCs w:val="21"/>
              </w:rPr>
            </w:pPr>
            <w:r>
              <w:rPr>
                <w:sz w:val="21"/>
                <w:szCs w:val="21"/>
              </w:rPr>
              <w:t>300</w:t>
            </w:r>
          </w:p>
        </w:tc>
        <w:tc>
          <w:tcPr>
            <w:tcW w:w="687" w:type="pct"/>
            <w:shd w:val="clear" w:color="auto" w:fill="auto"/>
            <w:noWrap/>
            <w:vAlign w:val="center"/>
          </w:tcPr>
          <w:p>
            <w:pPr>
              <w:spacing w:line="240" w:lineRule="auto"/>
              <w:ind w:firstLine="0" w:firstLineChars="0"/>
              <w:jc w:val="center"/>
              <w:rPr>
                <w:sz w:val="21"/>
                <w:szCs w:val="21"/>
              </w:rPr>
            </w:pPr>
            <w:r>
              <w:rPr>
                <w:sz w:val="21"/>
                <w:szCs w:val="21"/>
              </w:rPr>
              <w:t xml:space="preserve">0.0891 </w:t>
            </w:r>
          </w:p>
        </w:tc>
        <w:tc>
          <w:tcPr>
            <w:tcW w:w="610" w:type="pct"/>
            <w:vMerge w:val="restart"/>
            <w:shd w:val="clear" w:color="auto" w:fill="auto"/>
            <w:noWrap/>
            <w:vAlign w:val="center"/>
          </w:tcPr>
          <w:p>
            <w:pPr>
              <w:spacing w:line="240" w:lineRule="auto"/>
              <w:ind w:firstLine="0" w:firstLineChars="0"/>
              <w:jc w:val="center"/>
              <w:rPr>
                <w:sz w:val="21"/>
                <w:szCs w:val="21"/>
              </w:rPr>
            </w:pPr>
            <w:r>
              <w:rPr>
                <w:sz w:val="21"/>
                <w:szCs w:val="21"/>
              </w:rPr>
              <w:t>化粪池收集后，作为农肥，不外排</w:t>
            </w:r>
          </w:p>
        </w:tc>
        <w:tc>
          <w:tcPr>
            <w:tcW w:w="592" w:type="pct"/>
            <w:vMerge w:val="restart"/>
            <w:vAlign w:val="center"/>
          </w:tcPr>
          <w:p>
            <w:pPr>
              <w:spacing w:line="240" w:lineRule="auto"/>
              <w:ind w:firstLine="0" w:firstLineChars="0"/>
              <w:jc w:val="center"/>
              <w:rPr>
                <w:sz w:val="21"/>
                <w:szCs w:val="21"/>
              </w:rPr>
            </w:pPr>
            <w:r>
              <w:rPr>
                <w:sz w:val="21"/>
                <w:szCs w:val="21"/>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341" w:type="pct"/>
            <w:shd w:val="clear" w:color="auto" w:fill="auto"/>
            <w:noWrap/>
            <w:vAlign w:val="center"/>
          </w:tcPr>
          <w:p>
            <w:pPr>
              <w:spacing w:line="240" w:lineRule="auto"/>
              <w:ind w:firstLine="0" w:firstLineChars="0"/>
              <w:jc w:val="center"/>
              <w:rPr>
                <w:sz w:val="21"/>
                <w:szCs w:val="21"/>
              </w:rPr>
            </w:pPr>
            <w:r>
              <w:rPr>
                <w:sz w:val="21"/>
                <w:szCs w:val="21"/>
              </w:rPr>
              <w:t>2</w:t>
            </w:r>
          </w:p>
        </w:tc>
        <w:tc>
          <w:tcPr>
            <w:tcW w:w="633" w:type="pct"/>
            <w:vAlign w:val="center"/>
          </w:tcPr>
          <w:p>
            <w:pPr>
              <w:spacing w:line="240" w:lineRule="auto"/>
              <w:ind w:firstLine="0" w:firstLineChars="0"/>
              <w:jc w:val="center"/>
              <w:rPr>
                <w:sz w:val="21"/>
                <w:szCs w:val="21"/>
              </w:rPr>
            </w:pPr>
            <w:r>
              <w:rPr>
                <w:sz w:val="21"/>
                <w:szCs w:val="21"/>
              </w:rPr>
              <w:t>BOD</w:t>
            </w:r>
            <w:r>
              <w:rPr>
                <w:sz w:val="21"/>
                <w:szCs w:val="21"/>
                <w:vertAlign w:val="subscript"/>
              </w:rPr>
              <w:t>5</w:t>
            </w:r>
          </w:p>
        </w:tc>
        <w:tc>
          <w:tcPr>
            <w:tcW w:w="1145" w:type="pct"/>
            <w:vMerge w:val="continue"/>
            <w:vAlign w:val="center"/>
          </w:tcPr>
          <w:p>
            <w:pPr>
              <w:spacing w:line="240" w:lineRule="auto"/>
              <w:ind w:firstLine="0" w:firstLineChars="0"/>
              <w:jc w:val="center"/>
              <w:rPr>
                <w:sz w:val="21"/>
                <w:szCs w:val="21"/>
              </w:rPr>
            </w:pPr>
          </w:p>
        </w:tc>
        <w:tc>
          <w:tcPr>
            <w:tcW w:w="992" w:type="pct"/>
            <w:shd w:val="clear" w:color="auto" w:fill="auto"/>
            <w:noWrap/>
            <w:vAlign w:val="center"/>
          </w:tcPr>
          <w:p>
            <w:pPr>
              <w:spacing w:line="240" w:lineRule="auto"/>
              <w:ind w:firstLine="0" w:firstLineChars="0"/>
              <w:jc w:val="center"/>
              <w:rPr>
                <w:sz w:val="21"/>
                <w:szCs w:val="21"/>
              </w:rPr>
            </w:pPr>
            <w:r>
              <w:rPr>
                <w:sz w:val="21"/>
                <w:szCs w:val="21"/>
              </w:rPr>
              <w:t>200</w:t>
            </w:r>
          </w:p>
        </w:tc>
        <w:tc>
          <w:tcPr>
            <w:tcW w:w="687" w:type="pct"/>
            <w:shd w:val="clear" w:color="auto" w:fill="auto"/>
            <w:noWrap/>
            <w:vAlign w:val="center"/>
          </w:tcPr>
          <w:p>
            <w:pPr>
              <w:spacing w:line="240" w:lineRule="auto"/>
              <w:ind w:firstLine="0" w:firstLineChars="0"/>
              <w:jc w:val="center"/>
              <w:rPr>
                <w:sz w:val="21"/>
                <w:szCs w:val="21"/>
              </w:rPr>
            </w:pPr>
            <w:r>
              <w:rPr>
                <w:sz w:val="21"/>
                <w:szCs w:val="21"/>
              </w:rPr>
              <w:t xml:space="preserve">0.0594 </w:t>
            </w:r>
          </w:p>
        </w:tc>
        <w:tc>
          <w:tcPr>
            <w:tcW w:w="610" w:type="pct"/>
            <w:vMerge w:val="continue"/>
            <w:shd w:val="clear" w:color="auto" w:fill="auto"/>
            <w:noWrap/>
            <w:vAlign w:val="center"/>
          </w:tcPr>
          <w:p>
            <w:pPr>
              <w:spacing w:line="240" w:lineRule="auto"/>
              <w:ind w:firstLine="0" w:firstLineChars="0"/>
              <w:jc w:val="center"/>
              <w:rPr>
                <w:sz w:val="21"/>
                <w:szCs w:val="21"/>
              </w:rPr>
            </w:pPr>
          </w:p>
        </w:tc>
        <w:tc>
          <w:tcPr>
            <w:tcW w:w="592"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41" w:type="pct"/>
            <w:shd w:val="clear" w:color="auto" w:fill="auto"/>
            <w:noWrap/>
            <w:vAlign w:val="center"/>
          </w:tcPr>
          <w:p>
            <w:pPr>
              <w:spacing w:line="240" w:lineRule="auto"/>
              <w:ind w:firstLine="0" w:firstLineChars="0"/>
              <w:jc w:val="center"/>
              <w:rPr>
                <w:sz w:val="21"/>
                <w:szCs w:val="21"/>
              </w:rPr>
            </w:pPr>
            <w:r>
              <w:rPr>
                <w:sz w:val="21"/>
                <w:szCs w:val="21"/>
              </w:rPr>
              <w:t>3</w:t>
            </w:r>
          </w:p>
        </w:tc>
        <w:tc>
          <w:tcPr>
            <w:tcW w:w="633" w:type="pct"/>
            <w:vAlign w:val="center"/>
          </w:tcPr>
          <w:p>
            <w:pPr>
              <w:spacing w:line="240" w:lineRule="auto"/>
              <w:ind w:firstLine="0" w:firstLineChars="0"/>
              <w:jc w:val="center"/>
              <w:rPr>
                <w:sz w:val="21"/>
                <w:szCs w:val="21"/>
              </w:rPr>
            </w:pPr>
            <w:r>
              <w:rPr>
                <w:sz w:val="21"/>
                <w:szCs w:val="21"/>
              </w:rPr>
              <w:t>SS</w:t>
            </w:r>
          </w:p>
        </w:tc>
        <w:tc>
          <w:tcPr>
            <w:tcW w:w="1145" w:type="pct"/>
            <w:vMerge w:val="continue"/>
            <w:vAlign w:val="center"/>
          </w:tcPr>
          <w:p>
            <w:pPr>
              <w:spacing w:line="240" w:lineRule="auto"/>
              <w:ind w:firstLine="0" w:firstLineChars="0"/>
              <w:jc w:val="center"/>
              <w:rPr>
                <w:sz w:val="21"/>
                <w:szCs w:val="21"/>
              </w:rPr>
            </w:pPr>
          </w:p>
        </w:tc>
        <w:tc>
          <w:tcPr>
            <w:tcW w:w="992" w:type="pct"/>
            <w:shd w:val="clear" w:color="auto" w:fill="auto"/>
            <w:noWrap/>
            <w:vAlign w:val="center"/>
          </w:tcPr>
          <w:p>
            <w:pPr>
              <w:spacing w:line="240" w:lineRule="auto"/>
              <w:ind w:firstLine="0" w:firstLineChars="0"/>
              <w:jc w:val="center"/>
              <w:rPr>
                <w:sz w:val="21"/>
                <w:szCs w:val="21"/>
              </w:rPr>
            </w:pPr>
            <w:r>
              <w:rPr>
                <w:sz w:val="21"/>
                <w:szCs w:val="21"/>
              </w:rPr>
              <w:t>250</w:t>
            </w:r>
          </w:p>
        </w:tc>
        <w:tc>
          <w:tcPr>
            <w:tcW w:w="687" w:type="pct"/>
            <w:shd w:val="clear" w:color="auto" w:fill="auto"/>
            <w:noWrap/>
            <w:vAlign w:val="center"/>
          </w:tcPr>
          <w:p>
            <w:pPr>
              <w:spacing w:line="240" w:lineRule="auto"/>
              <w:ind w:firstLine="0" w:firstLineChars="0"/>
              <w:jc w:val="center"/>
              <w:rPr>
                <w:sz w:val="21"/>
                <w:szCs w:val="21"/>
              </w:rPr>
            </w:pPr>
            <w:r>
              <w:rPr>
                <w:sz w:val="21"/>
                <w:szCs w:val="21"/>
              </w:rPr>
              <w:t xml:space="preserve">0.0743 </w:t>
            </w:r>
          </w:p>
        </w:tc>
        <w:tc>
          <w:tcPr>
            <w:tcW w:w="610" w:type="pct"/>
            <w:vMerge w:val="continue"/>
            <w:shd w:val="clear" w:color="auto" w:fill="auto"/>
            <w:noWrap/>
            <w:vAlign w:val="center"/>
          </w:tcPr>
          <w:p>
            <w:pPr>
              <w:spacing w:line="240" w:lineRule="auto"/>
              <w:ind w:firstLine="0" w:firstLineChars="0"/>
              <w:jc w:val="center"/>
              <w:rPr>
                <w:sz w:val="21"/>
                <w:szCs w:val="21"/>
              </w:rPr>
            </w:pPr>
          </w:p>
        </w:tc>
        <w:tc>
          <w:tcPr>
            <w:tcW w:w="592"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341" w:type="pct"/>
            <w:shd w:val="clear" w:color="auto" w:fill="auto"/>
            <w:noWrap/>
            <w:vAlign w:val="center"/>
          </w:tcPr>
          <w:p>
            <w:pPr>
              <w:spacing w:line="240" w:lineRule="auto"/>
              <w:ind w:firstLine="0" w:firstLineChars="0"/>
              <w:jc w:val="center"/>
              <w:rPr>
                <w:sz w:val="21"/>
                <w:szCs w:val="21"/>
              </w:rPr>
            </w:pPr>
            <w:r>
              <w:rPr>
                <w:sz w:val="21"/>
                <w:szCs w:val="21"/>
              </w:rPr>
              <w:t>4</w:t>
            </w:r>
          </w:p>
        </w:tc>
        <w:tc>
          <w:tcPr>
            <w:tcW w:w="633" w:type="pct"/>
            <w:vAlign w:val="center"/>
          </w:tcPr>
          <w:p>
            <w:pPr>
              <w:spacing w:line="240" w:lineRule="auto"/>
              <w:ind w:firstLine="0" w:firstLineChars="0"/>
              <w:jc w:val="center"/>
              <w:rPr>
                <w:sz w:val="21"/>
                <w:szCs w:val="21"/>
              </w:rPr>
            </w:pPr>
            <w:r>
              <w:rPr>
                <w:sz w:val="21"/>
                <w:szCs w:val="21"/>
              </w:rPr>
              <w:t>氨氮</w:t>
            </w:r>
          </w:p>
        </w:tc>
        <w:tc>
          <w:tcPr>
            <w:tcW w:w="1145" w:type="pct"/>
            <w:vMerge w:val="continue"/>
            <w:vAlign w:val="center"/>
          </w:tcPr>
          <w:p>
            <w:pPr>
              <w:spacing w:line="240" w:lineRule="auto"/>
              <w:ind w:firstLine="0" w:firstLineChars="0"/>
              <w:jc w:val="center"/>
              <w:rPr>
                <w:sz w:val="21"/>
                <w:szCs w:val="21"/>
              </w:rPr>
            </w:pPr>
          </w:p>
        </w:tc>
        <w:tc>
          <w:tcPr>
            <w:tcW w:w="992" w:type="pct"/>
            <w:shd w:val="clear" w:color="auto" w:fill="auto"/>
            <w:noWrap/>
            <w:vAlign w:val="center"/>
          </w:tcPr>
          <w:p>
            <w:pPr>
              <w:spacing w:line="240" w:lineRule="auto"/>
              <w:ind w:firstLine="0" w:firstLineChars="0"/>
              <w:jc w:val="center"/>
              <w:rPr>
                <w:sz w:val="21"/>
                <w:szCs w:val="21"/>
              </w:rPr>
            </w:pPr>
            <w:r>
              <w:rPr>
                <w:sz w:val="21"/>
                <w:szCs w:val="21"/>
              </w:rPr>
              <w:t>30</w:t>
            </w:r>
          </w:p>
        </w:tc>
        <w:tc>
          <w:tcPr>
            <w:tcW w:w="687" w:type="pct"/>
            <w:shd w:val="clear" w:color="auto" w:fill="auto"/>
            <w:noWrap/>
            <w:vAlign w:val="center"/>
          </w:tcPr>
          <w:p>
            <w:pPr>
              <w:spacing w:line="240" w:lineRule="auto"/>
              <w:ind w:firstLine="0" w:firstLineChars="0"/>
              <w:jc w:val="center"/>
              <w:rPr>
                <w:sz w:val="21"/>
                <w:szCs w:val="21"/>
              </w:rPr>
            </w:pPr>
            <w:r>
              <w:rPr>
                <w:sz w:val="21"/>
                <w:szCs w:val="21"/>
              </w:rPr>
              <w:t xml:space="preserve">0.0089 </w:t>
            </w:r>
          </w:p>
        </w:tc>
        <w:tc>
          <w:tcPr>
            <w:tcW w:w="610" w:type="pct"/>
            <w:vMerge w:val="continue"/>
            <w:shd w:val="clear" w:color="auto" w:fill="auto"/>
            <w:noWrap/>
            <w:vAlign w:val="center"/>
          </w:tcPr>
          <w:p>
            <w:pPr>
              <w:spacing w:line="240" w:lineRule="auto"/>
              <w:ind w:firstLine="0" w:firstLineChars="0"/>
              <w:jc w:val="center"/>
              <w:rPr>
                <w:sz w:val="21"/>
                <w:szCs w:val="21"/>
              </w:rPr>
            </w:pPr>
          </w:p>
        </w:tc>
        <w:tc>
          <w:tcPr>
            <w:tcW w:w="592"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41" w:type="pct"/>
            <w:shd w:val="clear" w:color="auto" w:fill="auto"/>
            <w:noWrap/>
            <w:vAlign w:val="center"/>
          </w:tcPr>
          <w:p>
            <w:pPr>
              <w:spacing w:line="240" w:lineRule="auto"/>
              <w:ind w:firstLine="0" w:firstLineChars="0"/>
              <w:jc w:val="center"/>
              <w:rPr>
                <w:sz w:val="21"/>
                <w:szCs w:val="21"/>
              </w:rPr>
            </w:pPr>
            <w:r>
              <w:rPr>
                <w:sz w:val="21"/>
                <w:szCs w:val="21"/>
              </w:rPr>
              <w:t>5</w:t>
            </w:r>
          </w:p>
        </w:tc>
        <w:tc>
          <w:tcPr>
            <w:tcW w:w="633" w:type="pct"/>
            <w:vAlign w:val="center"/>
          </w:tcPr>
          <w:p>
            <w:pPr>
              <w:spacing w:line="240" w:lineRule="auto"/>
              <w:ind w:firstLine="0" w:firstLineChars="0"/>
              <w:jc w:val="center"/>
              <w:rPr>
                <w:sz w:val="21"/>
                <w:szCs w:val="21"/>
              </w:rPr>
            </w:pPr>
            <w:r>
              <w:rPr>
                <w:sz w:val="21"/>
                <w:szCs w:val="21"/>
              </w:rPr>
              <w:t>动植物油</w:t>
            </w:r>
          </w:p>
        </w:tc>
        <w:tc>
          <w:tcPr>
            <w:tcW w:w="1145" w:type="pct"/>
            <w:vMerge w:val="continue"/>
            <w:vAlign w:val="center"/>
          </w:tcPr>
          <w:p>
            <w:pPr>
              <w:spacing w:line="240" w:lineRule="auto"/>
              <w:ind w:firstLine="0" w:firstLineChars="0"/>
              <w:jc w:val="center"/>
              <w:rPr>
                <w:sz w:val="21"/>
                <w:szCs w:val="21"/>
              </w:rPr>
            </w:pPr>
          </w:p>
        </w:tc>
        <w:tc>
          <w:tcPr>
            <w:tcW w:w="992" w:type="pct"/>
            <w:shd w:val="clear" w:color="auto" w:fill="auto"/>
            <w:noWrap/>
            <w:vAlign w:val="center"/>
          </w:tcPr>
          <w:p>
            <w:pPr>
              <w:spacing w:line="240" w:lineRule="auto"/>
              <w:ind w:firstLine="0" w:firstLineChars="0"/>
              <w:jc w:val="center"/>
              <w:rPr>
                <w:sz w:val="21"/>
                <w:szCs w:val="21"/>
              </w:rPr>
            </w:pPr>
            <w:r>
              <w:rPr>
                <w:sz w:val="21"/>
                <w:szCs w:val="21"/>
              </w:rPr>
              <w:t>50</w:t>
            </w:r>
          </w:p>
        </w:tc>
        <w:tc>
          <w:tcPr>
            <w:tcW w:w="687" w:type="pct"/>
            <w:shd w:val="clear" w:color="auto" w:fill="auto"/>
            <w:noWrap/>
            <w:vAlign w:val="center"/>
          </w:tcPr>
          <w:p>
            <w:pPr>
              <w:spacing w:line="240" w:lineRule="auto"/>
              <w:ind w:firstLine="0" w:firstLineChars="0"/>
              <w:jc w:val="center"/>
              <w:rPr>
                <w:sz w:val="21"/>
                <w:szCs w:val="21"/>
              </w:rPr>
            </w:pPr>
            <w:r>
              <w:rPr>
                <w:sz w:val="21"/>
                <w:szCs w:val="21"/>
              </w:rPr>
              <w:t xml:space="preserve">0.0149 </w:t>
            </w:r>
          </w:p>
        </w:tc>
        <w:tc>
          <w:tcPr>
            <w:tcW w:w="610" w:type="pct"/>
            <w:vMerge w:val="continue"/>
            <w:shd w:val="clear" w:color="auto" w:fill="auto"/>
            <w:noWrap/>
            <w:vAlign w:val="center"/>
          </w:tcPr>
          <w:p>
            <w:pPr>
              <w:spacing w:line="240" w:lineRule="auto"/>
              <w:ind w:firstLine="0" w:firstLineChars="0"/>
              <w:jc w:val="center"/>
              <w:rPr>
                <w:sz w:val="21"/>
                <w:szCs w:val="21"/>
              </w:rPr>
            </w:pPr>
          </w:p>
        </w:tc>
        <w:tc>
          <w:tcPr>
            <w:tcW w:w="592" w:type="pct"/>
            <w:vMerge w:val="continue"/>
            <w:vAlign w:val="center"/>
          </w:tcPr>
          <w:p>
            <w:pPr>
              <w:spacing w:line="240" w:lineRule="auto"/>
              <w:ind w:firstLine="0" w:firstLineChars="0"/>
              <w:jc w:val="center"/>
              <w:rPr>
                <w:sz w:val="21"/>
                <w:szCs w:val="21"/>
              </w:rPr>
            </w:pPr>
          </w:p>
        </w:tc>
      </w:tr>
    </w:tbl>
    <w:p>
      <w:pPr>
        <w:autoSpaceDE w:val="0"/>
        <w:autoSpaceDN w:val="0"/>
        <w:spacing w:line="360" w:lineRule="auto"/>
        <w:ind w:firstLine="480"/>
        <w:jc w:val="both"/>
        <w:outlineLvl w:val="3"/>
        <w:rPr>
          <w:kern w:val="0"/>
          <w:sz w:val="24"/>
          <w:szCs w:val="24"/>
        </w:rPr>
      </w:pPr>
      <w:r>
        <w:rPr>
          <w:kern w:val="0"/>
          <w:sz w:val="24"/>
          <w:szCs w:val="24"/>
        </w:rPr>
        <w:t>（3）噪声</w:t>
      </w:r>
    </w:p>
    <w:p>
      <w:pPr>
        <w:pStyle w:val="1262"/>
        <w:adjustRightInd w:val="0"/>
        <w:snapToGrid w:val="0"/>
        <w:spacing w:line="360" w:lineRule="auto"/>
        <w:rPr>
          <w:color w:val="auto"/>
          <w:szCs w:val="26"/>
        </w:rPr>
      </w:pPr>
      <w:r>
        <w:rPr>
          <w:rFonts w:hint="eastAsia" w:ascii="宋体" w:hAnsi="宋体" w:cs="宋体"/>
          <w:color w:val="auto"/>
          <w:szCs w:val="26"/>
        </w:rPr>
        <w:t>①</w:t>
      </w:r>
      <w:r>
        <w:rPr>
          <w:color w:val="auto"/>
          <w:szCs w:val="26"/>
        </w:rPr>
        <w:t>噪声源及防治措施</w:t>
      </w:r>
    </w:p>
    <w:p>
      <w:pPr>
        <w:pStyle w:val="1262"/>
        <w:adjustRightInd w:val="0"/>
        <w:snapToGrid w:val="0"/>
        <w:spacing w:line="360" w:lineRule="auto"/>
        <w:rPr>
          <w:color w:val="auto"/>
          <w:szCs w:val="26"/>
        </w:rPr>
      </w:pPr>
      <w:r>
        <w:rPr>
          <w:color w:val="auto"/>
          <w:szCs w:val="26"/>
        </w:rPr>
        <w:t>噪声源主要来自破碎机、筛分机、挖掘机、装载机等设备。筛分机、破碎机等采取基础减振、建筑隔声及距离衰减等措施；运输全部安排在昼间进行，运输车辆采取限速禁鸣措施。夜间不生产。</w:t>
      </w:r>
    </w:p>
    <w:p>
      <w:pPr>
        <w:spacing w:line="360" w:lineRule="auto"/>
        <w:ind w:firstLine="480"/>
        <w:rPr>
          <w:kern w:val="0"/>
          <w:sz w:val="24"/>
          <w:szCs w:val="24"/>
        </w:rPr>
      </w:pPr>
      <w:r>
        <w:rPr>
          <w:rFonts w:hint="eastAsia" w:ascii="宋体" w:hAnsi="宋体" w:cs="宋体"/>
          <w:kern w:val="0"/>
          <w:sz w:val="24"/>
          <w:szCs w:val="24"/>
        </w:rPr>
        <w:t>②</w:t>
      </w:r>
      <w:r>
        <w:rPr>
          <w:kern w:val="0"/>
          <w:sz w:val="24"/>
          <w:szCs w:val="24"/>
        </w:rPr>
        <w:t>达标分析</w:t>
      </w:r>
    </w:p>
    <w:p>
      <w:pPr>
        <w:spacing w:line="360" w:lineRule="auto"/>
        <w:ind w:firstLine="480"/>
        <w:rPr>
          <w:kern w:val="0"/>
          <w:sz w:val="24"/>
          <w:szCs w:val="24"/>
        </w:rPr>
      </w:pPr>
      <w:r>
        <w:rPr>
          <w:kern w:val="0"/>
          <w:sz w:val="24"/>
          <w:szCs w:val="24"/>
        </w:rPr>
        <w:t>根据《茶园村采石场70万吨扩建项目竣工环境保护验收调查报告》及验收监测报告（中质环（检）字【2022】第Y210141号），厂界噪声监测结果见下表；</w:t>
      </w:r>
    </w:p>
    <w:p>
      <w:pPr>
        <w:pStyle w:val="84"/>
      </w:pPr>
      <w:r>
        <w:t>表2.3-11  噪声监测结果一览表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559"/>
        <w:gridCol w:w="1984"/>
        <w:gridCol w:w="1843"/>
        <w:gridCol w:w="1276"/>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tblHeader/>
          <w:jc w:val="center"/>
        </w:trPr>
        <w:tc>
          <w:tcPr>
            <w:tcW w:w="74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监测日期</w:t>
            </w:r>
          </w:p>
        </w:tc>
        <w:tc>
          <w:tcPr>
            <w:tcW w:w="83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监测项目</w:t>
            </w:r>
          </w:p>
        </w:tc>
        <w:tc>
          <w:tcPr>
            <w:tcW w:w="106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测点编号</w:t>
            </w:r>
          </w:p>
        </w:tc>
        <w:tc>
          <w:tcPr>
            <w:tcW w:w="99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监测结果 Leq[dB（A）]</w:t>
            </w:r>
          </w:p>
        </w:tc>
        <w:tc>
          <w:tcPr>
            <w:tcW w:w="68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标准值[dB（A）]</w:t>
            </w:r>
          </w:p>
        </w:tc>
        <w:tc>
          <w:tcPr>
            <w:tcW w:w="66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达标判定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blHeader/>
          <w:jc w:val="center"/>
        </w:trPr>
        <w:tc>
          <w:tcPr>
            <w:tcW w:w="745" w:type="pct"/>
            <w:vMerge w:val="restart"/>
            <w:shd w:val="clear" w:color="auto" w:fill="auto"/>
            <w:vAlign w:val="center"/>
          </w:tcPr>
          <w:p>
            <w:pPr>
              <w:spacing w:line="240" w:lineRule="auto"/>
              <w:ind w:firstLine="0" w:firstLineChars="0"/>
              <w:jc w:val="center"/>
              <w:rPr>
                <w:sz w:val="21"/>
                <w:szCs w:val="21"/>
              </w:rPr>
            </w:pPr>
            <w:r>
              <w:rPr>
                <w:sz w:val="21"/>
                <w:szCs w:val="21"/>
              </w:rPr>
              <w:t>2021年12月30日</w:t>
            </w:r>
          </w:p>
        </w:tc>
        <w:tc>
          <w:tcPr>
            <w:tcW w:w="839" w:type="pct"/>
            <w:vMerge w:val="restart"/>
            <w:shd w:val="clear" w:color="auto" w:fill="auto"/>
            <w:vAlign w:val="center"/>
          </w:tcPr>
          <w:p>
            <w:pPr>
              <w:spacing w:line="240" w:lineRule="auto"/>
              <w:ind w:firstLine="0" w:firstLineChars="0"/>
              <w:jc w:val="center"/>
              <w:rPr>
                <w:b/>
                <w:bCs/>
                <w:sz w:val="21"/>
                <w:szCs w:val="21"/>
              </w:rPr>
            </w:pPr>
            <w:r>
              <w:rPr>
                <w:sz w:val="21"/>
                <w:szCs w:val="21"/>
              </w:rPr>
              <w:t>工业企业厂界环境噪声</w:t>
            </w:r>
          </w:p>
        </w:tc>
        <w:tc>
          <w:tcPr>
            <w:tcW w:w="1068" w:type="pct"/>
            <w:shd w:val="clear" w:color="auto" w:fill="auto"/>
            <w:vAlign w:val="center"/>
          </w:tcPr>
          <w:p>
            <w:pPr>
              <w:spacing w:line="240" w:lineRule="auto"/>
              <w:ind w:firstLine="0" w:firstLineChars="0"/>
              <w:jc w:val="center"/>
              <w:rPr>
                <w:sz w:val="21"/>
                <w:szCs w:val="21"/>
              </w:rPr>
            </w:pPr>
            <w:r>
              <w:rPr>
                <w:sz w:val="21"/>
                <w:szCs w:val="21"/>
              </w:rPr>
              <w:t>Z1-1（昼间）</w:t>
            </w:r>
          </w:p>
        </w:tc>
        <w:tc>
          <w:tcPr>
            <w:tcW w:w="992" w:type="pct"/>
            <w:vAlign w:val="center"/>
          </w:tcPr>
          <w:p>
            <w:pPr>
              <w:spacing w:line="240" w:lineRule="auto"/>
              <w:ind w:firstLine="0" w:firstLineChars="0"/>
              <w:jc w:val="center"/>
              <w:rPr>
                <w:sz w:val="21"/>
                <w:szCs w:val="21"/>
              </w:rPr>
            </w:pPr>
            <w:r>
              <w:rPr>
                <w:sz w:val="21"/>
                <w:szCs w:val="21"/>
              </w:rPr>
              <w:t>56</w:t>
            </w:r>
          </w:p>
        </w:tc>
        <w:tc>
          <w:tcPr>
            <w:tcW w:w="687" w:type="pct"/>
            <w:vMerge w:val="restart"/>
            <w:shd w:val="clear" w:color="auto" w:fill="auto"/>
            <w:vAlign w:val="center"/>
          </w:tcPr>
          <w:p>
            <w:pPr>
              <w:spacing w:line="240" w:lineRule="auto"/>
              <w:ind w:firstLine="0" w:firstLineChars="0"/>
              <w:jc w:val="center"/>
              <w:rPr>
                <w:sz w:val="21"/>
                <w:szCs w:val="21"/>
              </w:rPr>
            </w:pPr>
            <w:r>
              <w:rPr>
                <w:sz w:val="21"/>
                <w:szCs w:val="21"/>
              </w:rPr>
              <w:t>≤60</w:t>
            </w:r>
          </w:p>
        </w:tc>
        <w:tc>
          <w:tcPr>
            <w:tcW w:w="668"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blHeader/>
          <w:jc w:val="center"/>
        </w:trPr>
        <w:tc>
          <w:tcPr>
            <w:tcW w:w="745" w:type="pct"/>
            <w:vMerge w:val="continue"/>
            <w:shd w:val="clear" w:color="auto" w:fill="auto"/>
            <w:vAlign w:val="center"/>
          </w:tcPr>
          <w:p>
            <w:pPr>
              <w:spacing w:line="240" w:lineRule="auto"/>
              <w:ind w:firstLine="0" w:firstLineChars="0"/>
              <w:jc w:val="center"/>
              <w:rPr>
                <w:sz w:val="21"/>
                <w:szCs w:val="21"/>
              </w:rPr>
            </w:pPr>
          </w:p>
        </w:tc>
        <w:tc>
          <w:tcPr>
            <w:tcW w:w="839" w:type="pct"/>
            <w:vMerge w:val="continue"/>
            <w:shd w:val="clear" w:color="auto" w:fill="auto"/>
            <w:vAlign w:val="center"/>
          </w:tcPr>
          <w:p>
            <w:pPr>
              <w:spacing w:line="240" w:lineRule="auto"/>
              <w:ind w:firstLine="0" w:firstLineChars="0"/>
              <w:jc w:val="center"/>
              <w:rPr>
                <w:sz w:val="21"/>
                <w:szCs w:val="21"/>
              </w:rPr>
            </w:pPr>
          </w:p>
        </w:tc>
        <w:tc>
          <w:tcPr>
            <w:tcW w:w="1068" w:type="pct"/>
            <w:shd w:val="clear" w:color="auto" w:fill="auto"/>
            <w:vAlign w:val="center"/>
          </w:tcPr>
          <w:p>
            <w:pPr>
              <w:spacing w:line="240" w:lineRule="auto"/>
              <w:ind w:firstLine="0" w:firstLineChars="0"/>
              <w:jc w:val="center"/>
              <w:rPr>
                <w:sz w:val="21"/>
                <w:szCs w:val="21"/>
              </w:rPr>
            </w:pPr>
            <w:r>
              <w:rPr>
                <w:sz w:val="21"/>
                <w:szCs w:val="21"/>
              </w:rPr>
              <w:t>Z1-2（昼间）</w:t>
            </w:r>
          </w:p>
        </w:tc>
        <w:tc>
          <w:tcPr>
            <w:tcW w:w="992" w:type="pct"/>
            <w:vAlign w:val="center"/>
          </w:tcPr>
          <w:p>
            <w:pPr>
              <w:spacing w:line="240" w:lineRule="auto"/>
              <w:ind w:firstLine="0" w:firstLineChars="0"/>
              <w:jc w:val="center"/>
              <w:rPr>
                <w:sz w:val="21"/>
                <w:szCs w:val="21"/>
              </w:rPr>
            </w:pPr>
            <w:r>
              <w:rPr>
                <w:sz w:val="21"/>
                <w:szCs w:val="21"/>
              </w:rPr>
              <w:t>56</w:t>
            </w:r>
          </w:p>
        </w:tc>
        <w:tc>
          <w:tcPr>
            <w:tcW w:w="687" w:type="pct"/>
            <w:vMerge w:val="continue"/>
            <w:shd w:val="clear" w:color="auto" w:fill="auto"/>
            <w:vAlign w:val="center"/>
          </w:tcPr>
          <w:p>
            <w:pPr>
              <w:spacing w:line="240" w:lineRule="auto"/>
              <w:ind w:firstLine="0" w:firstLineChars="0"/>
              <w:jc w:val="center"/>
              <w:rPr>
                <w:sz w:val="21"/>
                <w:szCs w:val="21"/>
              </w:rPr>
            </w:pPr>
          </w:p>
        </w:tc>
        <w:tc>
          <w:tcPr>
            <w:tcW w:w="668"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3" w:hRule="atLeast"/>
          <w:tblHeader/>
          <w:jc w:val="center"/>
        </w:trPr>
        <w:tc>
          <w:tcPr>
            <w:tcW w:w="745" w:type="pct"/>
            <w:vMerge w:val="restart"/>
            <w:shd w:val="clear" w:color="auto" w:fill="auto"/>
            <w:vAlign w:val="center"/>
          </w:tcPr>
          <w:p>
            <w:pPr>
              <w:spacing w:line="240" w:lineRule="auto"/>
              <w:ind w:firstLine="0" w:firstLineChars="0"/>
              <w:jc w:val="center"/>
              <w:rPr>
                <w:sz w:val="21"/>
                <w:szCs w:val="21"/>
              </w:rPr>
            </w:pPr>
            <w:r>
              <w:rPr>
                <w:sz w:val="21"/>
                <w:szCs w:val="21"/>
              </w:rPr>
              <w:t>2021年12月31日</w:t>
            </w:r>
          </w:p>
        </w:tc>
        <w:tc>
          <w:tcPr>
            <w:tcW w:w="839" w:type="pct"/>
            <w:vMerge w:val="restart"/>
            <w:shd w:val="clear" w:color="auto" w:fill="auto"/>
            <w:vAlign w:val="center"/>
          </w:tcPr>
          <w:p>
            <w:pPr>
              <w:spacing w:line="240" w:lineRule="auto"/>
              <w:ind w:firstLine="0" w:firstLineChars="0"/>
              <w:jc w:val="center"/>
              <w:rPr>
                <w:sz w:val="21"/>
                <w:szCs w:val="21"/>
              </w:rPr>
            </w:pPr>
            <w:r>
              <w:rPr>
                <w:sz w:val="21"/>
                <w:szCs w:val="21"/>
              </w:rPr>
              <w:t>工业企业厂界环境噪声</w:t>
            </w:r>
          </w:p>
        </w:tc>
        <w:tc>
          <w:tcPr>
            <w:tcW w:w="1068" w:type="pct"/>
            <w:shd w:val="clear" w:color="auto" w:fill="auto"/>
            <w:vAlign w:val="center"/>
          </w:tcPr>
          <w:p>
            <w:pPr>
              <w:spacing w:line="240" w:lineRule="auto"/>
              <w:ind w:firstLine="0" w:firstLineChars="0"/>
              <w:jc w:val="center"/>
              <w:rPr>
                <w:sz w:val="21"/>
                <w:szCs w:val="21"/>
              </w:rPr>
            </w:pPr>
            <w:r>
              <w:rPr>
                <w:sz w:val="21"/>
                <w:szCs w:val="21"/>
              </w:rPr>
              <w:t>Z2-1（昼间）</w:t>
            </w:r>
          </w:p>
        </w:tc>
        <w:tc>
          <w:tcPr>
            <w:tcW w:w="992" w:type="pct"/>
            <w:vAlign w:val="center"/>
          </w:tcPr>
          <w:p>
            <w:pPr>
              <w:spacing w:line="240" w:lineRule="auto"/>
              <w:ind w:firstLine="0" w:firstLineChars="0"/>
              <w:jc w:val="center"/>
              <w:rPr>
                <w:sz w:val="21"/>
                <w:szCs w:val="21"/>
              </w:rPr>
            </w:pPr>
            <w:r>
              <w:rPr>
                <w:sz w:val="21"/>
                <w:szCs w:val="21"/>
              </w:rPr>
              <w:t>57</w:t>
            </w:r>
          </w:p>
        </w:tc>
        <w:tc>
          <w:tcPr>
            <w:tcW w:w="687" w:type="pct"/>
            <w:vMerge w:val="restart"/>
            <w:shd w:val="clear" w:color="auto" w:fill="auto"/>
            <w:vAlign w:val="center"/>
          </w:tcPr>
          <w:p>
            <w:pPr>
              <w:spacing w:line="240" w:lineRule="auto"/>
              <w:ind w:firstLine="0" w:firstLineChars="0"/>
              <w:jc w:val="center"/>
              <w:rPr>
                <w:sz w:val="21"/>
                <w:szCs w:val="21"/>
              </w:rPr>
            </w:pPr>
            <w:r>
              <w:rPr>
                <w:sz w:val="21"/>
                <w:szCs w:val="21"/>
              </w:rPr>
              <w:t>≤60</w:t>
            </w:r>
          </w:p>
        </w:tc>
        <w:tc>
          <w:tcPr>
            <w:tcW w:w="668"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blHeader/>
          <w:jc w:val="center"/>
        </w:trPr>
        <w:tc>
          <w:tcPr>
            <w:tcW w:w="745" w:type="pct"/>
            <w:vMerge w:val="continue"/>
            <w:shd w:val="clear" w:color="auto" w:fill="auto"/>
            <w:vAlign w:val="center"/>
          </w:tcPr>
          <w:p>
            <w:pPr>
              <w:spacing w:line="240" w:lineRule="auto"/>
              <w:ind w:firstLine="0" w:firstLineChars="0"/>
              <w:jc w:val="center"/>
              <w:rPr>
                <w:sz w:val="21"/>
                <w:szCs w:val="21"/>
              </w:rPr>
            </w:pPr>
          </w:p>
        </w:tc>
        <w:tc>
          <w:tcPr>
            <w:tcW w:w="839" w:type="pct"/>
            <w:vMerge w:val="continue"/>
            <w:shd w:val="clear" w:color="auto" w:fill="auto"/>
            <w:vAlign w:val="center"/>
          </w:tcPr>
          <w:p>
            <w:pPr>
              <w:spacing w:line="240" w:lineRule="auto"/>
              <w:ind w:firstLine="0" w:firstLineChars="0"/>
              <w:jc w:val="center"/>
              <w:rPr>
                <w:sz w:val="21"/>
                <w:szCs w:val="21"/>
              </w:rPr>
            </w:pPr>
          </w:p>
        </w:tc>
        <w:tc>
          <w:tcPr>
            <w:tcW w:w="1068" w:type="pct"/>
            <w:shd w:val="clear" w:color="auto" w:fill="auto"/>
            <w:vAlign w:val="center"/>
          </w:tcPr>
          <w:p>
            <w:pPr>
              <w:spacing w:line="240" w:lineRule="auto"/>
              <w:ind w:firstLine="0" w:firstLineChars="0"/>
              <w:jc w:val="center"/>
              <w:rPr>
                <w:sz w:val="21"/>
                <w:szCs w:val="21"/>
              </w:rPr>
            </w:pPr>
            <w:r>
              <w:rPr>
                <w:sz w:val="21"/>
                <w:szCs w:val="21"/>
              </w:rPr>
              <w:t>Z2-2（昼间）</w:t>
            </w:r>
          </w:p>
        </w:tc>
        <w:tc>
          <w:tcPr>
            <w:tcW w:w="992" w:type="pct"/>
            <w:vAlign w:val="center"/>
          </w:tcPr>
          <w:p>
            <w:pPr>
              <w:spacing w:line="240" w:lineRule="auto"/>
              <w:ind w:firstLine="0" w:firstLineChars="0"/>
              <w:jc w:val="center"/>
              <w:rPr>
                <w:sz w:val="21"/>
                <w:szCs w:val="21"/>
              </w:rPr>
            </w:pPr>
            <w:r>
              <w:rPr>
                <w:sz w:val="21"/>
                <w:szCs w:val="21"/>
              </w:rPr>
              <w:t>56</w:t>
            </w:r>
          </w:p>
        </w:tc>
        <w:tc>
          <w:tcPr>
            <w:tcW w:w="687" w:type="pct"/>
            <w:vMerge w:val="continue"/>
            <w:shd w:val="clear" w:color="auto" w:fill="auto"/>
            <w:vAlign w:val="center"/>
          </w:tcPr>
          <w:p>
            <w:pPr>
              <w:spacing w:line="240" w:lineRule="auto"/>
              <w:ind w:firstLine="0" w:firstLineChars="0"/>
              <w:jc w:val="center"/>
              <w:rPr>
                <w:sz w:val="21"/>
                <w:szCs w:val="21"/>
              </w:rPr>
            </w:pPr>
          </w:p>
        </w:tc>
        <w:tc>
          <w:tcPr>
            <w:tcW w:w="668" w:type="pct"/>
            <w:vAlign w:val="center"/>
          </w:tcPr>
          <w:p>
            <w:pPr>
              <w:spacing w:line="240" w:lineRule="auto"/>
              <w:ind w:firstLine="0" w:firstLineChars="0"/>
              <w:jc w:val="center"/>
              <w:rPr>
                <w:sz w:val="21"/>
                <w:szCs w:val="21"/>
              </w:rPr>
            </w:pPr>
            <w:r>
              <w:rPr>
                <w:sz w:val="21"/>
                <w:szCs w:val="21"/>
              </w:rPr>
              <w:t>达标</w:t>
            </w:r>
          </w:p>
        </w:tc>
      </w:tr>
    </w:tbl>
    <w:p>
      <w:pPr>
        <w:pStyle w:val="1262"/>
        <w:adjustRightInd w:val="0"/>
        <w:snapToGrid w:val="0"/>
        <w:spacing w:line="360" w:lineRule="auto"/>
        <w:rPr>
          <w:color w:val="auto"/>
          <w:szCs w:val="26"/>
        </w:rPr>
      </w:pPr>
      <w:r>
        <w:rPr>
          <w:color w:val="auto"/>
          <w:szCs w:val="26"/>
        </w:rPr>
        <w:t>根据竣工验收监测报告，厂界处噪声满足《工业企业厂界环境噪声排放标准》（B12348-2008）中2类标准。</w:t>
      </w:r>
    </w:p>
    <w:p>
      <w:pPr>
        <w:autoSpaceDE w:val="0"/>
        <w:autoSpaceDN w:val="0"/>
        <w:spacing w:line="360" w:lineRule="auto"/>
        <w:ind w:firstLine="480"/>
        <w:jc w:val="both"/>
        <w:outlineLvl w:val="3"/>
        <w:rPr>
          <w:kern w:val="0"/>
          <w:sz w:val="24"/>
          <w:szCs w:val="24"/>
        </w:rPr>
      </w:pPr>
      <w:r>
        <w:rPr>
          <w:kern w:val="0"/>
          <w:sz w:val="24"/>
          <w:szCs w:val="24"/>
        </w:rPr>
        <w:t>（4）固废</w:t>
      </w:r>
    </w:p>
    <w:p>
      <w:pPr>
        <w:pStyle w:val="1262"/>
        <w:spacing w:line="360" w:lineRule="auto"/>
        <w:rPr>
          <w:color w:val="auto"/>
          <w:szCs w:val="26"/>
        </w:rPr>
      </w:pPr>
      <w:r>
        <w:rPr>
          <w:color w:val="auto"/>
          <w:szCs w:val="26"/>
        </w:rPr>
        <w:t>开采区产生的剥离物堆放在临时排土场，用于开采区复垦绿化用土。</w:t>
      </w:r>
    </w:p>
    <w:p>
      <w:pPr>
        <w:pStyle w:val="1262"/>
        <w:spacing w:line="360" w:lineRule="auto"/>
        <w:rPr>
          <w:color w:val="auto"/>
          <w:szCs w:val="26"/>
        </w:rPr>
      </w:pPr>
      <w:r>
        <w:rPr>
          <w:color w:val="auto"/>
          <w:szCs w:val="26"/>
        </w:rPr>
        <w:t>布袋除尘器收集粉尘，与产品一同外售。</w:t>
      </w:r>
    </w:p>
    <w:p>
      <w:pPr>
        <w:pStyle w:val="1262"/>
        <w:spacing w:line="360" w:lineRule="auto"/>
        <w:rPr>
          <w:color w:val="auto"/>
          <w:szCs w:val="26"/>
        </w:rPr>
      </w:pPr>
      <w:r>
        <w:rPr>
          <w:color w:val="auto"/>
          <w:szCs w:val="26"/>
        </w:rPr>
        <w:t>生活垃圾集中收集，交环卫部门统一收运处置；</w:t>
      </w:r>
    </w:p>
    <w:p>
      <w:pPr>
        <w:pStyle w:val="1262"/>
        <w:spacing w:line="360" w:lineRule="auto"/>
        <w:rPr>
          <w:color w:val="auto"/>
          <w:szCs w:val="26"/>
        </w:rPr>
      </w:pPr>
      <w:r>
        <w:rPr>
          <w:color w:val="auto"/>
          <w:szCs w:val="26"/>
        </w:rPr>
        <w:t>危险废物主要为设备检修时产生的</w:t>
      </w:r>
      <w:r>
        <w:rPr>
          <w:color w:val="auto"/>
        </w:rPr>
        <w:t>废润滑油</w:t>
      </w:r>
      <w:r>
        <w:rPr>
          <w:color w:val="auto"/>
          <w:szCs w:val="26"/>
        </w:rPr>
        <w:t>，收集暂存于危险废物贮存间，定期交资质单位处置。</w:t>
      </w:r>
    </w:p>
    <w:p>
      <w:pPr>
        <w:autoSpaceDE w:val="0"/>
        <w:autoSpaceDN w:val="0"/>
        <w:spacing w:line="360" w:lineRule="auto"/>
        <w:ind w:firstLine="480"/>
        <w:jc w:val="both"/>
        <w:outlineLvl w:val="3"/>
        <w:rPr>
          <w:kern w:val="0"/>
          <w:sz w:val="24"/>
          <w:szCs w:val="24"/>
        </w:rPr>
      </w:pPr>
      <w:r>
        <w:rPr>
          <w:kern w:val="0"/>
          <w:sz w:val="24"/>
          <w:szCs w:val="24"/>
        </w:rPr>
        <w:t>（5）现有项目污染物产生及排放汇总</w:t>
      </w:r>
    </w:p>
    <w:p>
      <w:pPr>
        <w:pStyle w:val="1262"/>
        <w:spacing w:line="360" w:lineRule="auto"/>
        <w:rPr>
          <w:color w:val="auto"/>
          <w:szCs w:val="26"/>
          <w:lang w:val="ru-RU"/>
        </w:rPr>
      </w:pPr>
      <w:r>
        <w:rPr>
          <w:bCs/>
          <w:color w:val="auto"/>
          <w:kern w:val="2"/>
          <w:szCs w:val="26"/>
        </w:rPr>
        <w:t>根据《70万吨/年建筑用石灰岩矿开采建设项目环境影响报告书》中污染物核算，现有</w:t>
      </w:r>
      <w:r>
        <w:rPr>
          <w:color w:val="auto"/>
          <w:szCs w:val="26"/>
          <w:lang w:val="ru-RU"/>
        </w:rPr>
        <w:t>工程污染物产排情况汇总如下表所示。</w:t>
      </w:r>
    </w:p>
    <w:p>
      <w:pPr>
        <w:pStyle w:val="1262"/>
        <w:spacing w:line="360" w:lineRule="auto"/>
        <w:rPr>
          <w:color w:val="auto"/>
          <w:szCs w:val="26"/>
          <w:lang w:val="ru-RU"/>
        </w:rPr>
      </w:pPr>
    </w:p>
    <w:p>
      <w:pPr>
        <w:pStyle w:val="1262"/>
        <w:spacing w:line="360" w:lineRule="auto"/>
        <w:rPr>
          <w:color w:val="auto"/>
          <w:szCs w:val="26"/>
          <w:lang w:val="ru-RU"/>
        </w:rPr>
      </w:pPr>
    </w:p>
    <w:p>
      <w:pPr>
        <w:pStyle w:val="84"/>
      </w:pPr>
      <w:r>
        <w:t>表2.3-12  现有项目产排污情况一览表</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45"/>
        <w:gridCol w:w="864"/>
        <w:gridCol w:w="1560"/>
        <w:gridCol w:w="1417"/>
        <w:gridCol w:w="1568"/>
        <w:gridCol w:w="29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3" w:hRule="atLeast"/>
          <w:tblHeader/>
          <w:jc w:val="center"/>
        </w:trPr>
        <w:tc>
          <w:tcPr>
            <w:tcW w:w="509" w:type="pct"/>
            <w:shd w:val="clear" w:color="auto" w:fill="D8D8D8" w:themeFill="background1" w:themeFillShade="D9"/>
            <w:vAlign w:val="center"/>
          </w:tcPr>
          <w:p>
            <w:pPr>
              <w:spacing w:line="240" w:lineRule="atLeast"/>
              <w:ind w:firstLine="0" w:firstLineChars="0"/>
              <w:jc w:val="center"/>
              <w:rPr>
                <w:b/>
                <w:sz w:val="21"/>
                <w:szCs w:val="21"/>
              </w:rPr>
            </w:pPr>
            <w:r>
              <w:rPr>
                <w:b/>
                <w:sz w:val="21"/>
                <w:szCs w:val="21"/>
              </w:rPr>
              <w:t>环境要素</w:t>
            </w:r>
          </w:p>
        </w:tc>
        <w:tc>
          <w:tcPr>
            <w:tcW w:w="1305" w:type="pct"/>
            <w:gridSpan w:val="2"/>
            <w:shd w:val="clear" w:color="auto" w:fill="D8D8D8" w:themeFill="background1" w:themeFillShade="D9"/>
            <w:vAlign w:val="center"/>
          </w:tcPr>
          <w:p>
            <w:pPr>
              <w:spacing w:line="240" w:lineRule="atLeast"/>
              <w:ind w:firstLine="0" w:firstLineChars="0"/>
              <w:jc w:val="center"/>
              <w:rPr>
                <w:b/>
                <w:sz w:val="21"/>
                <w:szCs w:val="21"/>
              </w:rPr>
            </w:pPr>
            <w:r>
              <w:rPr>
                <w:b/>
                <w:sz w:val="21"/>
                <w:szCs w:val="21"/>
              </w:rPr>
              <w:t>污染源</w:t>
            </w:r>
          </w:p>
        </w:tc>
        <w:tc>
          <w:tcPr>
            <w:tcW w:w="763" w:type="pct"/>
            <w:shd w:val="clear" w:color="auto" w:fill="D8D8D8" w:themeFill="background1" w:themeFillShade="D9"/>
            <w:vAlign w:val="center"/>
          </w:tcPr>
          <w:p>
            <w:pPr>
              <w:spacing w:line="240" w:lineRule="atLeast"/>
              <w:ind w:firstLine="0" w:firstLineChars="0"/>
              <w:jc w:val="center"/>
              <w:rPr>
                <w:b/>
                <w:sz w:val="21"/>
                <w:szCs w:val="21"/>
              </w:rPr>
            </w:pPr>
            <w:r>
              <w:rPr>
                <w:b/>
                <w:sz w:val="21"/>
                <w:szCs w:val="21"/>
              </w:rPr>
              <w:t>污染物名称</w:t>
            </w:r>
          </w:p>
        </w:tc>
        <w:tc>
          <w:tcPr>
            <w:tcW w:w="844" w:type="pct"/>
            <w:tcBorders>
              <w:right w:val="single" w:color="auto" w:sz="4" w:space="0"/>
            </w:tcBorders>
            <w:shd w:val="clear" w:color="auto" w:fill="D8D8D8" w:themeFill="background1" w:themeFillShade="D9"/>
            <w:vAlign w:val="center"/>
          </w:tcPr>
          <w:p>
            <w:pPr>
              <w:spacing w:line="240" w:lineRule="atLeast"/>
              <w:ind w:firstLine="0" w:firstLineChars="0"/>
              <w:jc w:val="center"/>
              <w:rPr>
                <w:b/>
                <w:sz w:val="21"/>
                <w:szCs w:val="21"/>
              </w:rPr>
            </w:pPr>
            <w:r>
              <w:rPr>
                <w:b/>
                <w:sz w:val="21"/>
                <w:szCs w:val="21"/>
              </w:rPr>
              <w:t>排放量t/a</w:t>
            </w:r>
          </w:p>
        </w:tc>
        <w:tc>
          <w:tcPr>
            <w:tcW w:w="1579" w:type="pct"/>
            <w:shd w:val="clear" w:color="auto" w:fill="D8D8D8" w:themeFill="background1" w:themeFillShade="D9"/>
            <w:vAlign w:val="center"/>
          </w:tcPr>
          <w:p>
            <w:pPr>
              <w:spacing w:line="240" w:lineRule="atLeast"/>
              <w:ind w:firstLine="0" w:firstLineChars="0"/>
              <w:jc w:val="center"/>
              <w:rPr>
                <w:b/>
                <w:sz w:val="21"/>
                <w:szCs w:val="21"/>
              </w:rPr>
            </w:pPr>
            <w:r>
              <w:rPr>
                <w:b/>
                <w:sz w:val="21"/>
                <w:szCs w:val="21"/>
              </w:rPr>
              <w:t>处理措施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tblHeader/>
          <w:jc w:val="center"/>
        </w:trPr>
        <w:tc>
          <w:tcPr>
            <w:tcW w:w="509" w:type="pct"/>
            <w:vMerge w:val="restart"/>
            <w:shd w:val="clear" w:color="auto" w:fill="auto"/>
            <w:vAlign w:val="center"/>
          </w:tcPr>
          <w:p>
            <w:pPr>
              <w:spacing w:line="240" w:lineRule="atLeast"/>
              <w:ind w:firstLine="0" w:firstLineChars="0"/>
              <w:jc w:val="center"/>
              <w:rPr>
                <w:sz w:val="21"/>
                <w:szCs w:val="21"/>
              </w:rPr>
            </w:pPr>
            <w:r>
              <w:rPr>
                <w:sz w:val="21"/>
                <w:szCs w:val="21"/>
              </w:rPr>
              <w:t>废气</w:t>
            </w:r>
          </w:p>
        </w:tc>
        <w:tc>
          <w:tcPr>
            <w:tcW w:w="465" w:type="pct"/>
            <w:tcBorders>
              <w:right w:val="single" w:color="auto" w:sz="4" w:space="0"/>
            </w:tcBorders>
            <w:shd w:val="clear" w:color="auto" w:fill="auto"/>
            <w:vAlign w:val="center"/>
          </w:tcPr>
          <w:p>
            <w:pPr>
              <w:spacing w:line="240" w:lineRule="atLeast"/>
              <w:ind w:firstLine="0" w:firstLineChars="0"/>
              <w:jc w:val="center"/>
              <w:rPr>
                <w:sz w:val="21"/>
                <w:szCs w:val="21"/>
              </w:rPr>
            </w:pPr>
            <w:r>
              <w:rPr>
                <w:sz w:val="21"/>
                <w:szCs w:val="21"/>
              </w:rPr>
              <w:t>无组织</w:t>
            </w:r>
          </w:p>
        </w:tc>
        <w:tc>
          <w:tcPr>
            <w:tcW w:w="840" w:type="pct"/>
            <w:tcBorders>
              <w:left w:val="single" w:color="auto" w:sz="4" w:space="0"/>
            </w:tcBorders>
            <w:shd w:val="clear" w:color="auto" w:fill="auto"/>
            <w:vAlign w:val="center"/>
          </w:tcPr>
          <w:p>
            <w:pPr>
              <w:spacing w:line="240" w:lineRule="atLeast"/>
              <w:ind w:firstLine="0" w:firstLineChars="0"/>
              <w:jc w:val="center"/>
              <w:rPr>
                <w:sz w:val="21"/>
                <w:szCs w:val="21"/>
              </w:rPr>
            </w:pPr>
            <w:r>
              <w:rPr>
                <w:sz w:val="21"/>
                <w:szCs w:val="21"/>
              </w:rPr>
              <w:t>开采区和工业场地</w:t>
            </w:r>
          </w:p>
        </w:tc>
        <w:tc>
          <w:tcPr>
            <w:tcW w:w="763" w:type="pct"/>
            <w:shd w:val="clear" w:color="auto" w:fill="auto"/>
            <w:vAlign w:val="center"/>
          </w:tcPr>
          <w:p>
            <w:pPr>
              <w:spacing w:line="240" w:lineRule="atLeast"/>
              <w:ind w:firstLine="0" w:firstLineChars="0"/>
              <w:jc w:val="center"/>
              <w:rPr>
                <w:sz w:val="21"/>
                <w:szCs w:val="21"/>
              </w:rPr>
            </w:pPr>
            <w:r>
              <w:rPr>
                <w:sz w:val="21"/>
                <w:szCs w:val="21"/>
              </w:rPr>
              <w:t>TSP</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21"/>
              </w:rPr>
              <w:t>3.670</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洒水抑尘、密闭车间、喷雾洒水，围挡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6" w:hRule="atLeast"/>
          <w:tblHeader/>
          <w:jc w:val="center"/>
        </w:trPr>
        <w:tc>
          <w:tcPr>
            <w:tcW w:w="509" w:type="pct"/>
            <w:vMerge w:val="continue"/>
            <w:shd w:val="clear" w:color="auto" w:fill="auto"/>
            <w:vAlign w:val="center"/>
          </w:tcPr>
          <w:p>
            <w:pPr>
              <w:spacing w:line="240" w:lineRule="atLeast"/>
              <w:ind w:firstLine="0" w:firstLineChars="0"/>
              <w:jc w:val="center"/>
              <w:rPr>
                <w:sz w:val="21"/>
                <w:szCs w:val="21"/>
              </w:rPr>
            </w:pPr>
          </w:p>
        </w:tc>
        <w:tc>
          <w:tcPr>
            <w:tcW w:w="465" w:type="pct"/>
            <w:tcBorders>
              <w:right w:val="single" w:color="auto" w:sz="4" w:space="0"/>
            </w:tcBorders>
            <w:shd w:val="clear" w:color="auto" w:fill="auto"/>
            <w:vAlign w:val="center"/>
          </w:tcPr>
          <w:p>
            <w:pPr>
              <w:spacing w:line="240" w:lineRule="atLeast"/>
              <w:ind w:firstLine="0" w:firstLineChars="0"/>
              <w:jc w:val="center"/>
              <w:rPr>
                <w:sz w:val="21"/>
                <w:szCs w:val="21"/>
              </w:rPr>
            </w:pPr>
            <w:r>
              <w:rPr>
                <w:sz w:val="21"/>
                <w:szCs w:val="21"/>
              </w:rPr>
              <w:t>有组织</w:t>
            </w:r>
          </w:p>
        </w:tc>
        <w:tc>
          <w:tcPr>
            <w:tcW w:w="840" w:type="pct"/>
            <w:tcBorders>
              <w:left w:val="single" w:color="auto" w:sz="4" w:space="0"/>
            </w:tcBorders>
            <w:shd w:val="clear" w:color="auto" w:fill="auto"/>
            <w:vAlign w:val="center"/>
          </w:tcPr>
          <w:p>
            <w:pPr>
              <w:spacing w:line="240" w:lineRule="atLeast"/>
              <w:ind w:firstLine="0" w:firstLineChars="0"/>
              <w:jc w:val="center"/>
              <w:rPr>
                <w:sz w:val="21"/>
                <w:szCs w:val="21"/>
              </w:rPr>
            </w:pPr>
            <w:r>
              <w:rPr>
                <w:sz w:val="21"/>
                <w:szCs w:val="21"/>
              </w:rPr>
              <w:t>破碎、筛分、二次破碎扬尘</w:t>
            </w:r>
          </w:p>
        </w:tc>
        <w:tc>
          <w:tcPr>
            <w:tcW w:w="763" w:type="pct"/>
            <w:shd w:val="clear" w:color="auto" w:fill="auto"/>
            <w:vAlign w:val="center"/>
          </w:tcPr>
          <w:p>
            <w:pPr>
              <w:spacing w:line="240" w:lineRule="atLeast"/>
              <w:ind w:firstLine="0" w:firstLineChars="0"/>
              <w:jc w:val="center"/>
              <w:rPr>
                <w:sz w:val="21"/>
                <w:szCs w:val="21"/>
              </w:rPr>
            </w:pPr>
            <w:r>
              <w:rPr>
                <w:sz w:val="21"/>
                <w:szCs w:val="21"/>
              </w:rPr>
              <w:t>PM</w:t>
            </w:r>
            <w:r>
              <w:rPr>
                <w:sz w:val="21"/>
                <w:szCs w:val="21"/>
                <w:vertAlign w:val="subscript"/>
              </w:rPr>
              <w:t>10</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21"/>
              </w:rPr>
              <w:t>1.014</w:t>
            </w:r>
          </w:p>
        </w:tc>
        <w:tc>
          <w:tcPr>
            <w:tcW w:w="1579" w:type="pct"/>
            <w:tcBorders>
              <w:bottom w:val="single" w:color="auto" w:sz="4" w:space="0"/>
            </w:tcBorders>
            <w:shd w:val="clear" w:color="auto" w:fill="auto"/>
            <w:vAlign w:val="center"/>
          </w:tcPr>
          <w:p>
            <w:pPr>
              <w:spacing w:line="240" w:lineRule="atLeast"/>
              <w:ind w:firstLine="0" w:firstLineChars="0"/>
              <w:jc w:val="center"/>
              <w:rPr>
                <w:kern w:val="0"/>
                <w:sz w:val="21"/>
                <w:szCs w:val="21"/>
              </w:rPr>
            </w:pPr>
            <w:r>
              <w:rPr>
                <w:sz w:val="21"/>
                <w:szCs w:val="21"/>
              </w:rPr>
              <w:t>彩钢棚封闭、布袋除尘器、喷淋洒水装置、15m排气筒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7" w:hRule="atLeast"/>
          <w:tblHeader/>
          <w:jc w:val="center"/>
        </w:trPr>
        <w:tc>
          <w:tcPr>
            <w:tcW w:w="509" w:type="pct"/>
            <w:vMerge w:val="continue"/>
            <w:shd w:val="clear" w:color="auto" w:fill="auto"/>
            <w:vAlign w:val="center"/>
          </w:tcPr>
          <w:p>
            <w:pPr>
              <w:spacing w:line="240" w:lineRule="atLeast"/>
              <w:ind w:firstLine="0" w:firstLineChars="0"/>
              <w:jc w:val="center"/>
              <w:rPr>
                <w:sz w:val="21"/>
                <w:szCs w:val="21"/>
              </w:rPr>
            </w:pP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机械尾气</w:t>
            </w:r>
          </w:p>
        </w:tc>
        <w:tc>
          <w:tcPr>
            <w:tcW w:w="763" w:type="pct"/>
            <w:shd w:val="clear" w:color="auto" w:fill="auto"/>
            <w:vAlign w:val="center"/>
          </w:tcPr>
          <w:p>
            <w:pPr>
              <w:spacing w:line="240" w:lineRule="atLeast"/>
              <w:ind w:firstLine="0" w:firstLineChars="0"/>
              <w:jc w:val="center"/>
              <w:rPr>
                <w:sz w:val="21"/>
                <w:szCs w:val="21"/>
              </w:rPr>
            </w:pPr>
            <w:r>
              <w:rPr>
                <w:sz w:val="21"/>
                <w:szCs w:val="21"/>
              </w:rPr>
              <w:t>SO</w:t>
            </w:r>
            <w:r>
              <w:rPr>
                <w:sz w:val="21"/>
                <w:szCs w:val="21"/>
                <w:vertAlign w:val="subscript"/>
              </w:rPr>
              <w:t>2</w:t>
            </w:r>
            <w:r>
              <w:rPr>
                <w:sz w:val="21"/>
                <w:szCs w:val="21"/>
              </w:rPr>
              <w:t>、NOx</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21"/>
              </w:rPr>
              <w:t>少量</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选用尾气达标车辆、优质动力燃料，控制单次炸药量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7" w:hRule="atLeast"/>
          <w:tblHeader/>
          <w:jc w:val="center"/>
        </w:trPr>
        <w:tc>
          <w:tcPr>
            <w:tcW w:w="509" w:type="pct"/>
            <w:vMerge w:val="restart"/>
            <w:shd w:val="clear" w:color="auto" w:fill="auto"/>
            <w:vAlign w:val="center"/>
          </w:tcPr>
          <w:p>
            <w:pPr>
              <w:spacing w:line="240" w:lineRule="atLeast"/>
              <w:ind w:firstLine="0" w:firstLineChars="0"/>
              <w:jc w:val="center"/>
              <w:rPr>
                <w:sz w:val="21"/>
                <w:szCs w:val="21"/>
              </w:rPr>
            </w:pPr>
            <w:r>
              <w:rPr>
                <w:sz w:val="21"/>
                <w:szCs w:val="21"/>
              </w:rPr>
              <w:t>噪声</w:t>
            </w: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设备噪声</w:t>
            </w:r>
          </w:p>
        </w:tc>
        <w:tc>
          <w:tcPr>
            <w:tcW w:w="763" w:type="pct"/>
            <w:shd w:val="clear" w:color="auto" w:fill="auto"/>
            <w:vAlign w:val="center"/>
          </w:tcPr>
          <w:p>
            <w:pPr>
              <w:spacing w:line="240" w:lineRule="atLeast"/>
              <w:ind w:firstLine="0" w:firstLineChars="0"/>
              <w:jc w:val="center"/>
              <w:rPr>
                <w:sz w:val="21"/>
                <w:szCs w:val="21"/>
              </w:rPr>
            </w:pPr>
            <w:r>
              <w:rPr>
                <w:sz w:val="21"/>
                <w:szCs w:val="21"/>
              </w:rPr>
              <w:t>噪声</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rPr>
                <w:sz w:val="21"/>
                <w:szCs w:val="21"/>
              </w:rPr>
            </w:pPr>
            <w:r>
              <w:rPr>
                <w:sz w:val="21"/>
                <w:szCs w:val="21"/>
              </w:rPr>
              <w:t>厂界噪声最大值67dB（A）</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高效低噪声设备，距离衰减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 w:hRule="atLeast"/>
          <w:tblHeader/>
          <w:jc w:val="center"/>
        </w:trPr>
        <w:tc>
          <w:tcPr>
            <w:tcW w:w="509" w:type="pct"/>
            <w:vMerge w:val="continue"/>
            <w:shd w:val="clear" w:color="auto" w:fill="auto"/>
            <w:vAlign w:val="center"/>
          </w:tcPr>
          <w:p>
            <w:pPr>
              <w:spacing w:line="240" w:lineRule="atLeast"/>
              <w:ind w:firstLine="0" w:firstLineChars="0"/>
              <w:jc w:val="center"/>
              <w:rPr>
                <w:sz w:val="21"/>
                <w:szCs w:val="21"/>
              </w:rPr>
            </w:pP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爆破</w:t>
            </w:r>
          </w:p>
        </w:tc>
        <w:tc>
          <w:tcPr>
            <w:tcW w:w="763" w:type="pct"/>
            <w:shd w:val="clear" w:color="auto" w:fill="auto"/>
            <w:vAlign w:val="center"/>
          </w:tcPr>
          <w:p>
            <w:pPr>
              <w:spacing w:line="240" w:lineRule="atLeast"/>
              <w:ind w:firstLine="0" w:firstLineChars="0"/>
              <w:jc w:val="center"/>
              <w:rPr>
                <w:sz w:val="21"/>
                <w:szCs w:val="21"/>
              </w:rPr>
            </w:pPr>
            <w:r>
              <w:rPr>
                <w:sz w:val="21"/>
                <w:szCs w:val="21"/>
              </w:rPr>
              <w:t>噪声</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rPr>
                <w:sz w:val="21"/>
                <w:szCs w:val="21"/>
              </w:rPr>
            </w:pPr>
            <w:r>
              <w:rPr>
                <w:sz w:val="21"/>
                <w:szCs w:val="21"/>
              </w:rPr>
              <w:t>达标排放</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微差爆破工艺，控制单次炸药量，合理爆破时间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 w:hRule="atLeast"/>
          <w:tblHeader/>
          <w:jc w:val="center"/>
        </w:trPr>
        <w:tc>
          <w:tcPr>
            <w:tcW w:w="509" w:type="pct"/>
            <w:vMerge w:val="restart"/>
            <w:shd w:val="clear" w:color="auto" w:fill="auto"/>
            <w:vAlign w:val="center"/>
          </w:tcPr>
          <w:p>
            <w:pPr>
              <w:spacing w:line="240" w:lineRule="atLeast"/>
              <w:ind w:firstLine="0" w:firstLineChars="0"/>
              <w:jc w:val="center"/>
              <w:rPr>
                <w:sz w:val="21"/>
                <w:szCs w:val="21"/>
              </w:rPr>
            </w:pPr>
            <w:r>
              <w:rPr>
                <w:sz w:val="21"/>
                <w:szCs w:val="21"/>
              </w:rPr>
              <w:t>固废</w:t>
            </w: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矿区剥离物</w:t>
            </w:r>
          </w:p>
        </w:tc>
        <w:tc>
          <w:tcPr>
            <w:tcW w:w="763" w:type="pct"/>
            <w:shd w:val="clear" w:color="auto" w:fill="auto"/>
            <w:vAlign w:val="center"/>
          </w:tcPr>
          <w:p>
            <w:pPr>
              <w:spacing w:line="240" w:lineRule="atLeast"/>
              <w:ind w:firstLine="0" w:firstLineChars="0"/>
              <w:jc w:val="center"/>
              <w:rPr>
                <w:sz w:val="21"/>
                <w:szCs w:val="21"/>
              </w:rPr>
            </w:pPr>
            <w:r>
              <w:rPr>
                <w:sz w:val="21"/>
                <w:szCs w:val="21"/>
              </w:rPr>
              <w:t>表层土和废石</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18"/>
              </w:rPr>
              <w:t>3.01万m</w:t>
            </w:r>
            <w:r>
              <w:rPr>
                <w:sz w:val="21"/>
                <w:szCs w:val="18"/>
                <w:vertAlign w:val="superscript"/>
              </w:rPr>
              <w:t>3</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堆放于临时排土场，用于复垦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7" w:hRule="atLeast"/>
          <w:tblHeader/>
          <w:jc w:val="center"/>
        </w:trPr>
        <w:tc>
          <w:tcPr>
            <w:tcW w:w="509" w:type="pct"/>
            <w:vMerge w:val="continue"/>
            <w:shd w:val="clear" w:color="auto" w:fill="auto"/>
            <w:vAlign w:val="center"/>
          </w:tcPr>
          <w:p>
            <w:pPr>
              <w:spacing w:line="240" w:lineRule="atLeast"/>
              <w:ind w:firstLine="0" w:firstLineChars="0"/>
              <w:jc w:val="center"/>
              <w:rPr>
                <w:sz w:val="21"/>
                <w:szCs w:val="21"/>
              </w:rPr>
            </w:pP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布袋除尘器</w:t>
            </w:r>
          </w:p>
        </w:tc>
        <w:tc>
          <w:tcPr>
            <w:tcW w:w="763" w:type="pct"/>
            <w:shd w:val="clear" w:color="auto" w:fill="auto"/>
            <w:vAlign w:val="center"/>
          </w:tcPr>
          <w:p>
            <w:pPr>
              <w:spacing w:line="240" w:lineRule="atLeast"/>
              <w:ind w:firstLine="0" w:firstLineChars="0"/>
              <w:jc w:val="center"/>
              <w:rPr>
                <w:sz w:val="21"/>
                <w:szCs w:val="21"/>
              </w:rPr>
            </w:pPr>
            <w:r>
              <w:rPr>
                <w:sz w:val="21"/>
                <w:szCs w:val="21"/>
              </w:rPr>
              <w:t>除尘灰</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18"/>
              </w:rPr>
              <w:t>201.486</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经收集后与产品一同外售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7" w:hRule="atLeast"/>
          <w:tblHeader/>
          <w:jc w:val="center"/>
        </w:trPr>
        <w:tc>
          <w:tcPr>
            <w:tcW w:w="509" w:type="pct"/>
            <w:vMerge w:val="continue"/>
            <w:shd w:val="clear" w:color="auto" w:fill="auto"/>
            <w:vAlign w:val="center"/>
          </w:tcPr>
          <w:p>
            <w:pPr>
              <w:spacing w:line="240" w:lineRule="atLeast"/>
              <w:ind w:firstLine="0" w:firstLineChars="0"/>
              <w:jc w:val="center"/>
              <w:rPr>
                <w:sz w:val="21"/>
                <w:szCs w:val="21"/>
              </w:rPr>
            </w:pP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机修废物</w:t>
            </w:r>
          </w:p>
        </w:tc>
        <w:tc>
          <w:tcPr>
            <w:tcW w:w="763" w:type="pct"/>
            <w:shd w:val="clear" w:color="auto" w:fill="auto"/>
            <w:vAlign w:val="center"/>
          </w:tcPr>
          <w:p>
            <w:pPr>
              <w:spacing w:line="240" w:lineRule="atLeast"/>
              <w:ind w:firstLine="0" w:firstLineChars="0"/>
              <w:jc w:val="center"/>
              <w:rPr>
                <w:sz w:val="21"/>
                <w:szCs w:val="21"/>
              </w:rPr>
            </w:pPr>
            <w:r>
              <w:rPr>
                <w:sz w:val="21"/>
                <w:szCs w:val="21"/>
              </w:rPr>
              <w:t>机修废油</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18"/>
              </w:rPr>
              <w:t>0.2</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由资质单位进行处置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 w:hRule="atLeast"/>
          <w:tblHeader/>
          <w:jc w:val="center"/>
        </w:trPr>
        <w:tc>
          <w:tcPr>
            <w:tcW w:w="509" w:type="pct"/>
            <w:vMerge w:val="continue"/>
            <w:shd w:val="clear" w:color="auto" w:fill="auto"/>
            <w:vAlign w:val="center"/>
          </w:tcPr>
          <w:p>
            <w:pPr>
              <w:spacing w:line="240" w:lineRule="atLeast"/>
              <w:ind w:firstLine="0" w:firstLineChars="0"/>
              <w:jc w:val="center"/>
              <w:rPr>
                <w:sz w:val="21"/>
                <w:szCs w:val="21"/>
              </w:rPr>
            </w:pPr>
          </w:p>
        </w:tc>
        <w:tc>
          <w:tcPr>
            <w:tcW w:w="1305" w:type="pct"/>
            <w:gridSpan w:val="2"/>
            <w:shd w:val="clear" w:color="auto" w:fill="auto"/>
            <w:vAlign w:val="center"/>
          </w:tcPr>
          <w:p>
            <w:pPr>
              <w:spacing w:line="240" w:lineRule="atLeast"/>
              <w:ind w:firstLine="0" w:firstLineChars="0"/>
              <w:jc w:val="center"/>
              <w:rPr>
                <w:sz w:val="21"/>
                <w:szCs w:val="21"/>
              </w:rPr>
            </w:pPr>
            <w:r>
              <w:rPr>
                <w:sz w:val="21"/>
                <w:szCs w:val="21"/>
              </w:rPr>
              <w:t>生活垃圾</w:t>
            </w:r>
          </w:p>
        </w:tc>
        <w:tc>
          <w:tcPr>
            <w:tcW w:w="763" w:type="pct"/>
            <w:shd w:val="clear" w:color="auto" w:fill="auto"/>
            <w:vAlign w:val="center"/>
          </w:tcPr>
          <w:p>
            <w:pPr>
              <w:spacing w:line="240" w:lineRule="atLeast"/>
              <w:ind w:firstLine="0" w:firstLineChars="0"/>
              <w:jc w:val="center"/>
              <w:rPr>
                <w:sz w:val="21"/>
                <w:szCs w:val="21"/>
              </w:rPr>
            </w:pPr>
            <w:r>
              <w:rPr>
                <w:sz w:val="21"/>
                <w:szCs w:val="21"/>
              </w:rPr>
              <w:t>生活垃圾</w:t>
            </w:r>
          </w:p>
        </w:tc>
        <w:tc>
          <w:tcPr>
            <w:tcW w:w="844" w:type="pct"/>
            <w:tcBorders>
              <w:bottom w:val="single" w:color="auto" w:sz="4" w:space="0"/>
              <w:right w:val="single" w:color="auto" w:sz="4" w:space="0"/>
            </w:tcBorders>
            <w:shd w:val="clear" w:color="auto" w:fill="auto"/>
            <w:vAlign w:val="center"/>
          </w:tcPr>
          <w:p>
            <w:pPr>
              <w:spacing w:line="240" w:lineRule="atLeast"/>
              <w:ind w:firstLine="0" w:firstLineChars="0"/>
              <w:jc w:val="center"/>
              <w:rPr>
                <w:sz w:val="21"/>
                <w:szCs w:val="21"/>
              </w:rPr>
            </w:pPr>
            <w:r>
              <w:rPr>
                <w:sz w:val="21"/>
                <w:szCs w:val="18"/>
              </w:rPr>
              <w:t>3.30</w:t>
            </w:r>
          </w:p>
        </w:tc>
        <w:tc>
          <w:tcPr>
            <w:tcW w:w="1579" w:type="pct"/>
            <w:tcBorders>
              <w:bottom w:val="single" w:color="auto" w:sz="4" w:space="0"/>
            </w:tcBorders>
            <w:shd w:val="clear" w:color="auto" w:fill="auto"/>
            <w:vAlign w:val="center"/>
          </w:tcPr>
          <w:p>
            <w:pPr>
              <w:spacing w:line="240" w:lineRule="atLeast"/>
              <w:ind w:firstLine="0" w:firstLineChars="0"/>
              <w:jc w:val="center"/>
              <w:rPr>
                <w:sz w:val="21"/>
                <w:szCs w:val="21"/>
              </w:rPr>
            </w:pPr>
            <w:r>
              <w:rPr>
                <w:sz w:val="21"/>
                <w:szCs w:val="21"/>
              </w:rPr>
              <w:t>统一收集后送附近垃圾转运站交环卫部门统一处置</w:t>
            </w:r>
          </w:p>
        </w:tc>
      </w:tr>
    </w:tbl>
    <w:p>
      <w:pPr>
        <w:pStyle w:val="4"/>
      </w:pPr>
      <w:bookmarkStart w:id="129" w:name="_Toc161676099"/>
      <w:r>
        <w:t>2.4存在的环境问题及“以新带老”措施</w:t>
      </w:r>
      <w:bookmarkEnd w:id="129"/>
    </w:p>
    <w:p>
      <w:pPr>
        <w:widowControl/>
        <w:spacing w:line="440" w:lineRule="exact"/>
        <w:ind w:firstLine="523" w:firstLineChars="218"/>
        <w:jc w:val="both"/>
        <w:rPr>
          <w:sz w:val="24"/>
          <w:szCs w:val="26"/>
        </w:rPr>
      </w:pPr>
      <w:r>
        <w:rPr>
          <w:sz w:val="24"/>
          <w:szCs w:val="26"/>
        </w:rPr>
        <w:t>根据现场调查，目前工业场地存在的主要环境问题如下：</w:t>
      </w:r>
    </w:p>
    <w:p>
      <w:pPr>
        <w:widowControl/>
        <w:spacing w:line="460" w:lineRule="exact"/>
        <w:ind w:firstLine="480"/>
        <w:jc w:val="both"/>
        <w:rPr>
          <w:sz w:val="24"/>
          <w:szCs w:val="26"/>
        </w:rPr>
      </w:pPr>
      <w:r>
        <w:rPr>
          <w:sz w:val="24"/>
          <w:szCs w:val="26"/>
        </w:rPr>
        <w:t>（1）颚式破碎机产生的粉尘未进行收集，为无组织排放，车间地面灰尘积尘较多，未进行及时有效的清理，不符合《</w:t>
      </w:r>
      <w:r>
        <w:rPr>
          <w:sz w:val="24"/>
        </w:rPr>
        <w:t>中华人民共和国大气污染防治法》等要求，不利于大气环境质量的改善；</w:t>
      </w:r>
    </w:p>
    <w:p>
      <w:pPr>
        <w:widowControl/>
        <w:spacing w:line="460" w:lineRule="exact"/>
        <w:ind w:firstLine="480"/>
        <w:jc w:val="both"/>
        <w:rPr>
          <w:sz w:val="24"/>
          <w:szCs w:val="26"/>
        </w:rPr>
      </w:pPr>
      <w:r>
        <w:rPr>
          <w:sz w:val="24"/>
          <w:szCs w:val="26"/>
        </w:rPr>
        <w:t>（2）布袋除尘器内布袋使用时长，未进行及时更换，存在运行不正常情况；且现场调查时发现1台布袋除尘器排气筒已破损，未进行修复</w:t>
      </w:r>
    </w:p>
    <w:p>
      <w:pPr>
        <w:widowControl/>
        <w:spacing w:line="460" w:lineRule="exact"/>
        <w:ind w:firstLine="480"/>
        <w:jc w:val="both"/>
        <w:rPr>
          <w:sz w:val="24"/>
          <w:szCs w:val="26"/>
        </w:rPr>
      </w:pPr>
      <w:r>
        <w:rPr>
          <w:sz w:val="24"/>
          <w:szCs w:val="26"/>
        </w:rPr>
        <w:t>（3）反击式破碎机、筛分进料口附近的喷雾装置距离生产设备较远，喷头未朝向进料口，不能有效的进行降尘除尘；喷雾管道开口间距过大，产生水雾对无组织粉尘吸收不高，致使车间内设备及相关设施表面积尘较多，未进行及时有效的清理打扫；</w:t>
      </w:r>
    </w:p>
    <w:p>
      <w:pPr>
        <w:widowControl/>
        <w:spacing w:line="460" w:lineRule="exact"/>
        <w:ind w:firstLine="480"/>
        <w:jc w:val="both"/>
        <w:rPr>
          <w:sz w:val="24"/>
          <w:szCs w:val="26"/>
        </w:rPr>
      </w:pPr>
      <w:r>
        <w:rPr>
          <w:sz w:val="24"/>
          <w:szCs w:val="26"/>
        </w:rPr>
        <w:t>（4）车间内废水收集沟已被物料覆盖，无法清晰可见，发挥不了废水收集输送的作用，废水不能有效进入沉淀池，造成车间内局部积水；</w:t>
      </w:r>
    </w:p>
    <w:p>
      <w:pPr>
        <w:widowControl/>
        <w:spacing w:line="460" w:lineRule="exact"/>
        <w:ind w:firstLine="480"/>
        <w:jc w:val="both"/>
        <w:rPr>
          <w:sz w:val="24"/>
          <w:szCs w:val="26"/>
        </w:rPr>
      </w:pPr>
      <w:r>
        <w:rPr>
          <w:sz w:val="24"/>
          <w:szCs w:val="26"/>
        </w:rPr>
        <w:t>针对上述存在的环境污染问题，提出的“以新带老”措施如下：</w:t>
      </w:r>
    </w:p>
    <w:p>
      <w:pPr>
        <w:widowControl/>
        <w:spacing w:line="460" w:lineRule="exact"/>
        <w:ind w:firstLine="480"/>
        <w:jc w:val="both"/>
        <w:rPr>
          <w:sz w:val="24"/>
          <w:szCs w:val="26"/>
        </w:rPr>
      </w:pPr>
      <w:r>
        <w:rPr>
          <w:sz w:val="24"/>
          <w:szCs w:val="26"/>
        </w:rPr>
        <w:t>（1）颚式破碎机破碎时产生的粉尘应采取集气罩及输送管道进入1#布袋除尘器处理后，通过15m高排气筒进行排放；每个生产日后，安排专人对车间内地面积尘进行清理，保持车间干净整洁；在车间四周不同高度以及顶部增加喷雾水管；</w:t>
      </w:r>
    </w:p>
    <w:p>
      <w:pPr>
        <w:widowControl/>
        <w:spacing w:line="460" w:lineRule="exact"/>
        <w:ind w:firstLine="480"/>
        <w:jc w:val="both"/>
        <w:rPr>
          <w:sz w:val="24"/>
          <w:szCs w:val="26"/>
        </w:rPr>
      </w:pPr>
      <w:r>
        <w:rPr>
          <w:sz w:val="24"/>
          <w:szCs w:val="26"/>
        </w:rPr>
        <w:t>（2）为维持现有布袋除尘器的除尘效率，对现有布袋除尘器内的布袋进行更换，使用性能优良的布袋，确保稳定达标；对布袋除尘器排气筒进行修复，高度不低于15m；</w:t>
      </w:r>
    </w:p>
    <w:p>
      <w:pPr>
        <w:widowControl/>
        <w:spacing w:line="460" w:lineRule="exact"/>
        <w:ind w:firstLine="480"/>
        <w:jc w:val="both"/>
        <w:rPr>
          <w:sz w:val="24"/>
          <w:szCs w:val="26"/>
        </w:rPr>
      </w:pPr>
      <w:r>
        <w:rPr>
          <w:sz w:val="24"/>
          <w:szCs w:val="26"/>
        </w:rPr>
        <w:t>（3）调整反击式破碎机、筛分进料口附近的喷雾装置，朝向进料口，确保喷雾能有效降尘；对车间内四周、顶部、设备旁加密喷雾管道及开孔，加压水雾，确保有效的出水及降尘效果；</w:t>
      </w:r>
    </w:p>
    <w:p>
      <w:pPr>
        <w:widowControl/>
        <w:spacing w:line="460" w:lineRule="exact"/>
        <w:ind w:firstLine="480"/>
        <w:jc w:val="both"/>
        <w:rPr>
          <w:szCs w:val="26"/>
          <w:lang w:val="zh-CN"/>
        </w:rPr>
      </w:pPr>
      <w:r>
        <w:rPr>
          <w:sz w:val="24"/>
          <w:szCs w:val="26"/>
        </w:rPr>
        <w:t>（4）车间内的废水收集沟进行清理，确保可见，水流畅通，能进入沉淀池。</w:t>
      </w:r>
    </w:p>
    <w:p>
      <w:pPr>
        <w:widowControl/>
        <w:spacing w:line="460" w:lineRule="exact"/>
        <w:ind w:firstLine="520"/>
        <w:jc w:val="both"/>
        <w:rPr>
          <w:szCs w:val="26"/>
          <w:lang w:val="zh-CN"/>
        </w:rPr>
        <w:sectPr>
          <w:pgSz w:w="11907" w:h="16840"/>
          <w:pgMar w:top="1418" w:right="1418" w:bottom="1418" w:left="1418" w:header="1134" w:footer="1134" w:gutter="0"/>
          <w:cols w:space="425" w:num="1"/>
          <w:docGrid w:linePitch="354" w:charSpace="0"/>
        </w:sectPr>
      </w:pPr>
    </w:p>
    <w:bookmarkEnd w:id="124"/>
    <w:bookmarkEnd w:id="125"/>
    <w:p>
      <w:pPr>
        <w:pStyle w:val="3"/>
        <w:numPr>
          <w:ilvl w:val="0"/>
          <w:numId w:val="0"/>
        </w:numPr>
        <w:spacing w:before="240" w:after="240"/>
      </w:pPr>
      <w:bookmarkStart w:id="130" w:name="_Toc161676100"/>
      <w:r>
        <w:t>3建设项目工程分析</w:t>
      </w:r>
      <w:bookmarkEnd w:id="130"/>
    </w:p>
    <w:p>
      <w:pPr>
        <w:pStyle w:val="4"/>
      </w:pPr>
      <w:bookmarkStart w:id="131" w:name="_Toc161676101"/>
      <w:r>
        <w:t>3.1建设项目概况</w:t>
      </w:r>
      <w:bookmarkEnd w:id="131"/>
    </w:p>
    <w:p>
      <w:pPr>
        <w:pStyle w:val="5"/>
        <w:rPr>
          <w:color w:val="auto"/>
        </w:rPr>
      </w:pPr>
      <w:r>
        <w:rPr>
          <w:color w:val="auto"/>
        </w:rPr>
        <w:t>3.1.1基本情况</w:t>
      </w:r>
    </w:p>
    <w:p>
      <w:pPr>
        <w:pStyle w:val="222"/>
      </w:pPr>
      <w:r>
        <w:t>项目名称：建筑石料用灰岩矿扩建工程；</w:t>
      </w:r>
    </w:p>
    <w:p>
      <w:pPr>
        <w:pStyle w:val="222"/>
      </w:pPr>
      <w:r>
        <w:t>建设单位：重庆峰磊矿业有限公司；</w:t>
      </w:r>
    </w:p>
    <w:p>
      <w:pPr>
        <w:pStyle w:val="222"/>
      </w:pPr>
      <w:r>
        <w:t>建设性质：扩建；</w:t>
      </w:r>
    </w:p>
    <w:p>
      <w:pPr>
        <w:pStyle w:val="222"/>
      </w:pPr>
      <w:r>
        <w:t>建设地点：合川区盐井街道办事处观音村；</w:t>
      </w:r>
    </w:p>
    <w:p>
      <w:pPr>
        <w:pStyle w:val="222"/>
      </w:pPr>
      <w:r>
        <w:t>矿区范围：划定矿区范围由4个拐点坐标闭合圈定，面积为0.0466km</w:t>
      </w:r>
      <w:r>
        <w:rPr>
          <w:vertAlign w:val="superscript"/>
        </w:rPr>
        <w:t>2</w:t>
      </w:r>
      <w:r>
        <w:t>，开采标高+380m~+251m；</w:t>
      </w:r>
    </w:p>
    <w:p>
      <w:pPr>
        <w:pStyle w:val="222"/>
      </w:pPr>
      <w:r>
        <w:t>开采矿层：飞仙关组三段（T</w:t>
      </w:r>
      <w:r>
        <w:rPr>
          <w:i/>
          <w:iCs/>
          <w:vertAlign w:val="subscript"/>
        </w:rPr>
        <w:t>1</w:t>
      </w:r>
      <w:r>
        <w:rPr>
          <w:i/>
          <w:iCs/>
        </w:rPr>
        <w:t>f</w:t>
      </w:r>
      <w:r>
        <w:rPr>
          <w:i/>
          <w:iCs/>
          <w:vertAlign w:val="superscript"/>
        </w:rPr>
        <w:t>3</w:t>
      </w:r>
      <w:r>
        <w:t>）、飞仙关组四段（T</w:t>
      </w:r>
      <w:r>
        <w:rPr>
          <w:i/>
          <w:iCs/>
          <w:vertAlign w:val="subscript"/>
        </w:rPr>
        <w:t>1</w:t>
      </w:r>
      <w:r>
        <w:rPr>
          <w:i/>
          <w:iCs/>
        </w:rPr>
        <w:t>f</w:t>
      </w:r>
      <w:r>
        <w:rPr>
          <w:i/>
          <w:iCs/>
          <w:vertAlign w:val="superscript"/>
        </w:rPr>
        <w:t>4</w:t>
      </w:r>
      <w:r>
        <w:t>）、三叠系下统嘉陵江组一段（T</w:t>
      </w:r>
      <w:r>
        <w:rPr>
          <w:i/>
          <w:iCs/>
          <w:vertAlign w:val="subscript"/>
        </w:rPr>
        <w:t>1</w:t>
      </w:r>
      <w:r>
        <w:rPr>
          <w:i/>
          <w:iCs/>
        </w:rPr>
        <w:t>j</w:t>
      </w:r>
      <w:r>
        <w:rPr>
          <w:i/>
          <w:iCs/>
          <w:vertAlign w:val="superscript"/>
        </w:rPr>
        <w:t>1</w:t>
      </w:r>
      <w:r>
        <w:t>）和少量第四系杂土（Q</w:t>
      </w:r>
      <w:r>
        <w:rPr>
          <w:vertAlign w:val="subscript"/>
        </w:rPr>
        <w:t>4</w:t>
      </w:r>
      <w:r>
        <w:rPr>
          <w:vertAlign w:val="superscript"/>
        </w:rPr>
        <w:t>el+dl</w:t>
      </w:r>
      <w:r>
        <w:t>）；</w:t>
      </w:r>
    </w:p>
    <w:p>
      <w:pPr>
        <w:pStyle w:val="222"/>
      </w:pPr>
      <w:r>
        <w:t>开采矿种：建筑石料用灰岩；</w:t>
      </w:r>
    </w:p>
    <w:p>
      <w:pPr>
        <w:pStyle w:val="222"/>
      </w:pPr>
      <w:r>
        <w:t>开采规模：100万t/a</w:t>
      </w:r>
    </w:p>
    <w:p>
      <w:pPr>
        <w:pStyle w:val="222"/>
      </w:pPr>
      <w:r>
        <w:t>生产规模：70万t/a；</w:t>
      </w:r>
    </w:p>
    <w:p>
      <w:pPr>
        <w:tabs>
          <w:tab w:val="left" w:pos="745"/>
        </w:tabs>
        <w:spacing w:line="360" w:lineRule="auto"/>
        <w:ind w:firstLine="480"/>
        <w:jc w:val="both"/>
        <w:rPr>
          <w:sz w:val="24"/>
        </w:rPr>
      </w:pPr>
      <w:r>
        <w:rPr>
          <w:sz w:val="24"/>
        </w:rPr>
        <w:t>开采方式：露天台阶式分层开采；</w:t>
      </w:r>
    </w:p>
    <w:p>
      <w:pPr>
        <w:pStyle w:val="222"/>
      </w:pPr>
      <w:r>
        <w:t>服务年限：3年；</w:t>
      </w:r>
    </w:p>
    <w:p>
      <w:pPr>
        <w:pStyle w:val="222"/>
      </w:pPr>
      <w:r>
        <w:t>项目总投资：500万元；</w:t>
      </w:r>
    </w:p>
    <w:p>
      <w:pPr>
        <w:pStyle w:val="222"/>
      </w:pPr>
      <w:r>
        <w:t>劳动定员：36人，包含工人和管理人员；</w:t>
      </w:r>
    </w:p>
    <w:p>
      <w:pPr>
        <w:pStyle w:val="222"/>
      </w:pPr>
      <w:r>
        <w:t>工作制度：矿山开采和工业场地碎石加工每天1班，每班10小时，年开采330天；</w:t>
      </w:r>
    </w:p>
    <w:p>
      <w:pPr>
        <w:spacing w:line="360" w:lineRule="auto"/>
        <w:ind w:firstLine="480"/>
        <w:jc w:val="both"/>
        <w:rPr>
          <w:sz w:val="24"/>
        </w:rPr>
      </w:pPr>
      <w:r>
        <w:rPr>
          <w:sz w:val="24"/>
        </w:rPr>
        <w:t>产品方案及储存方案：</w:t>
      </w:r>
      <w:bookmarkStart w:id="132" w:name="_Hlk65442521"/>
      <w:r>
        <w:rPr>
          <w:kern w:val="0"/>
          <w:sz w:val="24"/>
          <w:szCs w:val="26"/>
        </w:rPr>
        <w:t>矿山石灰岩开采后70万吨/a采用汽车运输至1km处的工业场地进行加工破碎，经破碎筛分系统分选出0~5mm的石粉，和5~10mm、10~20mm 2种规格的碎石，不同规格产品分别输送至产品料仓内分区暂存</w:t>
      </w:r>
      <w:bookmarkEnd w:id="132"/>
      <w:r>
        <w:rPr>
          <w:kern w:val="0"/>
          <w:sz w:val="24"/>
          <w:szCs w:val="26"/>
        </w:rPr>
        <w:t>，30万t/a原矿石直接外售，</w:t>
      </w:r>
      <w:r>
        <w:rPr>
          <w:sz w:val="24"/>
        </w:rPr>
        <w:t>项目产品方案具体见下表。</w:t>
      </w:r>
    </w:p>
    <w:p>
      <w:pPr>
        <w:pStyle w:val="84"/>
      </w:pPr>
      <w:r>
        <w:t>表3.1-1  扩建前后产品方案表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628"/>
        <w:gridCol w:w="1630"/>
        <w:gridCol w:w="1512"/>
        <w:gridCol w:w="1510"/>
        <w:gridCol w:w="1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91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产品名称</w:t>
            </w:r>
          </w:p>
        </w:tc>
        <w:tc>
          <w:tcPr>
            <w:tcW w:w="911"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产品规格</w:t>
            </w:r>
          </w:p>
        </w:tc>
        <w:tc>
          <w:tcPr>
            <w:tcW w:w="845"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扩建前规模（万t/a）</w:t>
            </w:r>
          </w:p>
        </w:tc>
        <w:tc>
          <w:tcPr>
            <w:tcW w:w="84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扩建后规模（万t/a）</w:t>
            </w:r>
          </w:p>
        </w:tc>
        <w:tc>
          <w:tcPr>
            <w:tcW w:w="843"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变化情况（万t/a）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vAlign w:val="center"/>
          </w:tcPr>
          <w:p>
            <w:pPr>
              <w:spacing w:line="240" w:lineRule="auto"/>
              <w:ind w:firstLine="0" w:firstLineChars="0"/>
              <w:jc w:val="center"/>
              <w:rPr>
                <w:sz w:val="21"/>
                <w:szCs w:val="21"/>
              </w:rPr>
            </w:pPr>
            <w:r>
              <w:rPr>
                <w:sz w:val="21"/>
                <w:szCs w:val="21"/>
              </w:rPr>
              <w:t>1</w:t>
            </w:r>
          </w:p>
        </w:tc>
        <w:tc>
          <w:tcPr>
            <w:tcW w:w="910" w:type="pct"/>
            <w:vAlign w:val="center"/>
          </w:tcPr>
          <w:p>
            <w:pPr>
              <w:spacing w:line="240" w:lineRule="auto"/>
              <w:ind w:firstLine="0" w:firstLineChars="0"/>
              <w:jc w:val="center"/>
              <w:rPr>
                <w:sz w:val="21"/>
                <w:szCs w:val="21"/>
              </w:rPr>
            </w:pPr>
            <w:r>
              <w:rPr>
                <w:sz w:val="21"/>
                <w:szCs w:val="21"/>
              </w:rPr>
              <w:t>石粉</w:t>
            </w:r>
          </w:p>
        </w:tc>
        <w:tc>
          <w:tcPr>
            <w:tcW w:w="911" w:type="pct"/>
            <w:vAlign w:val="center"/>
          </w:tcPr>
          <w:p>
            <w:pPr>
              <w:spacing w:line="240" w:lineRule="auto"/>
              <w:ind w:firstLine="0" w:firstLineChars="0"/>
              <w:jc w:val="center"/>
              <w:rPr>
                <w:sz w:val="21"/>
                <w:szCs w:val="21"/>
              </w:rPr>
            </w:pPr>
            <w:r>
              <w:rPr>
                <w:sz w:val="21"/>
                <w:szCs w:val="21"/>
              </w:rPr>
              <w:t>0~5mm</w:t>
            </w:r>
          </w:p>
        </w:tc>
        <w:tc>
          <w:tcPr>
            <w:tcW w:w="845" w:type="pct"/>
            <w:vAlign w:val="center"/>
          </w:tcPr>
          <w:p>
            <w:pPr>
              <w:spacing w:line="240" w:lineRule="auto"/>
              <w:ind w:firstLine="0" w:firstLineChars="0"/>
              <w:jc w:val="center"/>
              <w:rPr>
                <w:sz w:val="21"/>
                <w:szCs w:val="21"/>
              </w:rPr>
            </w:pPr>
            <w:r>
              <w:rPr>
                <w:sz w:val="21"/>
                <w:szCs w:val="21"/>
              </w:rPr>
              <w:t>14</w:t>
            </w:r>
          </w:p>
        </w:tc>
        <w:tc>
          <w:tcPr>
            <w:tcW w:w="844" w:type="pct"/>
            <w:vAlign w:val="center"/>
          </w:tcPr>
          <w:p>
            <w:pPr>
              <w:spacing w:line="240" w:lineRule="auto"/>
              <w:ind w:firstLine="0" w:firstLineChars="0"/>
              <w:jc w:val="center"/>
              <w:rPr>
                <w:sz w:val="21"/>
                <w:szCs w:val="21"/>
              </w:rPr>
            </w:pPr>
            <w:r>
              <w:rPr>
                <w:sz w:val="21"/>
                <w:szCs w:val="21"/>
              </w:rPr>
              <w:t>14</w:t>
            </w:r>
          </w:p>
        </w:tc>
        <w:tc>
          <w:tcPr>
            <w:tcW w:w="843" w:type="pct"/>
            <w:vAlign w:val="center"/>
          </w:tcPr>
          <w:p>
            <w:pPr>
              <w:spacing w:line="240" w:lineRule="auto"/>
              <w:ind w:firstLine="0" w:firstLineChars="0"/>
              <w:jc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vAlign w:val="center"/>
          </w:tcPr>
          <w:p>
            <w:pPr>
              <w:spacing w:line="240" w:lineRule="auto"/>
              <w:ind w:firstLine="0" w:firstLineChars="0"/>
              <w:jc w:val="center"/>
              <w:rPr>
                <w:sz w:val="21"/>
                <w:szCs w:val="21"/>
              </w:rPr>
            </w:pPr>
            <w:r>
              <w:rPr>
                <w:sz w:val="21"/>
                <w:szCs w:val="21"/>
              </w:rPr>
              <w:t>2</w:t>
            </w:r>
          </w:p>
        </w:tc>
        <w:tc>
          <w:tcPr>
            <w:tcW w:w="910" w:type="pct"/>
            <w:vMerge w:val="restart"/>
            <w:vAlign w:val="center"/>
          </w:tcPr>
          <w:p>
            <w:pPr>
              <w:spacing w:line="240" w:lineRule="auto"/>
              <w:ind w:firstLine="0" w:firstLineChars="0"/>
              <w:jc w:val="center"/>
              <w:rPr>
                <w:sz w:val="21"/>
                <w:szCs w:val="21"/>
              </w:rPr>
            </w:pPr>
            <w:r>
              <w:rPr>
                <w:sz w:val="21"/>
                <w:szCs w:val="21"/>
              </w:rPr>
              <w:t>碎石</w:t>
            </w:r>
          </w:p>
        </w:tc>
        <w:tc>
          <w:tcPr>
            <w:tcW w:w="911" w:type="pct"/>
            <w:vAlign w:val="center"/>
          </w:tcPr>
          <w:p>
            <w:pPr>
              <w:spacing w:line="240" w:lineRule="auto"/>
              <w:ind w:firstLine="0" w:firstLineChars="0"/>
              <w:jc w:val="center"/>
              <w:rPr>
                <w:sz w:val="21"/>
                <w:szCs w:val="21"/>
              </w:rPr>
            </w:pPr>
            <w:r>
              <w:rPr>
                <w:sz w:val="21"/>
                <w:szCs w:val="21"/>
              </w:rPr>
              <w:t>5~10mm</w:t>
            </w:r>
          </w:p>
        </w:tc>
        <w:tc>
          <w:tcPr>
            <w:tcW w:w="845" w:type="pct"/>
            <w:vAlign w:val="center"/>
          </w:tcPr>
          <w:p>
            <w:pPr>
              <w:spacing w:line="240" w:lineRule="auto"/>
              <w:ind w:firstLine="0" w:firstLineChars="0"/>
              <w:jc w:val="center"/>
              <w:rPr>
                <w:sz w:val="21"/>
                <w:szCs w:val="21"/>
              </w:rPr>
            </w:pPr>
            <w:r>
              <w:rPr>
                <w:sz w:val="21"/>
                <w:szCs w:val="21"/>
              </w:rPr>
              <w:t>14</w:t>
            </w:r>
          </w:p>
        </w:tc>
        <w:tc>
          <w:tcPr>
            <w:tcW w:w="844" w:type="pct"/>
            <w:vAlign w:val="center"/>
          </w:tcPr>
          <w:p>
            <w:pPr>
              <w:spacing w:line="240" w:lineRule="auto"/>
              <w:ind w:firstLine="0" w:firstLineChars="0"/>
              <w:jc w:val="center"/>
              <w:rPr>
                <w:sz w:val="21"/>
                <w:szCs w:val="21"/>
              </w:rPr>
            </w:pPr>
            <w:r>
              <w:rPr>
                <w:sz w:val="21"/>
                <w:szCs w:val="21"/>
              </w:rPr>
              <w:t>14</w:t>
            </w:r>
          </w:p>
        </w:tc>
        <w:tc>
          <w:tcPr>
            <w:tcW w:w="843" w:type="pct"/>
            <w:vAlign w:val="center"/>
          </w:tcPr>
          <w:p>
            <w:pPr>
              <w:spacing w:line="240" w:lineRule="auto"/>
              <w:ind w:firstLine="0" w:firstLineChars="0"/>
              <w:jc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vAlign w:val="center"/>
          </w:tcPr>
          <w:p>
            <w:pPr>
              <w:spacing w:line="240" w:lineRule="auto"/>
              <w:ind w:firstLine="0" w:firstLineChars="0"/>
              <w:jc w:val="center"/>
              <w:rPr>
                <w:sz w:val="21"/>
                <w:szCs w:val="21"/>
              </w:rPr>
            </w:pPr>
            <w:r>
              <w:rPr>
                <w:sz w:val="21"/>
                <w:szCs w:val="21"/>
              </w:rPr>
              <w:t>3</w:t>
            </w:r>
          </w:p>
        </w:tc>
        <w:tc>
          <w:tcPr>
            <w:tcW w:w="910" w:type="pct"/>
            <w:vMerge w:val="continue"/>
            <w:vAlign w:val="center"/>
          </w:tcPr>
          <w:p>
            <w:pPr>
              <w:spacing w:line="240" w:lineRule="auto"/>
              <w:ind w:firstLine="0" w:firstLineChars="0"/>
              <w:jc w:val="center"/>
              <w:rPr>
                <w:sz w:val="21"/>
                <w:szCs w:val="21"/>
              </w:rPr>
            </w:pPr>
          </w:p>
        </w:tc>
        <w:tc>
          <w:tcPr>
            <w:tcW w:w="911" w:type="pct"/>
            <w:vAlign w:val="center"/>
          </w:tcPr>
          <w:p>
            <w:pPr>
              <w:spacing w:line="240" w:lineRule="auto"/>
              <w:ind w:firstLine="0" w:firstLineChars="0"/>
              <w:jc w:val="center"/>
              <w:rPr>
                <w:sz w:val="21"/>
                <w:szCs w:val="21"/>
              </w:rPr>
            </w:pPr>
            <w:r>
              <w:rPr>
                <w:sz w:val="21"/>
                <w:szCs w:val="21"/>
              </w:rPr>
              <w:t>10~20mm</w:t>
            </w:r>
          </w:p>
        </w:tc>
        <w:tc>
          <w:tcPr>
            <w:tcW w:w="845" w:type="pct"/>
            <w:vAlign w:val="center"/>
          </w:tcPr>
          <w:p>
            <w:pPr>
              <w:spacing w:line="240" w:lineRule="auto"/>
              <w:ind w:firstLine="0" w:firstLineChars="0"/>
              <w:jc w:val="center"/>
              <w:rPr>
                <w:sz w:val="21"/>
                <w:szCs w:val="21"/>
              </w:rPr>
            </w:pPr>
            <w:r>
              <w:rPr>
                <w:sz w:val="21"/>
                <w:szCs w:val="21"/>
              </w:rPr>
              <w:t>42</w:t>
            </w:r>
          </w:p>
        </w:tc>
        <w:tc>
          <w:tcPr>
            <w:tcW w:w="844" w:type="pct"/>
            <w:vAlign w:val="center"/>
          </w:tcPr>
          <w:p>
            <w:pPr>
              <w:spacing w:line="240" w:lineRule="auto"/>
              <w:ind w:firstLine="0" w:firstLineChars="0"/>
              <w:jc w:val="center"/>
              <w:rPr>
                <w:sz w:val="21"/>
                <w:szCs w:val="21"/>
              </w:rPr>
            </w:pPr>
            <w:r>
              <w:rPr>
                <w:sz w:val="21"/>
                <w:szCs w:val="21"/>
              </w:rPr>
              <w:t>42</w:t>
            </w:r>
          </w:p>
        </w:tc>
        <w:tc>
          <w:tcPr>
            <w:tcW w:w="843" w:type="pct"/>
            <w:vAlign w:val="center"/>
          </w:tcPr>
          <w:p>
            <w:pPr>
              <w:spacing w:line="240" w:lineRule="auto"/>
              <w:ind w:firstLine="0" w:firstLineChars="0"/>
              <w:jc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vAlign w:val="center"/>
          </w:tcPr>
          <w:p>
            <w:pPr>
              <w:spacing w:line="240" w:lineRule="auto"/>
              <w:ind w:firstLine="0" w:firstLineChars="0"/>
              <w:jc w:val="center"/>
              <w:rPr>
                <w:sz w:val="21"/>
                <w:szCs w:val="21"/>
              </w:rPr>
            </w:pPr>
            <w:r>
              <w:rPr>
                <w:sz w:val="21"/>
                <w:szCs w:val="21"/>
              </w:rPr>
              <w:t>4</w:t>
            </w:r>
          </w:p>
        </w:tc>
        <w:tc>
          <w:tcPr>
            <w:tcW w:w="910" w:type="pct"/>
            <w:vAlign w:val="center"/>
          </w:tcPr>
          <w:p>
            <w:pPr>
              <w:spacing w:line="240" w:lineRule="auto"/>
              <w:ind w:firstLine="0" w:firstLineChars="0"/>
              <w:jc w:val="center"/>
              <w:rPr>
                <w:sz w:val="21"/>
                <w:szCs w:val="21"/>
              </w:rPr>
            </w:pPr>
            <w:r>
              <w:rPr>
                <w:sz w:val="21"/>
                <w:szCs w:val="21"/>
              </w:rPr>
              <w:t>原矿</w:t>
            </w:r>
          </w:p>
        </w:tc>
        <w:tc>
          <w:tcPr>
            <w:tcW w:w="911" w:type="pct"/>
            <w:vAlign w:val="center"/>
          </w:tcPr>
          <w:p>
            <w:pPr>
              <w:spacing w:line="240" w:lineRule="auto"/>
              <w:ind w:firstLine="0" w:firstLineChars="0"/>
              <w:jc w:val="center"/>
              <w:rPr>
                <w:sz w:val="21"/>
                <w:szCs w:val="21"/>
              </w:rPr>
            </w:pPr>
            <w:r>
              <w:rPr>
                <w:sz w:val="21"/>
                <w:szCs w:val="21"/>
              </w:rPr>
              <w:t>1~2m</w:t>
            </w:r>
          </w:p>
        </w:tc>
        <w:tc>
          <w:tcPr>
            <w:tcW w:w="845" w:type="pct"/>
            <w:vAlign w:val="center"/>
          </w:tcPr>
          <w:p>
            <w:pPr>
              <w:spacing w:line="240" w:lineRule="auto"/>
              <w:ind w:firstLine="0" w:firstLineChars="0"/>
              <w:jc w:val="center"/>
              <w:rPr>
                <w:sz w:val="21"/>
                <w:szCs w:val="21"/>
              </w:rPr>
            </w:pPr>
            <w:r>
              <w:rPr>
                <w:sz w:val="21"/>
                <w:szCs w:val="21"/>
              </w:rPr>
              <w:t>0</w:t>
            </w:r>
          </w:p>
        </w:tc>
        <w:tc>
          <w:tcPr>
            <w:tcW w:w="844" w:type="pct"/>
            <w:vAlign w:val="center"/>
          </w:tcPr>
          <w:p>
            <w:pPr>
              <w:spacing w:line="240" w:lineRule="auto"/>
              <w:ind w:firstLine="0" w:firstLineChars="0"/>
              <w:jc w:val="center"/>
              <w:rPr>
                <w:sz w:val="21"/>
                <w:szCs w:val="21"/>
              </w:rPr>
            </w:pPr>
            <w:r>
              <w:rPr>
                <w:sz w:val="21"/>
                <w:szCs w:val="21"/>
              </w:rPr>
              <w:t>30</w:t>
            </w:r>
          </w:p>
        </w:tc>
        <w:tc>
          <w:tcPr>
            <w:tcW w:w="843" w:type="pct"/>
            <w:vAlign w:val="center"/>
          </w:tcPr>
          <w:p>
            <w:pPr>
              <w:spacing w:line="240" w:lineRule="auto"/>
              <w:ind w:firstLine="0" w:firstLineChars="0"/>
              <w:jc w:val="center"/>
              <w:rPr>
                <w:sz w:val="21"/>
                <w:szCs w:val="21"/>
              </w:rPr>
            </w:pPr>
            <w:r>
              <w:rPr>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8" w:type="pct"/>
            <w:gridSpan w:val="2"/>
            <w:vAlign w:val="center"/>
          </w:tcPr>
          <w:p>
            <w:pPr>
              <w:spacing w:line="240" w:lineRule="auto"/>
              <w:ind w:firstLine="0" w:firstLineChars="0"/>
              <w:jc w:val="center"/>
              <w:rPr>
                <w:sz w:val="21"/>
                <w:szCs w:val="21"/>
              </w:rPr>
            </w:pPr>
            <w:r>
              <w:rPr>
                <w:sz w:val="21"/>
                <w:szCs w:val="21"/>
              </w:rPr>
              <w:t>合计</w:t>
            </w:r>
          </w:p>
        </w:tc>
        <w:tc>
          <w:tcPr>
            <w:tcW w:w="911" w:type="pct"/>
            <w:vAlign w:val="center"/>
          </w:tcPr>
          <w:p>
            <w:pPr>
              <w:spacing w:line="240" w:lineRule="auto"/>
              <w:ind w:firstLine="0" w:firstLineChars="0"/>
              <w:jc w:val="center"/>
              <w:rPr>
                <w:sz w:val="21"/>
                <w:szCs w:val="21"/>
              </w:rPr>
            </w:pPr>
            <w:r>
              <w:rPr>
                <w:sz w:val="21"/>
                <w:szCs w:val="21"/>
              </w:rPr>
              <w:t>/</w:t>
            </w:r>
          </w:p>
        </w:tc>
        <w:tc>
          <w:tcPr>
            <w:tcW w:w="845" w:type="pct"/>
            <w:vAlign w:val="center"/>
          </w:tcPr>
          <w:p>
            <w:pPr>
              <w:spacing w:line="240" w:lineRule="auto"/>
              <w:ind w:firstLine="0" w:firstLineChars="0"/>
              <w:jc w:val="center"/>
              <w:rPr>
                <w:sz w:val="21"/>
                <w:szCs w:val="21"/>
              </w:rPr>
            </w:pPr>
            <w:r>
              <w:rPr>
                <w:sz w:val="21"/>
                <w:szCs w:val="21"/>
              </w:rPr>
              <w:t>70</w:t>
            </w:r>
          </w:p>
        </w:tc>
        <w:tc>
          <w:tcPr>
            <w:tcW w:w="844" w:type="pct"/>
            <w:vAlign w:val="center"/>
          </w:tcPr>
          <w:p>
            <w:pPr>
              <w:spacing w:line="240" w:lineRule="auto"/>
              <w:ind w:firstLine="0" w:firstLineChars="0"/>
              <w:jc w:val="center"/>
              <w:rPr>
                <w:sz w:val="21"/>
                <w:szCs w:val="21"/>
              </w:rPr>
            </w:pPr>
            <w:r>
              <w:rPr>
                <w:sz w:val="21"/>
                <w:szCs w:val="21"/>
              </w:rPr>
              <w:t>100</w:t>
            </w:r>
          </w:p>
        </w:tc>
        <w:tc>
          <w:tcPr>
            <w:tcW w:w="843" w:type="pct"/>
            <w:vAlign w:val="center"/>
          </w:tcPr>
          <w:p>
            <w:pPr>
              <w:spacing w:line="240" w:lineRule="auto"/>
              <w:ind w:firstLine="0" w:firstLineChars="0"/>
              <w:jc w:val="center"/>
              <w:rPr>
                <w:sz w:val="21"/>
                <w:szCs w:val="21"/>
              </w:rPr>
            </w:pPr>
            <w:r>
              <w:rPr>
                <w:sz w:val="21"/>
                <w:szCs w:val="21"/>
              </w:rPr>
              <w:t>+30</w:t>
            </w:r>
          </w:p>
        </w:tc>
      </w:tr>
    </w:tbl>
    <w:p>
      <w:pPr>
        <w:pStyle w:val="5"/>
        <w:rPr>
          <w:color w:val="auto"/>
        </w:rPr>
      </w:pPr>
      <w:r>
        <w:rPr>
          <w:color w:val="auto"/>
        </w:rPr>
        <w:t>3.1.2矿区范围及资源概况</w:t>
      </w:r>
    </w:p>
    <w:p>
      <w:pPr>
        <w:pStyle w:val="6"/>
        <w:numPr>
          <w:ilvl w:val="3"/>
          <w:numId w:val="0"/>
        </w:numPr>
      </w:pPr>
      <w:r>
        <w:t>3.1.2.1矿区范围</w:t>
      </w:r>
    </w:p>
    <w:p>
      <w:pPr>
        <w:ind w:firstLine="480"/>
        <w:jc w:val="both"/>
        <w:rPr>
          <w:sz w:val="24"/>
          <w:szCs w:val="21"/>
        </w:rPr>
      </w:pPr>
      <w:r>
        <w:rPr>
          <w:sz w:val="24"/>
          <w:szCs w:val="21"/>
        </w:rPr>
        <w:t>本项目位于重庆市合川区盐井街道观音村，根据采矿许可证（证号C5001172009097130035968），本项目采矿区范围见下表。</w:t>
      </w:r>
    </w:p>
    <w:p>
      <w:pPr>
        <w:pStyle w:val="84"/>
      </w:pPr>
      <w:r>
        <w:t>表3.1-2  本项目采矿区拐点坐标</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9"/>
        <w:gridCol w:w="1486"/>
        <w:gridCol w:w="1619"/>
        <w:gridCol w:w="1368"/>
        <w:gridCol w:w="1486"/>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2" w:type="dxa"/>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拐点编号</w:t>
            </w:r>
          </w:p>
        </w:tc>
        <w:tc>
          <w:tcPr>
            <w:tcW w:w="2906" w:type="dxa"/>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2000国家大地坐标</w:t>
            </w:r>
          </w:p>
        </w:tc>
        <w:tc>
          <w:tcPr>
            <w:tcW w:w="1371" w:type="dxa"/>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拐点编号</w:t>
            </w:r>
          </w:p>
        </w:tc>
        <w:tc>
          <w:tcPr>
            <w:tcW w:w="2907" w:type="dxa"/>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2000国家大地坐标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2" w:type="dxa"/>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1430"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X</w:t>
            </w:r>
          </w:p>
        </w:tc>
        <w:tc>
          <w:tcPr>
            <w:tcW w:w="1476"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Y</w:t>
            </w:r>
          </w:p>
        </w:tc>
        <w:tc>
          <w:tcPr>
            <w:tcW w:w="1371" w:type="dxa"/>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1431"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X</w:t>
            </w:r>
          </w:p>
        </w:tc>
        <w:tc>
          <w:tcPr>
            <w:tcW w:w="1476"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2" w:type="dxa"/>
            <w:vAlign w:val="center"/>
          </w:tcPr>
          <w:p>
            <w:pPr>
              <w:spacing w:line="240" w:lineRule="auto"/>
              <w:ind w:firstLine="0" w:firstLineChars="0"/>
              <w:jc w:val="center"/>
              <w:rPr>
                <w:sz w:val="21"/>
                <w:szCs w:val="21"/>
              </w:rPr>
            </w:pPr>
            <w:r>
              <w:rPr>
                <w:sz w:val="21"/>
                <w:szCs w:val="21"/>
              </w:rPr>
              <w:t>1</w:t>
            </w:r>
          </w:p>
        </w:tc>
        <w:tc>
          <w:tcPr>
            <w:tcW w:w="1430" w:type="dxa"/>
          </w:tcPr>
          <w:p>
            <w:pPr>
              <w:spacing w:line="240" w:lineRule="auto"/>
              <w:ind w:firstLine="0" w:firstLineChars="0"/>
              <w:jc w:val="center"/>
              <w:rPr>
                <w:sz w:val="21"/>
                <w:szCs w:val="21"/>
              </w:rPr>
            </w:pPr>
            <w:r>
              <w:rPr>
                <w:sz w:val="21"/>
                <w:szCs w:val="21"/>
              </w:rPr>
              <w:t>3311691.12</w:t>
            </w:r>
          </w:p>
        </w:tc>
        <w:tc>
          <w:tcPr>
            <w:tcW w:w="1476" w:type="dxa"/>
          </w:tcPr>
          <w:p>
            <w:pPr>
              <w:spacing w:line="240" w:lineRule="auto"/>
              <w:ind w:firstLine="0" w:firstLineChars="0"/>
              <w:jc w:val="center"/>
              <w:rPr>
                <w:sz w:val="21"/>
                <w:szCs w:val="21"/>
              </w:rPr>
            </w:pPr>
            <w:r>
              <w:rPr>
                <w:sz w:val="21"/>
                <w:szCs w:val="21"/>
              </w:rPr>
              <w:t>35626708.28</w:t>
            </w:r>
          </w:p>
        </w:tc>
        <w:tc>
          <w:tcPr>
            <w:tcW w:w="1371" w:type="dxa"/>
          </w:tcPr>
          <w:p>
            <w:pPr>
              <w:spacing w:line="240" w:lineRule="auto"/>
              <w:ind w:firstLine="0" w:firstLineChars="0"/>
              <w:jc w:val="center"/>
              <w:rPr>
                <w:sz w:val="21"/>
                <w:szCs w:val="21"/>
              </w:rPr>
            </w:pPr>
            <w:r>
              <w:rPr>
                <w:sz w:val="21"/>
                <w:szCs w:val="21"/>
              </w:rPr>
              <w:t>3</w:t>
            </w:r>
          </w:p>
        </w:tc>
        <w:tc>
          <w:tcPr>
            <w:tcW w:w="1431" w:type="dxa"/>
          </w:tcPr>
          <w:p>
            <w:pPr>
              <w:spacing w:line="240" w:lineRule="auto"/>
              <w:ind w:firstLine="0" w:firstLineChars="0"/>
              <w:jc w:val="center"/>
              <w:rPr>
                <w:sz w:val="21"/>
                <w:szCs w:val="21"/>
              </w:rPr>
            </w:pPr>
            <w:r>
              <w:rPr>
                <w:sz w:val="21"/>
                <w:szCs w:val="21"/>
              </w:rPr>
              <w:t>3311401.26</w:t>
            </w:r>
          </w:p>
        </w:tc>
        <w:tc>
          <w:tcPr>
            <w:tcW w:w="1476" w:type="dxa"/>
          </w:tcPr>
          <w:p>
            <w:pPr>
              <w:spacing w:line="240" w:lineRule="auto"/>
              <w:ind w:firstLine="0" w:firstLineChars="0"/>
              <w:jc w:val="center"/>
              <w:rPr>
                <w:sz w:val="21"/>
                <w:szCs w:val="21"/>
              </w:rPr>
            </w:pPr>
            <w:r>
              <w:rPr>
                <w:sz w:val="21"/>
                <w:szCs w:val="21"/>
              </w:rPr>
              <w:t>35626645.46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2" w:type="dxa"/>
            <w:vAlign w:val="center"/>
          </w:tcPr>
          <w:p>
            <w:pPr>
              <w:spacing w:line="240" w:lineRule="auto"/>
              <w:ind w:firstLine="0" w:firstLineChars="0"/>
              <w:jc w:val="center"/>
              <w:rPr>
                <w:sz w:val="21"/>
                <w:szCs w:val="21"/>
              </w:rPr>
            </w:pPr>
            <w:r>
              <w:rPr>
                <w:sz w:val="21"/>
                <w:szCs w:val="21"/>
              </w:rPr>
              <w:t>2</w:t>
            </w:r>
          </w:p>
        </w:tc>
        <w:tc>
          <w:tcPr>
            <w:tcW w:w="1430" w:type="dxa"/>
          </w:tcPr>
          <w:p>
            <w:pPr>
              <w:spacing w:line="240" w:lineRule="auto"/>
              <w:ind w:firstLine="0" w:firstLineChars="0"/>
              <w:jc w:val="center"/>
              <w:rPr>
                <w:sz w:val="21"/>
                <w:szCs w:val="21"/>
              </w:rPr>
            </w:pPr>
            <w:r>
              <w:rPr>
                <w:sz w:val="21"/>
                <w:szCs w:val="21"/>
              </w:rPr>
              <w:t>3311542.30</w:t>
            </w:r>
          </w:p>
        </w:tc>
        <w:tc>
          <w:tcPr>
            <w:tcW w:w="1476" w:type="dxa"/>
          </w:tcPr>
          <w:p>
            <w:pPr>
              <w:spacing w:line="240" w:lineRule="auto"/>
              <w:ind w:firstLine="0" w:firstLineChars="0"/>
              <w:jc w:val="center"/>
              <w:rPr>
                <w:sz w:val="21"/>
                <w:szCs w:val="21"/>
              </w:rPr>
            </w:pPr>
            <w:r>
              <w:rPr>
                <w:sz w:val="21"/>
                <w:szCs w:val="21"/>
              </w:rPr>
              <w:t>35626844.99</w:t>
            </w:r>
          </w:p>
        </w:tc>
        <w:tc>
          <w:tcPr>
            <w:tcW w:w="1371" w:type="dxa"/>
          </w:tcPr>
          <w:p>
            <w:pPr>
              <w:spacing w:line="240" w:lineRule="auto"/>
              <w:ind w:firstLine="0" w:firstLineChars="0"/>
              <w:jc w:val="center"/>
              <w:rPr>
                <w:sz w:val="21"/>
                <w:szCs w:val="21"/>
              </w:rPr>
            </w:pPr>
            <w:r>
              <w:rPr>
                <w:sz w:val="21"/>
                <w:szCs w:val="21"/>
              </w:rPr>
              <w:t>4</w:t>
            </w:r>
          </w:p>
        </w:tc>
        <w:tc>
          <w:tcPr>
            <w:tcW w:w="1431" w:type="dxa"/>
          </w:tcPr>
          <w:p>
            <w:pPr>
              <w:spacing w:line="240" w:lineRule="auto"/>
              <w:ind w:firstLine="0" w:firstLineChars="0"/>
              <w:jc w:val="center"/>
              <w:rPr>
                <w:sz w:val="21"/>
                <w:szCs w:val="21"/>
              </w:rPr>
            </w:pPr>
            <w:r>
              <w:rPr>
                <w:sz w:val="21"/>
                <w:szCs w:val="21"/>
              </w:rPr>
              <w:t>3311535.83</w:t>
            </w:r>
          </w:p>
        </w:tc>
        <w:tc>
          <w:tcPr>
            <w:tcW w:w="1476" w:type="dxa"/>
          </w:tcPr>
          <w:p>
            <w:pPr>
              <w:spacing w:line="240" w:lineRule="auto"/>
              <w:ind w:firstLine="0" w:firstLineChars="0"/>
              <w:jc w:val="center"/>
              <w:rPr>
                <w:sz w:val="21"/>
                <w:szCs w:val="21"/>
              </w:rPr>
            </w:pPr>
            <w:r>
              <w:rPr>
                <w:sz w:val="21"/>
                <w:szCs w:val="21"/>
              </w:rPr>
              <w:t>35626521.82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56" w:type="dxa"/>
            <w:gridSpan w:val="6"/>
            <w:vAlign w:val="center"/>
          </w:tcPr>
          <w:p>
            <w:pPr>
              <w:spacing w:line="240" w:lineRule="auto"/>
              <w:ind w:firstLine="0" w:firstLineChars="0"/>
              <w:rPr>
                <w:sz w:val="21"/>
                <w:szCs w:val="21"/>
              </w:rPr>
            </w:pPr>
            <w:r>
              <w:rPr>
                <w:sz w:val="21"/>
                <w:szCs w:val="21"/>
              </w:rPr>
              <w:t>开采矿种：建筑石料用灰岩，开采标高：+380m—+251m，</w:t>
            </w:r>
          </w:p>
          <w:p>
            <w:pPr>
              <w:spacing w:line="240" w:lineRule="auto"/>
              <w:ind w:firstLine="0" w:firstLineChars="0"/>
              <w:rPr>
                <w:sz w:val="21"/>
                <w:szCs w:val="21"/>
              </w:rPr>
            </w:pPr>
            <w:r>
              <w:rPr>
                <w:sz w:val="21"/>
                <w:szCs w:val="21"/>
              </w:rPr>
              <w:t>矿区面积：0.0466km</w:t>
            </w:r>
            <w:r>
              <w:rPr>
                <w:sz w:val="21"/>
                <w:szCs w:val="21"/>
                <w:vertAlign w:val="superscript"/>
              </w:rPr>
              <w:t>2</w:t>
            </w:r>
            <w:r>
              <w:rPr>
                <w:sz w:val="21"/>
                <w:szCs w:val="21"/>
              </w:rPr>
              <w:t>，设计开采规模：100万吨/年</w:t>
            </w:r>
          </w:p>
        </w:tc>
      </w:tr>
    </w:tbl>
    <w:p>
      <w:pPr>
        <w:pStyle w:val="6"/>
        <w:numPr>
          <w:ilvl w:val="3"/>
          <w:numId w:val="0"/>
        </w:numPr>
      </w:pPr>
      <w:r>
        <w:t>3.1.2.2资源储量</w:t>
      </w:r>
    </w:p>
    <w:p>
      <w:pPr>
        <w:spacing w:line="360" w:lineRule="auto"/>
        <w:ind w:firstLine="480"/>
        <w:jc w:val="both"/>
        <w:rPr>
          <w:sz w:val="24"/>
          <w:szCs w:val="21"/>
        </w:rPr>
      </w:pPr>
      <w:r>
        <w:rPr>
          <w:sz w:val="24"/>
          <w:szCs w:val="21"/>
        </w:rPr>
        <w:t>根据《重庆市合川区盐井街道观音村五社建筑用灰岩矿矿产资源开发利用方案》（2023年9月），划定矿区范围内总控制资源量共计624.4万吨，可利用资源量为326.6万吨。矿山综合回采率按90%计算，可采资源量为可利用资源量的90%，即326.6万吨×90%=293.94万吨。</w:t>
      </w:r>
    </w:p>
    <w:p>
      <w:pPr>
        <w:pStyle w:val="6"/>
        <w:numPr>
          <w:ilvl w:val="3"/>
          <w:numId w:val="0"/>
        </w:numPr>
      </w:pPr>
      <w:r>
        <w:t>3.1.2.3服务年限</w:t>
      </w:r>
    </w:p>
    <w:p>
      <w:pPr>
        <w:tabs>
          <w:tab w:val="left" w:pos="745"/>
        </w:tabs>
        <w:spacing w:line="360" w:lineRule="auto"/>
        <w:ind w:firstLine="480"/>
        <w:jc w:val="both"/>
        <w:rPr>
          <w:sz w:val="24"/>
          <w:szCs w:val="24"/>
        </w:rPr>
      </w:pPr>
      <w:r>
        <w:rPr>
          <w:sz w:val="24"/>
          <w:szCs w:val="21"/>
        </w:rPr>
        <w:t>矿山开采规模100万t/a，矿山服务年限为293.94万吨÷100万吨/年≈3年。</w:t>
      </w:r>
    </w:p>
    <w:p>
      <w:pPr>
        <w:pStyle w:val="6"/>
        <w:numPr>
          <w:ilvl w:val="3"/>
          <w:numId w:val="0"/>
        </w:numPr>
      </w:pPr>
      <w:r>
        <w:t>3.1.2.4与相邻矿区位置关系</w:t>
      </w:r>
    </w:p>
    <w:p>
      <w:pPr>
        <w:pStyle w:val="222"/>
        <w:rPr>
          <w:b/>
          <w:bCs/>
        </w:rPr>
      </w:pPr>
      <w:r>
        <w:t>根据合川区规划和自然资源局矿权查询系统咨询，项目划定矿区范围周边300m无相邻矿山，无矿权重叠和资源纠纷，亦无压覆矿产资源情况。</w:t>
      </w:r>
    </w:p>
    <w:p>
      <w:pPr>
        <w:pStyle w:val="6"/>
        <w:numPr>
          <w:ilvl w:val="3"/>
          <w:numId w:val="0"/>
        </w:numPr>
      </w:pPr>
      <w:r>
        <w:t>3.1.2.5矿层及矿石特征</w:t>
      </w:r>
    </w:p>
    <w:p>
      <w:pPr>
        <w:pStyle w:val="300"/>
      </w:pPr>
      <w:bookmarkStart w:id="133" w:name="_Toc505517326"/>
      <w:r>
        <w:t>（1）含矿岩系</w:t>
      </w:r>
    </w:p>
    <w:p>
      <w:pPr>
        <w:pStyle w:val="300"/>
      </w:pPr>
      <w:r>
        <w:t>矿山拟开采的灰岩矿含矿岩系为三叠系下统飞仙关组第三段（T</w:t>
      </w:r>
      <w:r>
        <w:rPr>
          <w:vertAlign w:val="subscript"/>
        </w:rPr>
        <w:t>1</w:t>
      </w:r>
      <w:r>
        <w:t>f</w:t>
      </w:r>
      <w:r>
        <w:rPr>
          <w:vertAlign w:val="superscript"/>
        </w:rPr>
        <w:t>3</w:t>
      </w:r>
      <w:r>
        <w:t>）和三叠系下统嘉陵江组第一段（T</w:t>
      </w:r>
      <w:r>
        <w:rPr>
          <w:vertAlign w:val="subscript"/>
        </w:rPr>
        <w:t>1</w:t>
      </w:r>
      <w:r>
        <w:t>j</w:t>
      </w:r>
      <w:r>
        <w:rPr>
          <w:vertAlign w:val="superscript"/>
        </w:rPr>
        <w:t>1</w:t>
      </w:r>
      <w:r>
        <w:t>）。</w:t>
      </w:r>
    </w:p>
    <w:p>
      <w:pPr>
        <w:pStyle w:val="300"/>
      </w:pPr>
      <w:r>
        <w:t>三叠系下统飞仙关组第三段（T</w:t>
      </w:r>
      <w:r>
        <w:rPr>
          <w:vertAlign w:val="subscript"/>
        </w:rPr>
        <w:t>1</w:t>
      </w:r>
      <w:r>
        <w:t>f</w:t>
      </w:r>
      <w:r>
        <w:rPr>
          <w:vertAlign w:val="superscript"/>
        </w:rPr>
        <w:t>3</w:t>
      </w:r>
      <w:r>
        <w:t>）：区内出露地层厚度大于50m，未见底。岩性组合主要为浅灰、灰白色、深灰色中厚层状灰岩夹泥质灰岩，部分具缅状结构。</w:t>
      </w:r>
    </w:p>
    <w:p>
      <w:pPr>
        <w:pStyle w:val="300"/>
      </w:pPr>
      <w:r>
        <w:t>嘉陵江组第一段（T</w:t>
      </w:r>
      <w:r>
        <w:rPr>
          <w:vertAlign w:val="subscript"/>
        </w:rPr>
        <w:t>1</w:t>
      </w:r>
      <w:r>
        <w:t>j</w:t>
      </w:r>
      <w:r>
        <w:rPr>
          <w:vertAlign w:val="superscript"/>
        </w:rPr>
        <w:t>1</w:t>
      </w:r>
      <w:r>
        <w:t>）：区内矿石以灰色、浅灰色、灰白色中—薄层块状灰岩、微晶灰岩、泥晶灰岩为主，偶夹白云质灰岩，质地优良，厚度大于80m。</w:t>
      </w:r>
    </w:p>
    <w:p>
      <w:pPr>
        <w:pStyle w:val="300"/>
      </w:pPr>
      <w:r>
        <w:t>（2）矿层特征</w:t>
      </w:r>
    </w:p>
    <w:p>
      <w:pPr>
        <w:pStyle w:val="300"/>
      </w:pPr>
      <w:r>
        <w:t>矿层赋存于三叠系下统飞仙关组第三段（T</w:t>
      </w:r>
      <w:r>
        <w:rPr>
          <w:vertAlign w:val="subscript"/>
        </w:rPr>
        <w:t>1</w:t>
      </w:r>
      <w:r>
        <w:t>f</w:t>
      </w:r>
      <w:r>
        <w:rPr>
          <w:vertAlign w:val="superscript"/>
        </w:rPr>
        <w:t>3</w:t>
      </w:r>
      <w:r>
        <w:t>）和三叠系下统嘉陵江组第一段（T</w:t>
      </w:r>
      <w:r>
        <w:rPr>
          <w:vertAlign w:val="subscript"/>
        </w:rPr>
        <w:t>1</w:t>
      </w:r>
      <w:r>
        <w:t>j</w:t>
      </w:r>
      <w:r>
        <w:rPr>
          <w:vertAlign w:val="superscript"/>
        </w:rPr>
        <w:t>1</w:t>
      </w:r>
      <w:r>
        <w:t>）石灰岩层，其中：</w:t>
      </w:r>
    </w:p>
    <w:p>
      <w:pPr>
        <w:pStyle w:val="300"/>
      </w:pPr>
      <w:r>
        <w:t>三叠系下统飞仙关组第三段（T</w:t>
      </w:r>
      <w:r>
        <w:rPr>
          <w:vertAlign w:val="subscript"/>
        </w:rPr>
        <w:t>1</w:t>
      </w:r>
      <w:r>
        <w:t>f</w:t>
      </w:r>
      <w:r>
        <w:rPr>
          <w:vertAlign w:val="superscript"/>
        </w:rPr>
        <w:t>3</w:t>
      </w:r>
      <w:r>
        <w:t>）：岩性主要为浅灰、灰白色、深灰色中厚层状灰岩夹泥质灰岩。开采矿区矿层大部分为表土和植被覆盖，矿体呈单斜产出，矿体沿走向、倾向上厚度稳定，矿区内厚度大于50m。矿层呈层状，规模较大，质量较好。表土层厚度0~4m，矿层产状325°L81°﹐总体上矿层形态较简单。三叠系下统嘉陵江组第一段（T</w:t>
      </w:r>
      <w:r>
        <w:rPr>
          <w:vertAlign w:val="subscript"/>
        </w:rPr>
        <w:t>1</w:t>
      </w:r>
      <w:r>
        <w:t>j</w:t>
      </w:r>
      <w:r>
        <w:rPr>
          <w:vertAlign w:val="superscript"/>
        </w:rPr>
        <w:t>1</w:t>
      </w:r>
      <w:r>
        <w:t>）：岩性主要为灰色、浅灰色、灰白色中—薄层块状灰岩、微晶灰岩、泥晶灰岩为主，偶夹白云质灰岩。矿体呈单斜产出，矿体沿走向、倾向上厚度稳定，属稳定性矿床，厚度大于80m。矿体大部裸露于地表，表土层厚度0~2m，矿层产状325°</w:t>
      </w:r>
      <w:r>
        <w:rPr>
          <w:rFonts w:hint="eastAsia" w:ascii="宋体" w:hAnsi="宋体" w:cs="宋体"/>
        </w:rPr>
        <w:t>∠</w:t>
      </w:r>
      <w:r>
        <w:t>81°，总体上矿层形态较简单。</w:t>
      </w:r>
    </w:p>
    <w:p>
      <w:pPr>
        <w:pStyle w:val="300"/>
      </w:pPr>
      <w:r>
        <w:t>（3）矿石质量</w:t>
      </w:r>
    </w:p>
    <w:p>
      <w:pPr>
        <w:pStyle w:val="300"/>
      </w:pPr>
      <w:r>
        <w:t>通过野外实地观测描述以及与采矿权出让技术报告：三叠系下统飞仙关组第三段（T</w:t>
      </w:r>
      <w:r>
        <w:rPr>
          <w:vertAlign w:val="subscript"/>
        </w:rPr>
        <w:t>1</w:t>
      </w:r>
      <w:r>
        <w:t>f</w:t>
      </w:r>
      <w:r>
        <w:rPr>
          <w:vertAlign w:val="superscript"/>
        </w:rPr>
        <w:t>3</w:t>
      </w:r>
      <w:r>
        <w:t>）矿层岩性单一，以微晶灰岩、泥晶灰岩为主。次为缅粒灰岩、砂（砾）屑灰岩、生物碎屑灰岩。三叠系下统嘉陵江组第一段（T</w:t>
      </w:r>
      <w:r>
        <w:rPr>
          <w:vertAlign w:val="subscript"/>
        </w:rPr>
        <w:t>1</w:t>
      </w:r>
      <w:r>
        <w:t>j</w:t>
      </w:r>
      <w:r>
        <w:rPr>
          <w:vertAlign w:val="superscript"/>
        </w:rPr>
        <w:t>1</w:t>
      </w:r>
      <w:r>
        <w:t>）；矿石以微晶灰岩为主，次为生物碎屑灰岩、亮晶缅状灰岩。</w:t>
      </w:r>
    </w:p>
    <w:p>
      <w:pPr>
        <w:pStyle w:val="300"/>
      </w:pPr>
      <w:r>
        <w:t>根据《重庆峰磊矿业有限公司合川区盐井街道观音村五社建筑用灰岩矿矿产资源开发利用方案》，三叠系下统飞仙关组第三段（T</w:t>
      </w:r>
      <w:r>
        <w:rPr>
          <w:vertAlign w:val="subscript"/>
        </w:rPr>
        <w:t>1</w:t>
      </w:r>
      <w:r>
        <w:t>f</w:t>
      </w:r>
      <w:r>
        <w:rPr>
          <w:vertAlign w:val="superscript"/>
        </w:rPr>
        <w:t>3</w:t>
      </w:r>
      <w:r>
        <w:t>）建筑石料用灰岩矿石体重2.68g/cm</w:t>
      </w:r>
      <w:r>
        <w:rPr>
          <w:vertAlign w:val="superscript"/>
        </w:rPr>
        <w:t>3</w:t>
      </w:r>
      <w:r>
        <w:t>，天然抗压强度56.2~102Mpa，平均78.1Mpa；饱和抗压强度45.3~79.4Mpa，平均61.8Mpa；抗拉强度3.46~5.94Mpa，三轴压缩强度中：42.9~45.7°，三轴压缩强度12.2~19.8Mpa。三叠系下统嘉陵江组第一段（T</w:t>
      </w:r>
      <w:r>
        <w:rPr>
          <w:vertAlign w:val="subscript"/>
        </w:rPr>
        <w:t>1</w:t>
      </w:r>
      <w:r>
        <w:t>j</w:t>
      </w:r>
      <w:r>
        <w:rPr>
          <w:vertAlign w:val="superscript"/>
        </w:rPr>
        <w:t>1</w:t>
      </w:r>
      <w:r>
        <w:t>）平均体重2.69g/cm</w:t>
      </w:r>
      <w:r>
        <w:rPr>
          <w:vertAlign w:val="superscript"/>
        </w:rPr>
        <w:t>3</w:t>
      </w:r>
      <w:r>
        <w:t>，天然抗压强度58.9~82Mpa，平均70.8Mpa；饱和抗压强度42.2~68.6Mpa，平均53.9Mpa；抗拉强度2.85~5.07Mpa，三轴压缩强度中：42.6~44.8°，三轴压缩强度13.9~17.3Mpa。</w:t>
      </w:r>
    </w:p>
    <w:p>
      <w:pPr>
        <w:pStyle w:val="300"/>
      </w:pPr>
      <w:r>
        <w:t>根据《建设用碎石、卵石》（GB/T14685-2022）关于“建筑石料用灰岩一般工业指标饱和抗压强度不低于30MPa”的要求，岩石满足用于建筑石料用石灰岩的要求。</w:t>
      </w:r>
    </w:p>
    <w:p>
      <w:pPr>
        <w:pStyle w:val="6"/>
        <w:numPr>
          <w:ilvl w:val="3"/>
          <w:numId w:val="0"/>
        </w:numPr>
      </w:pPr>
      <w:r>
        <w:t>3.1.2.6开采方式</w:t>
      </w:r>
    </w:p>
    <w:p>
      <w:pPr>
        <w:pStyle w:val="300"/>
      </w:pPr>
      <w:r>
        <w:t>根据矿层赋存条件、矿山开采技术条件及采矿许可证要求，设计确定矿山开采方式为露天开采。</w:t>
      </w:r>
    </w:p>
    <w:p>
      <w:pPr>
        <w:pStyle w:val="300"/>
      </w:pPr>
      <w:r>
        <w:t>根据《金属非金属矿山安全规程》（GB16423-2020），设计坚持“采剥并举，剥离先行”的原则，采用自上而下台阶式开采方法。</w:t>
      </w:r>
    </w:p>
    <w:p>
      <w:pPr>
        <w:pStyle w:val="300"/>
      </w:pPr>
      <w:r>
        <w:t>设计开采范围内只设一个采区，不分区分期开采。设计采用自上而下的开采顺序分台阶开采；采用横向采剥方法，采剥工作线垂直于矿体倾向布置，工作面沿矿体走向方向推进，从西南向东北方向开采。</w:t>
      </w:r>
    </w:p>
    <w:p>
      <w:pPr>
        <w:pStyle w:val="300"/>
      </w:pPr>
      <w:r>
        <w:t>露天开采境界就是露天开采终了时的空间范围，设计最低开采标高+251m，最高开采标高+380m，无封闭圈标；台阶高度10m，台阶坡面角小于等于70°（其中灰岩≤70°，泥灰岩、泥岩≤45°），安全平台宽度4m，清扫平台宽度8m（隔2个安全平台设1个清扫平台），按设计参数确定地面、底部、四周帮坡开采境界，最终边坡高129m、其最终边坡角≤50°。</w:t>
      </w:r>
    </w:p>
    <w:p>
      <w:pPr>
        <w:pStyle w:val="6"/>
        <w:numPr>
          <w:ilvl w:val="3"/>
          <w:numId w:val="0"/>
        </w:numPr>
        <w:spacing w:line="360" w:lineRule="auto"/>
      </w:pPr>
      <w:r>
        <w:t>3.1.2.7采场要素</w:t>
      </w:r>
    </w:p>
    <w:p>
      <w:pPr>
        <w:pStyle w:val="300"/>
      </w:pPr>
      <w:r>
        <w:t>根据《金属非金属矿山安全规程》及《重庆市矿产资源开发利用与地质环境恢复治理和土地复垦方案编制技术要求》规定，矿山采各掘要素如下：</w:t>
      </w:r>
    </w:p>
    <w:p>
      <w:pPr>
        <w:pStyle w:val="300"/>
      </w:pPr>
      <w:r>
        <w:t>（1）台阶高度：10m</w:t>
      </w:r>
    </w:p>
    <w:p>
      <w:pPr>
        <w:pStyle w:val="300"/>
      </w:pPr>
      <w:r>
        <w:t>坚硬稳固的岩矿，机械铲装，不大于机械最高挖掘高度的1.5倍，确定台阶高度为10m。共分11个开采台阶：+361m～+351m、+351m～+341m、+341m～+331m、+331m～+321m、+321m～+311m、+311m～+301m、+301m～+291m、+291m～+281m、+281m～+271m、+271m～+261m、+261m～+251m。</w:t>
      </w:r>
    </w:p>
    <w:p>
      <w:pPr>
        <w:pStyle w:val="300"/>
      </w:pPr>
      <w:r>
        <w:t>（2）工作平台宽度：≥30m</w:t>
      </w:r>
    </w:p>
    <w:p>
      <w:pPr>
        <w:pStyle w:val="300"/>
      </w:pPr>
      <w:r>
        <w:t>根据采装设备规格、运输方式、台阶高度等确定。本矿山为汽车运输，台阶高度10m，符合台阶高度≤12m的汽车运输最小工作平台宽度20～26m（平台初始宽度）的要求。</w:t>
      </w:r>
    </w:p>
    <w:p>
      <w:pPr>
        <w:pStyle w:val="300"/>
      </w:pPr>
      <w:r>
        <w:t>（3）最小工作线长度：90m</w:t>
      </w:r>
    </w:p>
    <w:p>
      <w:pPr>
        <w:pStyle w:val="300"/>
      </w:pPr>
      <w:r>
        <w:t>根据采装设备规格、运输方式确定，应满足挖掘机5～10天的待装矿量和调车要求：挖掘设备斗容2～4m</w:t>
      </w:r>
      <w:r>
        <w:rPr>
          <w:vertAlign w:val="superscript"/>
        </w:rPr>
        <w:t>3</w:t>
      </w:r>
      <w:r>
        <w:t>，汽车运输，确定最小工作线长度90m。</w:t>
      </w:r>
    </w:p>
    <w:bookmarkEnd w:id="133"/>
    <w:p>
      <w:pPr>
        <w:pStyle w:val="5"/>
        <w:rPr>
          <w:color w:val="auto"/>
        </w:rPr>
      </w:pPr>
      <w:r>
        <w:rPr>
          <w:color w:val="auto"/>
        </w:rPr>
        <w:t>3.1.3项目建设内容</w:t>
      </w:r>
    </w:p>
    <w:p>
      <w:pPr>
        <w:pStyle w:val="222"/>
      </w:pPr>
      <w:r>
        <w:t xml:space="preserve">项目建设内容包括开采区、工业场地及配套设施，开采区及办公生活区为扩建，工业场地及办公生活区为依托现有设施并进行改造。本项目主要由主体工程、辅助工程、公用工程和环保工程组成。项目组成见下表。 </w:t>
      </w:r>
    </w:p>
    <w:p>
      <w:pPr>
        <w:pStyle w:val="222"/>
      </w:pPr>
    </w:p>
    <w:p>
      <w:pPr>
        <w:pStyle w:val="222"/>
      </w:pPr>
    </w:p>
    <w:p>
      <w:pPr>
        <w:pStyle w:val="222"/>
      </w:pPr>
    </w:p>
    <w:p>
      <w:pPr>
        <w:pStyle w:val="84"/>
      </w:pPr>
      <w:r>
        <w:t>表3.1-3  项目组成一览表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1127"/>
        <w:gridCol w:w="6061"/>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shd w:val="clear" w:color="auto" w:fill="D8D8D8" w:themeFill="background1" w:themeFillShade="D9"/>
            <w:vAlign w:val="center"/>
          </w:tcPr>
          <w:p>
            <w:pPr>
              <w:pStyle w:val="45"/>
              <w:rPr>
                <w:rFonts w:ascii="Times New Roman" w:hAnsi="Times New Roman"/>
                <w:b/>
              </w:rPr>
            </w:pPr>
            <w:r>
              <w:rPr>
                <w:rFonts w:ascii="Times New Roman" w:hAnsi="Times New Roman"/>
                <w:b/>
              </w:rPr>
              <w:t>类别</w:t>
            </w:r>
          </w:p>
        </w:tc>
        <w:tc>
          <w:tcPr>
            <w:tcW w:w="630" w:type="pct"/>
            <w:shd w:val="clear" w:color="auto" w:fill="D8D8D8" w:themeFill="background1" w:themeFillShade="D9"/>
            <w:vAlign w:val="center"/>
          </w:tcPr>
          <w:p>
            <w:pPr>
              <w:pStyle w:val="45"/>
              <w:rPr>
                <w:rFonts w:ascii="Times New Roman" w:hAnsi="Times New Roman"/>
                <w:b/>
              </w:rPr>
            </w:pPr>
            <w:r>
              <w:rPr>
                <w:rFonts w:ascii="Times New Roman" w:hAnsi="Times New Roman"/>
                <w:b/>
              </w:rPr>
              <w:t>项目组成</w:t>
            </w:r>
          </w:p>
        </w:tc>
        <w:tc>
          <w:tcPr>
            <w:tcW w:w="3387" w:type="pct"/>
            <w:shd w:val="clear" w:color="auto" w:fill="D8D8D8" w:themeFill="background1" w:themeFillShade="D9"/>
            <w:vAlign w:val="center"/>
          </w:tcPr>
          <w:p>
            <w:pPr>
              <w:pStyle w:val="45"/>
              <w:rPr>
                <w:rFonts w:ascii="Times New Roman" w:hAnsi="Times New Roman"/>
                <w:b/>
              </w:rPr>
            </w:pPr>
            <w:r>
              <w:rPr>
                <w:rFonts w:ascii="Times New Roman" w:hAnsi="Times New Roman"/>
                <w:b/>
              </w:rPr>
              <w:t>建设内容及规模</w:t>
            </w:r>
          </w:p>
        </w:tc>
        <w:tc>
          <w:tcPr>
            <w:tcW w:w="503" w:type="pct"/>
            <w:shd w:val="clear" w:color="auto" w:fill="D8D8D8" w:themeFill="background1" w:themeFillShade="D9"/>
            <w:vAlign w:val="center"/>
          </w:tcPr>
          <w:p>
            <w:pPr>
              <w:pStyle w:val="45"/>
              <w:rPr>
                <w:rFonts w:ascii="Times New Roman" w:hAnsi="Times New Roman"/>
                <w:b/>
              </w:rPr>
            </w:pPr>
            <w:r>
              <w:rPr>
                <w:rFonts w:ascii="Times New Roman" w:hAnsi="Times New Roman"/>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04" w:hRule="atLeast"/>
          <w:jc w:val="center"/>
        </w:trPr>
        <w:tc>
          <w:tcPr>
            <w:tcW w:w="480" w:type="pct"/>
            <w:vMerge w:val="restart"/>
            <w:vAlign w:val="center"/>
          </w:tcPr>
          <w:p>
            <w:pPr>
              <w:pStyle w:val="45"/>
              <w:rPr>
                <w:rFonts w:ascii="Times New Roman" w:hAnsi="Times New Roman"/>
              </w:rPr>
            </w:pPr>
            <w:r>
              <w:rPr>
                <w:rFonts w:ascii="Times New Roman" w:hAnsi="Times New Roman"/>
              </w:rPr>
              <w:t>主体工程</w:t>
            </w:r>
          </w:p>
        </w:tc>
        <w:tc>
          <w:tcPr>
            <w:tcW w:w="630" w:type="pct"/>
            <w:vAlign w:val="center"/>
          </w:tcPr>
          <w:p>
            <w:pPr>
              <w:pStyle w:val="45"/>
              <w:rPr>
                <w:rFonts w:ascii="Times New Roman" w:hAnsi="Times New Roman"/>
              </w:rPr>
            </w:pPr>
            <w:r>
              <w:rPr>
                <w:rFonts w:ascii="Times New Roman" w:hAnsi="Times New Roman"/>
              </w:rPr>
              <w:t>开采区</w:t>
            </w:r>
          </w:p>
        </w:tc>
        <w:tc>
          <w:tcPr>
            <w:tcW w:w="3387" w:type="pct"/>
            <w:vAlign w:val="center"/>
          </w:tcPr>
          <w:p>
            <w:pPr>
              <w:pStyle w:val="45"/>
              <w:rPr>
                <w:rFonts w:ascii="Times New Roman" w:hAnsi="Times New Roman"/>
              </w:rPr>
            </w:pPr>
            <w:r>
              <w:rPr>
                <w:rFonts w:ascii="Times New Roman" w:hAnsi="Times New Roman"/>
              </w:rPr>
              <w:t>矿区范围由4个拐点圈定，开采区面积0.0466km</w:t>
            </w:r>
            <w:r>
              <w:rPr>
                <w:rFonts w:ascii="Times New Roman" w:hAnsi="Times New Roman"/>
                <w:vertAlign w:val="superscript"/>
              </w:rPr>
              <w:t>2</w:t>
            </w:r>
            <w:r>
              <w:rPr>
                <w:rFonts w:ascii="Times New Roman" w:hAnsi="Times New Roman"/>
              </w:rPr>
              <w:t>，开采标高+380～+251m，开采规模：100万吨/年，开采方式：露天开采。可采资源储量为293.94万吨，服务年限3年。往下开采共分为11个台阶，原则上按10m划分一个开采台阶，每隔两个安全平台留设一个清扫平台。</w:t>
            </w:r>
            <w:r>
              <w:rPr>
                <w:rFonts w:ascii="Times New Roman" w:hAnsi="Times New Roman"/>
                <w:lang w:bidi="ar"/>
              </w:rPr>
              <w:t>先剥离后采矿，自上而下分层开采。</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工业场地</w:t>
            </w:r>
          </w:p>
        </w:tc>
        <w:tc>
          <w:tcPr>
            <w:tcW w:w="3387" w:type="pct"/>
            <w:vAlign w:val="center"/>
          </w:tcPr>
          <w:p>
            <w:pPr>
              <w:pStyle w:val="45"/>
              <w:jc w:val="left"/>
              <w:rPr>
                <w:rFonts w:ascii="Times New Roman" w:hAnsi="Times New Roman"/>
              </w:rPr>
            </w:pPr>
            <w:r>
              <w:rPr>
                <w:rFonts w:ascii="Times New Roman" w:hAnsi="Times New Roman"/>
              </w:rPr>
              <w:t>位于开采区东北方向约1km处，面积为0.018km</w:t>
            </w:r>
            <w:r>
              <w:rPr>
                <w:rFonts w:ascii="Times New Roman" w:hAnsi="Times New Roman"/>
                <w:vertAlign w:val="superscript"/>
              </w:rPr>
              <w:t>2</w:t>
            </w:r>
            <w:r>
              <w:rPr>
                <w:rFonts w:ascii="Times New Roman" w:hAnsi="Times New Roman"/>
              </w:rPr>
              <w:t>，设置密闭厂房，面积为8000m</w:t>
            </w:r>
            <w:r>
              <w:rPr>
                <w:rFonts w:ascii="Times New Roman" w:hAnsi="Times New Roman"/>
                <w:vertAlign w:val="superscript"/>
              </w:rPr>
              <w:t>2</w:t>
            </w:r>
            <w:r>
              <w:rPr>
                <w:rFonts w:ascii="Times New Roman" w:hAnsi="Times New Roman"/>
              </w:rPr>
              <w:t>，建设两条破碎筛分生产线，生产能力保持原规模不变，为70万吨/年，分别设置有颚破机、反击式破碎机、筛分机以及物料传输皮带。</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restart"/>
            <w:vAlign w:val="center"/>
          </w:tcPr>
          <w:p>
            <w:pPr>
              <w:pStyle w:val="45"/>
              <w:rPr>
                <w:rFonts w:ascii="Times New Roman" w:hAnsi="Times New Roman"/>
              </w:rPr>
            </w:pPr>
            <w:r>
              <w:rPr>
                <w:rFonts w:ascii="Times New Roman" w:hAnsi="Times New Roman"/>
              </w:rPr>
              <w:t>辅助工程</w:t>
            </w:r>
          </w:p>
        </w:tc>
        <w:tc>
          <w:tcPr>
            <w:tcW w:w="630" w:type="pct"/>
            <w:vAlign w:val="center"/>
          </w:tcPr>
          <w:p>
            <w:pPr>
              <w:pStyle w:val="45"/>
              <w:rPr>
                <w:rFonts w:ascii="Times New Roman" w:hAnsi="Times New Roman"/>
              </w:rPr>
            </w:pPr>
            <w:r>
              <w:rPr>
                <w:rFonts w:ascii="Times New Roman" w:hAnsi="Times New Roman"/>
              </w:rPr>
              <w:t>办公室</w:t>
            </w:r>
          </w:p>
        </w:tc>
        <w:tc>
          <w:tcPr>
            <w:tcW w:w="3387" w:type="pct"/>
            <w:vAlign w:val="center"/>
          </w:tcPr>
          <w:p>
            <w:pPr>
              <w:pStyle w:val="45"/>
              <w:jc w:val="left"/>
              <w:rPr>
                <w:rFonts w:ascii="Times New Roman" w:hAnsi="Times New Roman"/>
              </w:rPr>
            </w:pPr>
            <w:r>
              <w:rPr>
                <w:rFonts w:ascii="Times New Roman" w:hAnsi="Times New Roman"/>
              </w:rPr>
              <w:t>开采区设置1处办公室，位于矿山东北侧，采用活动板房结构，建筑面积为20m</w:t>
            </w:r>
            <w:r>
              <w:rPr>
                <w:rFonts w:ascii="Times New Roman" w:hAnsi="Times New Roman"/>
                <w:vertAlign w:val="superscript"/>
              </w:rPr>
              <w:t>2</w:t>
            </w:r>
            <w:r>
              <w:rPr>
                <w:rFonts w:ascii="Times New Roman" w:hAnsi="Times New Roman"/>
              </w:rPr>
              <w:t>。</w:t>
            </w:r>
          </w:p>
          <w:p>
            <w:pPr>
              <w:pStyle w:val="45"/>
              <w:jc w:val="left"/>
              <w:rPr>
                <w:rFonts w:ascii="Times New Roman" w:hAnsi="Times New Roman"/>
              </w:rPr>
            </w:pPr>
            <w:r>
              <w:rPr>
                <w:rFonts w:ascii="Times New Roman" w:hAnsi="Times New Roman"/>
              </w:rPr>
              <w:t>工业场地设置1处办公室，位于工业场地北侧，采用砖混结构，建筑面积为200m</w:t>
            </w:r>
            <w:r>
              <w:rPr>
                <w:rFonts w:ascii="Times New Roman" w:hAnsi="Times New Roman"/>
                <w:vertAlign w:val="superscript"/>
              </w:rPr>
              <w:t>2</w:t>
            </w:r>
            <w:r>
              <w:rPr>
                <w:rFonts w:ascii="Times New Roman" w:hAnsi="Times New Roman"/>
              </w:rPr>
              <w:t>。</w:t>
            </w:r>
          </w:p>
        </w:tc>
        <w:tc>
          <w:tcPr>
            <w:tcW w:w="503" w:type="pct"/>
            <w:vAlign w:val="center"/>
          </w:tcPr>
          <w:p>
            <w:pPr>
              <w:pStyle w:val="45"/>
              <w:rPr>
                <w:rFonts w:ascii="Times New Roman" w:hAnsi="Times New Roman"/>
              </w:rPr>
            </w:pPr>
            <w:r>
              <w:rPr>
                <w:rFonts w:ascii="Times New Roman" w:hAnsi="Times New Roman"/>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食堂</w:t>
            </w:r>
          </w:p>
        </w:tc>
        <w:tc>
          <w:tcPr>
            <w:tcW w:w="3387" w:type="pct"/>
            <w:vAlign w:val="center"/>
          </w:tcPr>
          <w:p>
            <w:pPr>
              <w:pStyle w:val="45"/>
              <w:jc w:val="left"/>
              <w:rPr>
                <w:rFonts w:ascii="Times New Roman" w:hAnsi="Times New Roman"/>
              </w:rPr>
            </w:pPr>
            <w:r>
              <w:rPr>
                <w:rFonts w:ascii="Times New Roman" w:hAnsi="Times New Roman"/>
              </w:rPr>
              <w:t>本厂区不设置食堂，依托当地已有配套生活设施。</w:t>
            </w:r>
          </w:p>
        </w:tc>
        <w:tc>
          <w:tcPr>
            <w:tcW w:w="503" w:type="pct"/>
            <w:vAlign w:val="center"/>
          </w:tcPr>
          <w:p>
            <w:pPr>
              <w:pStyle w:val="45"/>
              <w:rPr>
                <w:rFonts w:ascii="Times New Roman" w:hAnsi="Times New Roman"/>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门卫室</w:t>
            </w:r>
          </w:p>
        </w:tc>
        <w:tc>
          <w:tcPr>
            <w:tcW w:w="3387" w:type="pct"/>
            <w:vAlign w:val="center"/>
          </w:tcPr>
          <w:p>
            <w:pPr>
              <w:pStyle w:val="45"/>
              <w:jc w:val="left"/>
              <w:rPr>
                <w:rFonts w:ascii="Times New Roman" w:hAnsi="Times New Roman"/>
              </w:rPr>
            </w:pPr>
            <w:r>
              <w:rPr>
                <w:rFonts w:ascii="Times New Roman" w:hAnsi="Times New Roman"/>
              </w:rPr>
              <w:t>开采区和工业场地各设置1间，分别位于矿区东北侧进出口、工业场地进出口，建筑面积分别为15m</w:t>
            </w:r>
            <w:r>
              <w:rPr>
                <w:rFonts w:ascii="Times New Roman" w:hAnsi="Times New Roman"/>
                <w:vertAlign w:val="superscript"/>
              </w:rPr>
              <w:t>2</w:t>
            </w:r>
            <w:r>
              <w:rPr>
                <w:rFonts w:ascii="Times New Roman" w:hAnsi="Times New Roman"/>
              </w:rPr>
              <w:t>、50m</w:t>
            </w:r>
            <w:r>
              <w:rPr>
                <w:rFonts w:ascii="Times New Roman" w:hAnsi="Times New Roman"/>
                <w:vertAlign w:val="superscript"/>
              </w:rPr>
              <w:t>2</w:t>
            </w:r>
            <w:r>
              <w:rPr>
                <w:rFonts w:ascii="Times New Roman" w:hAnsi="Times New Roman"/>
              </w:rPr>
              <w:t>。</w:t>
            </w:r>
          </w:p>
        </w:tc>
        <w:tc>
          <w:tcPr>
            <w:tcW w:w="503" w:type="pct"/>
            <w:vAlign w:val="center"/>
          </w:tcPr>
          <w:p>
            <w:pPr>
              <w:pStyle w:val="45"/>
              <w:rPr>
                <w:rFonts w:ascii="Times New Roman" w:hAnsi="Times New Roman"/>
              </w:rPr>
            </w:pPr>
            <w:r>
              <w:rPr>
                <w:rFonts w:ascii="Times New Roman" w:hAnsi="Times New Roman"/>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配电房</w:t>
            </w:r>
          </w:p>
        </w:tc>
        <w:tc>
          <w:tcPr>
            <w:tcW w:w="3387" w:type="pct"/>
            <w:vAlign w:val="center"/>
          </w:tcPr>
          <w:p>
            <w:pPr>
              <w:pStyle w:val="45"/>
              <w:jc w:val="left"/>
              <w:rPr>
                <w:rFonts w:ascii="Times New Roman" w:hAnsi="Times New Roman"/>
              </w:rPr>
            </w:pPr>
            <w:r>
              <w:rPr>
                <w:rFonts w:ascii="Times New Roman" w:hAnsi="Times New Roman"/>
              </w:rPr>
              <w:t>2间，分别位于开采区西侧和工业场地西侧，供本项目照明、办公，以及生产使用等。</w:t>
            </w:r>
          </w:p>
        </w:tc>
        <w:tc>
          <w:tcPr>
            <w:tcW w:w="503" w:type="pct"/>
            <w:vAlign w:val="center"/>
          </w:tcPr>
          <w:p>
            <w:pPr>
              <w:pStyle w:val="45"/>
              <w:rPr>
                <w:rFonts w:ascii="Times New Roman" w:hAnsi="Times New Roman"/>
              </w:rPr>
            </w:pPr>
            <w:r>
              <w:rPr>
                <w:rFonts w:ascii="Times New Roman" w:hAnsi="Times New Roman"/>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车辆清洗</w:t>
            </w:r>
          </w:p>
        </w:tc>
        <w:tc>
          <w:tcPr>
            <w:tcW w:w="3387" w:type="pct"/>
            <w:vAlign w:val="center"/>
          </w:tcPr>
          <w:p>
            <w:pPr>
              <w:pStyle w:val="45"/>
              <w:jc w:val="left"/>
              <w:rPr>
                <w:rFonts w:ascii="Times New Roman" w:hAnsi="Times New Roman"/>
              </w:rPr>
            </w:pPr>
            <w:r>
              <w:rPr>
                <w:rFonts w:ascii="Times New Roman" w:hAnsi="Times New Roman"/>
              </w:rPr>
              <w:t>矿山车辆冲洗区：在矿区出入口设置车辆冲洗池（10m</w:t>
            </w:r>
            <w:r>
              <w:rPr>
                <w:rFonts w:ascii="Times New Roman" w:hAnsi="Times New Roman"/>
                <w:vertAlign w:val="superscript"/>
              </w:rPr>
              <w:t>3</w:t>
            </w:r>
            <w:r>
              <w:rPr>
                <w:rFonts w:ascii="Times New Roman" w:hAnsi="Times New Roman"/>
              </w:rPr>
              <w:t>），对出矿区的装载车进行冲洗。</w:t>
            </w:r>
          </w:p>
          <w:p>
            <w:pPr>
              <w:pStyle w:val="45"/>
              <w:jc w:val="left"/>
              <w:rPr>
                <w:rFonts w:ascii="Times New Roman" w:hAnsi="Times New Roman"/>
              </w:rPr>
            </w:pPr>
            <w:r>
              <w:rPr>
                <w:rFonts w:ascii="Times New Roman" w:hAnsi="Times New Roman"/>
              </w:rPr>
              <w:t>加工场地密闭厂房外，面积约50 m</w:t>
            </w:r>
            <w:r>
              <w:rPr>
                <w:rFonts w:ascii="Times New Roman" w:hAnsi="Times New Roman"/>
                <w:vertAlign w:val="superscript"/>
              </w:rPr>
              <w:t>2</w:t>
            </w:r>
            <w:r>
              <w:rPr>
                <w:rFonts w:ascii="Times New Roman" w:hAnsi="Times New Roman"/>
              </w:rPr>
              <w:t>，主要用于运输车辆及设备的冲洗，配套隔油沉砂池，对废水进行隔油、沉沙处理后，回用于矿区洒水抑尘。</w:t>
            </w:r>
          </w:p>
        </w:tc>
        <w:tc>
          <w:tcPr>
            <w:tcW w:w="503" w:type="pct"/>
            <w:vAlign w:val="center"/>
          </w:tcPr>
          <w:p>
            <w:pPr>
              <w:pStyle w:val="45"/>
              <w:rPr>
                <w:rFonts w:ascii="Times New Roman" w:hAnsi="Times New Roman"/>
              </w:rPr>
            </w:pPr>
            <w:r>
              <w:rPr>
                <w:rFonts w:ascii="Times New Roman" w:hAnsi="Times New Roman"/>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restart"/>
            <w:vAlign w:val="center"/>
          </w:tcPr>
          <w:p>
            <w:pPr>
              <w:pStyle w:val="45"/>
              <w:rPr>
                <w:rFonts w:ascii="Times New Roman" w:hAnsi="Times New Roman"/>
              </w:rPr>
            </w:pPr>
            <w:r>
              <w:rPr>
                <w:rFonts w:ascii="Times New Roman" w:hAnsi="Times New Roman"/>
              </w:rPr>
              <w:t>储运工程</w:t>
            </w:r>
          </w:p>
        </w:tc>
        <w:tc>
          <w:tcPr>
            <w:tcW w:w="630" w:type="pct"/>
            <w:vAlign w:val="center"/>
          </w:tcPr>
          <w:p>
            <w:pPr>
              <w:pStyle w:val="45"/>
              <w:rPr>
                <w:rFonts w:ascii="Times New Roman" w:hAnsi="Times New Roman"/>
              </w:rPr>
            </w:pPr>
            <w:r>
              <w:rPr>
                <w:rFonts w:ascii="Times New Roman" w:hAnsi="Times New Roman"/>
              </w:rPr>
              <w:t>矿石堆料场</w:t>
            </w:r>
          </w:p>
        </w:tc>
        <w:tc>
          <w:tcPr>
            <w:tcW w:w="3387" w:type="pct"/>
            <w:vAlign w:val="center"/>
          </w:tcPr>
          <w:p>
            <w:pPr>
              <w:pStyle w:val="45"/>
              <w:jc w:val="left"/>
              <w:rPr>
                <w:rFonts w:ascii="Times New Roman" w:hAnsi="Times New Roman"/>
              </w:rPr>
            </w:pPr>
            <w:r>
              <w:rPr>
                <w:rFonts w:ascii="Times New Roman" w:hAnsi="Times New Roman"/>
              </w:rPr>
              <w:t>矿山设置1处临时矿石堆料场，占地面积为1000m</w:t>
            </w:r>
            <w:r>
              <w:rPr>
                <w:rFonts w:ascii="Times New Roman" w:hAnsi="Times New Roman"/>
                <w:vertAlign w:val="superscript"/>
              </w:rPr>
              <w:t>2</w:t>
            </w:r>
            <w:r>
              <w:rPr>
                <w:rFonts w:ascii="Times New Roman" w:hAnsi="Times New Roman"/>
              </w:rPr>
              <w:t>，四周建设截排水沟，用于原矿石临时堆放。</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排土场</w:t>
            </w:r>
          </w:p>
        </w:tc>
        <w:tc>
          <w:tcPr>
            <w:tcW w:w="3387" w:type="pct"/>
            <w:vAlign w:val="center"/>
          </w:tcPr>
          <w:p>
            <w:pPr>
              <w:pStyle w:val="45"/>
              <w:jc w:val="left"/>
              <w:rPr>
                <w:rFonts w:ascii="Times New Roman" w:hAnsi="Times New Roman"/>
              </w:rPr>
            </w:pPr>
            <w:r>
              <w:rPr>
                <w:rFonts w:ascii="Times New Roman" w:hAnsi="Times New Roman"/>
              </w:rPr>
              <w:t>设置1处临时排土场，占地面积为500m</w:t>
            </w:r>
            <w:r>
              <w:rPr>
                <w:rFonts w:ascii="Times New Roman" w:hAnsi="Times New Roman"/>
                <w:vertAlign w:val="superscript"/>
              </w:rPr>
              <w:t>2</w:t>
            </w:r>
            <w:r>
              <w:rPr>
                <w:rFonts w:ascii="Times New Roman" w:hAnsi="Times New Roman"/>
              </w:rPr>
              <w:t>，四周建设截排水沟，用于临时堆放表土。</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弃渣场</w:t>
            </w:r>
          </w:p>
        </w:tc>
        <w:tc>
          <w:tcPr>
            <w:tcW w:w="3387" w:type="pct"/>
            <w:vAlign w:val="center"/>
          </w:tcPr>
          <w:p>
            <w:pPr>
              <w:pStyle w:val="45"/>
              <w:jc w:val="left"/>
              <w:rPr>
                <w:rFonts w:ascii="Times New Roman" w:hAnsi="Times New Roman"/>
              </w:rPr>
            </w:pPr>
            <w:r>
              <w:rPr>
                <w:rFonts w:ascii="Times New Roman" w:hAnsi="Times New Roman"/>
              </w:rPr>
              <w:t>设置1处临时弃渣场，占地面积为500m</w:t>
            </w:r>
            <w:r>
              <w:rPr>
                <w:rFonts w:ascii="Times New Roman" w:hAnsi="Times New Roman"/>
                <w:vertAlign w:val="superscript"/>
              </w:rPr>
              <w:t>2</w:t>
            </w:r>
            <w:r>
              <w:rPr>
                <w:rFonts w:ascii="Times New Roman" w:hAnsi="Times New Roman"/>
              </w:rPr>
              <w:t>，四周建设截排水沟，用于临时堆放废土石。</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矿区道路</w:t>
            </w:r>
          </w:p>
        </w:tc>
        <w:tc>
          <w:tcPr>
            <w:tcW w:w="3387" w:type="pct"/>
            <w:vAlign w:val="center"/>
          </w:tcPr>
          <w:p>
            <w:pPr>
              <w:pStyle w:val="45"/>
              <w:jc w:val="left"/>
              <w:rPr>
                <w:rFonts w:ascii="Times New Roman" w:hAnsi="Times New Roman"/>
              </w:rPr>
            </w:pPr>
            <w:r>
              <w:rPr>
                <w:rFonts w:ascii="Times New Roman" w:hAnsi="Times New Roman"/>
              </w:rPr>
              <w:t>矿区道路由矿区北侧底部起坡，沿地形坡度修建，首先道路矿区中部接矿平台，再继续向上到达矿区顶部作业面，全长约430m。采用三级露天矿山道路标准建设，路面宽度应大于4m。</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材料库房</w:t>
            </w:r>
          </w:p>
        </w:tc>
        <w:tc>
          <w:tcPr>
            <w:tcW w:w="3387" w:type="pct"/>
            <w:vAlign w:val="center"/>
          </w:tcPr>
          <w:p>
            <w:pPr>
              <w:pStyle w:val="45"/>
              <w:jc w:val="left"/>
              <w:rPr>
                <w:rFonts w:ascii="Times New Roman" w:hAnsi="Times New Roman"/>
              </w:rPr>
            </w:pPr>
            <w:r>
              <w:rPr>
                <w:rFonts w:ascii="Times New Roman" w:hAnsi="Times New Roman"/>
              </w:rPr>
              <w:t>位于加工区东北侧，共2F，建筑面积90m</w:t>
            </w:r>
            <w:r>
              <w:rPr>
                <w:rFonts w:ascii="Times New Roman" w:hAnsi="Times New Roman"/>
                <w:vertAlign w:val="superscript"/>
              </w:rPr>
              <w:t>2</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产品料仓</w:t>
            </w:r>
          </w:p>
        </w:tc>
        <w:tc>
          <w:tcPr>
            <w:tcW w:w="3387" w:type="pct"/>
            <w:vAlign w:val="center"/>
          </w:tcPr>
          <w:p>
            <w:pPr>
              <w:pStyle w:val="45"/>
              <w:jc w:val="left"/>
              <w:rPr>
                <w:rFonts w:ascii="Times New Roman" w:hAnsi="Times New Roman"/>
              </w:rPr>
            </w:pPr>
            <w:r>
              <w:rPr>
                <w:rFonts w:ascii="Times New Roman" w:hAnsi="Times New Roman"/>
              </w:rPr>
              <w:t>工业场地厂房内设置2个料仓，一个长方体料仓，容积为30m</w:t>
            </w:r>
            <w:r>
              <w:rPr>
                <w:rFonts w:ascii="Times New Roman" w:hAnsi="Times New Roman"/>
                <w:vertAlign w:val="superscript"/>
              </w:rPr>
              <w:t>3</w:t>
            </w:r>
            <w:r>
              <w:rPr>
                <w:rFonts w:ascii="Times New Roman" w:hAnsi="Times New Roman"/>
              </w:rPr>
              <w:t>，储存筛分后的物料；另一个圆柱形料仓，密封结构，容积为20m</w:t>
            </w:r>
            <w:r>
              <w:rPr>
                <w:rFonts w:ascii="Times New Roman" w:hAnsi="Times New Roman"/>
                <w:vertAlign w:val="superscript"/>
              </w:rPr>
              <w:t>3</w:t>
            </w:r>
            <w:r>
              <w:rPr>
                <w:rFonts w:ascii="Times New Roman" w:hAnsi="Times New Roman"/>
              </w:rPr>
              <w:t>，储存布袋除尘器收集的粉料。</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产品堆场</w:t>
            </w:r>
          </w:p>
        </w:tc>
        <w:tc>
          <w:tcPr>
            <w:tcW w:w="3387" w:type="pct"/>
            <w:vAlign w:val="center"/>
          </w:tcPr>
          <w:p>
            <w:pPr>
              <w:pStyle w:val="45"/>
              <w:jc w:val="left"/>
              <w:rPr>
                <w:rFonts w:ascii="Times New Roman" w:hAnsi="Times New Roman"/>
              </w:rPr>
            </w:pPr>
            <w:r>
              <w:rPr>
                <w:rFonts w:ascii="Times New Roman" w:hAnsi="Times New Roman"/>
              </w:rPr>
              <w:t>工业场地厂房内西侧设置1处堆场，位于封闭式厂房内，面积约为300m</w:t>
            </w:r>
            <w:r>
              <w:rPr>
                <w:rFonts w:ascii="Times New Roman" w:hAnsi="Times New Roman"/>
                <w:vertAlign w:val="superscript"/>
              </w:rPr>
              <w:t>2</w:t>
            </w:r>
            <w:r>
              <w:rPr>
                <w:rFonts w:ascii="Times New Roman" w:hAnsi="Times New Roman"/>
              </w:rPr>
              <w:t>，用于堆放不同粒径的碎石。</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油罐</w:t>
            </w:r>
          </w:p>
        </w:tc>
        <w:tc>
          <w:tcPr>
            <w:tcW w:w="3387" w:type="pct"/>
            <w:vAlign w:val="center"/>
          </w:tcPr>
          <w:p>
            <w:pPr>
              <w:pStyle w:val="45"/>
              <w:jc w:val="left"/>
              <w:rPr>
                <w:rFonts w:ascii="Times New Roman" w:hAnsi="Times New Roman"/>
              </w:rPr>
            </w:pPr>
            <w:r>
              <w:rPr>
                <w:rFonts w:ascii="Times New Roman" w:hAnsi="Times New Roman"/>
              </w:rPr>
              <w:t>在工业场地设置3个油罐，总容积为55m</w:t>
            </w:r>
            <w:r>
              <w:rPr>
                <w:rFonts w:ascii="Times New Roman" w:hAnsi="Times New Roman"/>
                <w:vertAlign w:val="superscript"/>
              </w:rPr>
              <w:t>3</w:t>
            </w:r>
            <w:r>
              <w:rPr>
                <w:rFonts w:ascii="Times New Roman" w:hAnsi="Times New Roman"/>
              </w:rPr>
              <w:t>，两用一备，位于工业场地南侧，为地埋式，采用双层罐。</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restart"/>
            <w:vAlign w:val="center"/>
          </w:tcPr>
          <w:p>
            <w:pPr>
              <w:pStyle w:val="45"/>
              <w:rPr>
                <w:rFonts w:ascii="Times New Roman" w:hAnsi="Times New Roman"/>
              </w:rPr>
            </w:pPr>
            <w:r>
              <w:rPr>
                <w:rFonts w:ascii="Times New Roman" w:hAnsi="Times New Roman"/>
              </w:rPr>
              <w:t>公用工程</w:t>
            </w:r>
          </w:p>
        </w:tc>
        <w:tc>
          <w:tcPr>
            <w:tcW w:w="630" w:type="pct"/>
            <w:vAlign w:val="center"/>
          </w:tcPr>
          <w:p>
            <w:pPr>
              <w:pStyle w:val="45"/>
              <w:rPr>
                <w:rFonts w:ascii="Times New Roman" w:hAnsi="Times New Roman"/>
              </w:rPr>
            </w:pPr>
            <w:r>
              <w:rPr>
                <w:rFonts w:ascii="Times New Roman" w:hAnsi="Times New Roman"/>
              </w:rPr>
              <w:t>供电工程</w:t>
            </w:r>
          </w:p>
        </w:tc>
        <w:tc>
          <w:tcPr>
            <w:tcW w:w="3387" w:type="pct"/>
            <w:vAlign w:val="center"/>
          </w:tcPr>
          <w:p>
            <w:pPr>
              <w:pStyle w:val="45"/>
              <w:rPr>
                <w:rFonts w:ascii="Times New Roman" w:hAnsi="Times New Roman"/>
              </w:rPr>
            </w:pPr>
            <w:r>
              <w:rPr>
                <w:rFonts w:ascii="Times New Roman" w:hAnsi="Times New Roman"/>
              </w:rPr>
              <w:t xml:space="preserve">由市政电网供给，电压等级为10kV； </w:t>
            </w:r>
          </w:p>
        </w:tc>
        <w:tc>
          <w:tcPr>
            <w:tcW w:w="503" w:type="pct"/>
            <w:vAlign w:val="center"/>
          </w:tcPr>
          <w:p>
            <w:pPr>
              <w:pStyle w:val="45"/>
              <w:rPr>
                <w:rFonts w:ascii="Times New Roman" w:hAnsi="Times New Roman"/>
              </w:rPr>
            </w:pPr>
            <w:r>
              <w:rPr>
                <w:rFonts w:ascii="Times New Roman" w:hAnsi="Times New Roman"/>
              </w:rPr>
              <w:t>依托+新建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供水工程</w:t>
            </w:r>
          </w:p>
        </w:tc>
        <w:tc>
          <w:tcPr>
            <w:tcW w:w="3387" w:type="pct"/>
            <w:vAlign w:val="center"/>
          </w:tcPr>
          <w:p>
            <w:pPr>
              <w:pStyle w:val="45"/>
              <w:rPr>
                <w:rFonts w:ascii="Times New Roman" w:hAnsi="Times New Roman"/>
              </w:rPr>
            </w:pPr>
            <w:r>
              <w:rPr>
                <w:rFonts w:ascii="Times New Roman" w:hAnsi="Times New Roman"/>
              </w:rPr>
              <w:t>由市政供水管网提供。</w:t>
            </w:r>
          </w:p>
        </w:tc>
        <w:tc>
          <w:tcPr>
            <w:tcW w:w="503" w:type="pct"/>
            <w:vAlign w:val="center"/>
          </w:tcPr>
          <w:p>
            <w:pPr>
              <w:pStyle w:val="45"/>
              <w:rPr>
                <w:rFonts w:ascii="Times New Roman" w:hAnsi="Times New Roman"/>
              </w:rPr>
            </w:pPr>
            <w:r>
              <w:rPr>
                <w:rFonts w:ascii="Times New Roman" w:hAnsi="Times New Roman"/>
              </w:rPr>
              <w:t>依托+新建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排水</w:t>
            </w:r>
          </w:p>
        </w:tc>
        <w:tc>
          <w:tcPr>
            <w:tcW w:w="3387" w:type="pct"/>
            <w:vAlign w:val="center"/>
          </w:tcPr>
          <w:p>
            <w:pPr>
              <w:pStyle w:val="45"/>
              <w:rPr>
                <w:rFonts w:ascii="Times New Roman" w:hAnsi="Times New Roman"/>
              </w:rPr>
            </w:pPr>
            <w:r>
              <w:rPr>
                <w:rFonts w:ascii="Times New Roman" w:hAnsi="Times New Roman"/>
              </w:rPr>
              <w:t>矿山道路两侧、最终开采线四周部分区域、矿石堆料场、排土场、弃渣场四周设截排水沟收集雨水，汇集地面雨水径流经沉淀处理后回用。生活污水经化粪池处理后用作农肥，不外排。</w:t>
            </w:r>
          </w:p>
        </w:tc>
        <w:tc>
          <w:tcPr>
            <w:tcW w:w="503" w:type="pct"/>
            <w:vAlign w:val="center"/>
          </w:tcPr>
          <w:p>
            <w:pPr>
              <w:pStyle w:val="45"/>
              <w:rPr>
                <w:rFonts w:ascii="Times New Roman" w:hAnsi="Times New Roman"/>
              </w:rPr>
            </w:pPr>
            <w:r>
              <w:rPr>
                <w:rFonts w:ascii="Times New Roman" w:hAnsi="Times New Roman"/>
              </w:rPr>
              <w:t>依托+新建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设备维护</w:t>
            </w:r>
          </w:p>
        </w:tc>
        <w:tc>
          <w:tcPr>
            <w:tcW w:w="3387" w:type="pct"/>
            <w:vAlign w:val="center"/>
          </w:tcPr>
          <w:p>
            <w:pPr>
              <w:pStyle w:val="45"/>
              <w:rPr>
                <w:rFonts w:ascii="Times New Roman" w:hAnsi="Times New Roman"/>
              </w:rPr>
            </w:pPr>
            <w:r>
              <w:rPr>
                <w:rFonts w:ascii="Times New Roman" w:hAnsi="Times New Roman"/>
              </w:rPr>
              <w:t>机修外协，仅进行设备的日常维护保养。</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restart"/>
            <w:vAlign w:val="center"/>
          </w:tcPr>
          <w:p>
            <w:pPr>
              <w:pStyle w:val="45"/>
              <w:rPr>
                <w:rFonts w:ascii="Times New Roman" w:hAnsi="Times New Roman"/>
              </w:rPr>
            </w:pPr>
            <w:r>
              <w:rPr>
                <w:rFonts w:ascii="Times New Roman" w:hAnsi="Times New Roman"/>
              </w:rPr>
              <w:t>环保工程</w:t>
            </w:r>
          </w:p>
        </w:tc>
        <w:tc>
          <w:tcPr>
            <w:tcW w:w="630" w:type="pct"/>
            <w:vMerge w:val="restart"/>
            <w:vAlign w:val="center"/>
          </w:tcPr>
          <w:p>
            <w:pPr>
              <w:pStyle w:val="45"/>
              <w:rPr>
                <w:rFonts w:ascii="Times New Roman" w:hAnsi="Times New Roman"/>
              </w:rPr>
            </w:pPr>
            <w:r>
              <w:rPr>
                <w:rFonts w:ascii="Times New Roman" w:hAnsi="Times New Roman"/>
              </w:rPr>
              <w:t>废水处理工程</w:t>
            </w:r>
          </w:p>
        </w:tc>
        <w:tc>
          <w:tcPr>
            <w:tcW w:w="3387" w:type="pct"/>
            <w:vAlign w:val="center"/>
          </w:tcPr>
          <w:p>
            <w:pPr>
              <w:pStyle w:val="45"/>
              <w:jc w:val="left"/>
              <w:rPr>
                <w:rFonts w:ascii="Times New Roman" w:hAnsi="Times New Roman"/>
              </w:rPr>
            </w:pPr>
            <w:r>
              <w:rPr>
                <w:rFonts w:ascii="Times New Roman" w:hAnsi="Times New Roman"/>
              </w:rPr>
              <w:t>开采区产生的生活污水设化粪池（1个，容积为5m</w:t>
            </w:r>
            <w:r>
              <w:rPr>
                <w:rFonts w:ascii="Times New Roman" w:hAnsi="Times New Roman"/>
                <w:vertAlign w:val="superscript"/>
              </w:rPr>
              <w:t>3</w:t>
            </w:r>
            <w:r>
              <w:rPr>
                <w:rFonts w:ascii="Times New Roman" w:hAnsi="Times New Roman"/>
              </w:rPr>
              <w:t>），位于矿区东北侧，生活污水经化粪池收集处理后作为农肥，不外排。</w:t>
            </w:r>
          </w:p>
          <w:p>
            <w:pPr>
              <w:pStyle w:val="45"/>
              <w:jc w:val="left"/>
              <w:rPr>
                <w:rFonts w:ascii="Times New Roman" w:hAnsi="Times New Roman"/>
              </w:rPr>
            </w:pPr>
            <w:r>
              <w:rPr>
                <w:rFonts w:ascii="Times New Roman" w:hAnsi="Times New Roman"/>
              </w:rPr>
              <w:t>工业场地采用利用已建化粪池收集生活污水，1个容积为10m</w:t>
            </w:r>
            <w:r>
              <w:rPr>
                <w:rFonts w:ascii="Times New Roman" w:hAnsi="Times New Roman"/>
                <w:vertAlign w:val="superscript"/>
              </w:rPr>
              <w:t>3</w:t>
            </w:r>
            <w:r>
              <w:rPr>
                <w:rFonts w:ascii="Times New Roman" w:hAnsi="Times New Roman"/>
              </w:rPr>
              <w:t>，生活污水经化粪池收集处理后作为农肥，不外排。</w:t>
            </w:r>
          </w:p>
        </w:tc>
        <w:tc>
          <w:tcPr>
            <w:tcW w:w="503" w:type="pct"/>
            <w:vAlign w:val="center"/>
          </w:tcPr>
          <w:p>
            <w:pPr>
              <w:pStyle w:val="45"/>
              <w:rPr>
                <w:rFonts w:ascii="Times New Roman" w:hAnsi="Times New Roman"/>
              </w:rPr>
            </w:pPr>
            <w:r>
              <w:rPr>
                <w:rFonts w:ascii="Times New Roman" w:hAnsi="Times New Roman"/>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矿山车辆冲洗区：在矿区出入口设置车辆冲洗池（10m</w:t>
            </w:r>
            <w:r>
              <w:rPr>
                <w:rFonts w:ascii="Times New Roman" w:hAnsi="Times New Roman"/>
                <w:vertAlign w:val="superscript"/>
              </w:rPr>
              <w:t>3</w:t>
            </w:r>
            <w:r>
              <w:rPr>
                <w:rFonts w:ascii="Times New Roman" w:hAnsi="Times New Roman"/>
              </w:rPr>
              <w:t>），对出矿区的装载车进行冲洗，产生的清洗废水经沉淀池（100m</w:t>
            </w:r>
            <w:r>
              <w:rPr>
                <w:rFonts w:ascii="Times New Roman" w:hAnsi="Times New Roman"/>
                <w:vertAlign w:val="superscript"/>
              </w:rPr>
              <w:t>3</w:t>
            </w:r>
            <w:r>
              <w:rPr>
                <w:rFonts w:ascii="Times New Roman" w:hAnsi="Times New Roman"/>
              </w:rPr>
              <w:t>）收集后循环利用，不外排。</w:t>
            </w:r>
          </w:p>
          <w:p>
            <w:pPr>
              <w:pStyle w:val="45"/>
              <w:jc w:val="left"/>
              <w:rPr>
                <w:rFonts w:ascii="Times New Roman" w:hAnsi="Times New Roman"/>
              </w:rPr>
            </w:pPr>
            <w:r>
              <w:rPr>
                <w:rFonts w:ascii="Times New Roman" w:hAnsi="Times New Roman"/>
              </w:rPr>
              <w:t>工业场地车辆冲洗区：在工业场地外西侧设置车辆冲洗池，容积为10m</w:t>
            </w:r>
            <w:r>
              <w:rPr>
                <w:rFonts w:ascii="Times New Roman" w:hAnsi="Times New Roman"/>
                <w:vertAlign w:val="superscript"/>
              </w:rPr>
              <w:t>3</w:t>
            </w:r>
            <w:r>
              <w:rPr>
                <w:rFonts w:ascii="Times New Roman" w:hAnsi="Times New Roman"/>
              </w:rPr>
              <w:t>，对装载车辆进行冲洗，产生的清洗废水经沉淀池（20m</w:t>
            </w:r>
            <w:r>
              <w:rPr>
                <w:rFonts w:ascii="Times New Roman" w:hAnsi="Times New Roman"/>
                <w:vertAlign w:val="superscript"/>
              </w:rPr>
              <w:t>3</w:t>
            </w:r>
            <w:r>
              <w:rPr>
                <w:rFonts w:ascii="Times New Roman" w:hAnsi="Times New Roman"/>
              </w:rPr>
              <w:t>）收集后循环利用，不外排。</w:t>
            </w:r>
          </w:p>
        </w:tc>
        <w:tc>
          <w:tcPr>
            <w:tcW w:w="503" w:type="pct"/>
            <w:vAlign w:val="center"/>
          </w:tcPr>
          <w:p>
            <w:pPr>
              <w:pStyle w:val="45"/>
              <w:rPr>
                <w:rFonts w:ascii="Times New Roman" w:hAnsi="Times New Roman"/>
              </w:rPr>
            </w:pPr>
            <w:r>
              <w:rPr>
                <w:rFonts w:ascii="Times New Roman" w:hAnsi="Times New Roman"/>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矿山道路两侧、最终开采线四周部分区域、矿石堆料场、排土场、废土石堆场四周雨污水通过截排水沟收集至沉淀池，进行沉淀后回用，沉淀池位于矿区内东北侧，容积为100m</w:t>
            </w:r>
            <w:r>
              <w:rPr>
                <w:rFonts w:ascii="Times New Roman" w:hAnsi="Times New Roman"/>
                <w:vertAlign w:val="superscript"/>
              </w:rPr>
              <w:t>3</w:t>
            </w:r>
            <w:r>
              <w:rPr>
                <w:rFonts w:ascii="Times New Roman" w:hAnsi="Times New Roman"/>
              </w:rPr>
              <w:t>。</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工业场地产生的喷洒废水进入沉淀池处理后，循环利用，不外排。</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restart"/>
            <w:vAlign w:val="center"/>
          </w:tcPr>
          <w:p>
            <w:pPr>
              <w:pStyle w:val="45"/>
              <w:rPr>
                <w:rFonts w:ascii="Times New Roman" w:hAnsi="Times New Roman"/>
              </w:rPr>
            </w:pPr>
            <w:r>
              <w:rPr>
                <w:rFonts w:ascii="Times New Roman" w:hAnsi="Times New Roman"/>
              </w:rPr>
              <w:t>废气处理设施</w:t>
            </w:r>
          </w:p>
        </w:tc>
        <w:tc>
          <w:tcPr>
            <w:tcW w:w="3387" w:type="pct"/>
            <w:vAlign w:val="center"/>
          </w:tcPr>
          <w:p>
            <w:pPr>
              <w:pStyle w:val="45"/>
              <w:jc w:val="left"/>
              <w:rPr>
                <w:rFonts w:ascii="Times New Roman" w:hAnsi="Times New Roman"/>
              </w:rPr>
            </w:pPr>
            <w:r>
              <w:rPr>
                <w:rFonts w:ascii="Times New Roman" w:hAnsi="Times New Roman"/>
              </w:rPr>
              <w:t>矿区道路硬化，采取喷淋及洒水车定期洒水措施。</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矿区内开采过程采用水管洒水、雾炮机喷雾降尘。临时堆场采取洒水降尘，防尘网临时覆盖降尘。矿区道路与入场道路采取喷淋及洒水车洒水。</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运输：产品装车时进行洒水抑尘，采用密闭箱式车辆或加盖篷布运输，减少运输途中撒漏引起扬尘污染。车辆进出采区进行车辆冲洗。</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1#、2#生产线二级破碎产生的粉尘采用2套布袋除尘器+15m高排气筒进行处理后达标排放；更换现有除尘器的布袋</w:t>
            </w:r>
          </w:p>
        </w:tc>
        <w:tc>
          <w:tcPr>
            <w:tcW w:w="503" w:type="pct"/>
            <w:vAlign w:val="center"/>
          </w:tcPr>
          <w:p>
            <w:pPr>
              <w:pStyle w:val="45"/>
              <w:rPr>
                <w:rFonts w:ascii="Times New Roman" w:hAnsi="Times New Roman"/>
              </w:rPr>
            </w:pPr>
            <w:r>
              <w:rPr>
                <w:rFonts w:ascii="Times New Roman" w:hAnsi="Times New Roman"/>
              </w:rPr>
              <w:t>依托+改造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1#、2#生产线筛分产生的粉尘共用1套布袋除尘器进行收集处理后，通过15m高的排气筒进行达标排放；更换现有除尘器的布袋</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Merge w:val="continue"/>
            <w:vAlign w:val="center"/>
          </w:tcPr>
          <w:p>
            <w:pPr>
              <w:pStyle w:val="45"/>
              <w:rPr>
                <w:rFonts w:ascii="Times New Roman" w:hAnsi="Times New Roman"/>
              </w:rPr>
            </w:pPr>
          </w:p>
        </w:tc>
        <w:tc>
          <w:tcPr>
            <w:tcW w:w="3387" w:type="pct"/>
            <w:vAlign w:val="center"/>
          </w:tcPr>
          <w:p>
            <w:pPr>
              <w:pStyle w:val="45"/>
              <w:jc w:val="left"/>
              <w:rPr>
                <w:rFonts w:ascii="Times New Roman" w:hAnsi="Times New Roman"/>
              </w:rPr>
            </w:pPr>
            <w:r>
              <w:rPr>
                <w:rFonts w:ascii="Times New Roman" w:hAnsi="Times New Roman"/>
              </w:rPr>
              <w:t>（1）每个生产日后，安排专人对车间内地面积尘进行清理，保持车间干净整洁；在车间四周不同高度以及顶部增加喷雾水管；</w:t>
            </w:r>
          </w:p>
          <w:p>
            <w:pPr>
              <w:pStyle w:val="45"/>
              <w:jc w:val="left"/>
              <w:rPr>
                <w:rFonts w:ascii="Times New Roman" w:hAnsi="Times New Roman"/>
              </w:rPr>
            </w:pPr>
            <w:r>
              <w:rPr>
                <w:rFonts w:ascii="Times New Roman" w:hAnsi="Times New Roman"/>
              </w:rPr>
              <w:t>（2）为维持现有布袋除尘器的除尘效率，对现有布袋除尘器内的布袋进行更换，使用性能优良的布袋，确保稳定达标；对布袋除尘器排气筒进行修复，高度不低于15m；</w:t>
            </w:r>
          </w:p>
          <w:p>
            <w:pPr>
              <w:pStyle w:val="45"/>
              <w:jc w:val="left"/>
              <w:rPr>
                <w:rFonts w:ascii="Times New Roman" w:hAnsi="Times New Roman"/>
              </w:rPr>
            </w:pPr>
            <w:r>
              <w:rPr>
                <w:rFonts w:ascii="Times New Roman" w:hAnsi="Times New Roman"/>
              </w:rPr>
              <w:t>（3）调整反击式破碎机、筛分进料口附近的喷雾装置，朝向进料口，确保喷雾能有效降尘；对车间内四周、顶部、设备旁加密喷雾管道及开孔，加压水雾，确保有效的出水及降尘效果；</w:t>
            </w:r>
          </w:p>
          <w:p>
            <w:pPr>
              <w:pStyle w:val="45"/>
              <w:jc w:val="left"/>
              <w:rPr>
                <w:rFonts w:ascii="Times New Roman" w:hAnsi="Times New Roman"/>
              </w:rPr>
            </w:pPr>
            <w:r>
              <w:rPr>
                <w:rFonts w:ascii="Times New Roman" w:hAnsi="Times New Roman"/>
              </w:rPr>
              <w:t>（4）车间内的废水收集沟进行清理，确保可见，水流畅通，能进入沉淀池。</w:t>
            </w:r>
          </w:p>
        </w:tc>
        <w:tc>
          <w:tcPr>
            <w:tcW w:w="503" w:type="pct"/>
            <w:vAlign w:val="center"/>
          </w:tcPr>
          <w:p>
            <w:pPr>
              <w:pStyle w:val="45"/>
              <w:rPr>
                <w:rFonts w:ascii="Times New Roman" w:hAnsi="Times New Roman"/>
              </w:rPr>
            </w:pPr>
            <w:r>
              <w:rPr>
                <w:rFonts w:ascii="Times New Roman" w:hAnsi="Times New Roman"/>
              </w:rPr>
              <w:t>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噪声治理</w:t>
            </w:r>
          </w:p>
        </w:tc>
        <w:tc>
          <w:tcPr>
            <w:tcW w:w="3387" w:type="pct"/>
            <w:vAlign w:val="center"/>
          </w:tcPr>
          <w:p>
            <w:pPr>
              <w:pStyle w:val="45"/>
              <w:rPr>
                <w:rFonts w:ascii="Times New Roman" w:hAnsi="Times New Roman"/>
              </w:rPr>
            </w:pPr>
            <w:r>
              <w:rPr>
                <w:rFonts w:ascii="Times New Roman" w:hAnsi="Times New Roman"/>
              </w:rPr>
              <w:t>采用低噪声设备，工业场地加工设备噪声底部进行减振，设置在封闭厂房内等降噪措施。</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一般固体废物</w:t>
            </w:r>
          </w:p>
        </w:tc>
        <w:tc>
          <w:tcPr>
            <w:tcW w:w="3387" w:type="pct"/>
            <w:vAlign w:val="center"/>
          </w:tcPr>
          <w:p>
            <w:pPr>
              <w:pStyle w:val="45"/>
              <w:rPr>
                <w:rFonts w:ascii="Times New Roman" w:hAnsi="Times New Roman"/>
              </w:rPr>
            </w:pPr>
            <w:r>
              <w:rPr>
                <w:rFonts w:ascii="Times New Roman" w:hAnsi="Times New Roman"/>
              </w:rPr>
              <w:t>开采区产生的表土剥离、废石，用于矿区下部回填和恢复。沉淀池污泥经收集后作为矿区复垦绿化使用。</w:t>
            </w:r>
          </w:p>
        </w:tc>
        <w:tc>
          <w:tcPr>
            <w:tcW w:w="503" w:type="pct"/>
            <w:vAlign w:val="center"/>
          </w:tcPr>
          <w:p>
            <w:pPr>
              <w:pStyle w:val="45"/>
              <w:rPr>
                <w:rFonts w:ascii="Times New Roman" w:hAnsi="Times New Roman"/>
              </w:rPr>
            </w:pPr>
            <w:r>
              <w:rPr>
                <w:rFonts w:ascii="Times New Roman" w:hAnsi="Times New Roma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危险废物</w:t>
            </w:r>
          </w:p>
        </w:tc>
        <w:tc>
          <w:tcPr>
            <w:tcW w:w="3387" w:type="pct"/>
            <w:vAlign w:val="center"/>
          </w:tcPr>
          <w:p>
            <w:pPr>
              <w:pStyle w:val="45"/>
              <w:rPr>
                <w:rFonts w:ascii="Times New Roman" w:hAnsi="Times New Roman"/>
              </w:rPr>
            </w:pPr>
            <w:r>
              <w:rPr>
                <w:rFonts w:ascii="Times New Roman" w:hAnsi="Times New Roman"/>
              </w:rPr>
              <w:t>设备维修产生的废润滑油等危险废物暂存于危险废物贮存间，位于工业加工区西北侧，面积为10m</w:t>
            </w:r>
            <w:r>
              <w:rPr>
                <w:rFonts w:ascii="Times New Roman" w:hAnsi="Times New Roman"/>
                <w:vertAlign w:val="superscript"/>
              </w:rPr>
              <w:t>2</w:t>
            </w:r>
            <w:r>
              <w:rPr>
                <w:rFonts w:ascii="Times New Roman" w:hAnsi="Times New Roman"/>
              </w:rPr>
              <w:t>，定期交由资质单位处置。</w:t>
            </w:r>
          </w:p>
        </w:tc>
        <w:tc>
          <w:tcPr>
            <w:tcW w:w="503" w:type="pct"/>
            <w:vAlign w:val="center"/>
          </w:tcPr>
          <w:p>
            <w:pPr>
              <w:pStyle w:val="45"/>
              <w:rPr>
                <w:rFonts w:ascii="Times New Roman" w:hAnsi="Times New Roman"/>
              </w:rPr>
            </w:pPr>
            <w:r>
              <w:rPr>
                <w:rFonts w:ascii="Times New Roman" w:hAnsi="Times New Roma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80" w:type="pct"/>
            <w:vMerge w:val="continue"/>
            <w:vAlign w:val="center"/>
          </w:tcPr>
          <w:p>
            <w:pPr>
              <w:pStyle w:val="45"/>
              <w:rPr>
                <w:rFonts w:ascii="Times New Roman" w:hAnsi="Times New Roman"/>
              </w:rPr>
            </w:pPr>
          </w:p>
        </w:tc>
        <w:tc>
          <w:tcPr>
            <w:tcW w:w="630" w:type="pct"/>
            <w:vAlign w:val="center"/>
          </w:tcPr>
          <w:p>
            <w:pPr>
              <w:pStyle w:val="45"/>
              <w:rPr>
                <w:rFonts w:ascii="Times New Roman" w:hAnsi="Times New Roman"/>
              </w:rPr>
            </w:pPr>
            <w:r>
              <w:rPr>
                <w:rFonts w:ascii="Times New Roman" w:hAnsi="Times New Roman"/>
              </w:rPr>
              <w:t>生活垃圾</w:t>
            </w:r>
          </w:p>
        </w:tc>
        <w:tc>
          <w:tcPr>
            <w:tcW w:w="3387" w:type="pct"/>
            <w:vAlign w:val="center"/>
          </w:tcPr>
          <w:p>
            <w:pPr>
              <w:pStyle w:val="45"/>
              <w:rPr>
                <w:rFonts w:ascii="Times New Roman" w:hAnsi="Times New Roman"/>
              </w:rPr>
            </w:pPr>
            <w:r>
              <w:rPr>
                <w:rFonts w:ascii="Times New Roman" w:hAnsi="Times New Roman"/>
              </w:rPr>
              <w:t>开采区和工业场地产生的生活垃圾集中收集后交市政环卫部门统一处置。</w:t>
            </w:r>
          </w:p>
        </w:tc>
        <w:tc>
          <w:tcPr>
            <w:tcW w:w="503" w:type="pct"/>
            <w:vAlign w:val="center"/>
          </w:tcPr>
          <w:p>
            <w:pPr>
              <w:pStyle w:val="45"/>
              <w:rPr>
                <w:rFonts w:ascii="Times New Roman" w:hAnsi="Times New Roman"/>
              </w:rPr>
            </w:pPr>
            <w:r>
              <w:rPr>
                <w:rFonts w:ascii="Times New Roman" w:hAnsi="Times New Roman"/>
              </w:rPr>
              <w:t>依托+新建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0" w:type="pct"/>
            <w:vAlign w:val="center"/>
          </w:tcPr>
          <w:p>
            <w:pPr>
              <w:spacing w:line="240" w:lineRule="auto"/>
              <w:ind w:firstLine="0" w:firstLineChars="0"/>
              <w:jc w:val="center"/>
              <w:rPr>
                <w:sz w:val="21"/>
                <w:szCs w:val="21"/>
              </w:rPr>
            </w:pPr>
            <w:r>
              <w:rPr>
                <w:sz w:val="21"/>
                <w:szCs w:val="21"/>
              </w:rPr>
              <w:t>生态保护工程</w:t>
            </w:r>
          </w:p>
        </w:tc>
        <w:tc>
          <w:tcPr>
            <w:tcW w:w="630" w:type="pct"/>
            <w:vAlign w:val="center"/>
          </w:tcPr>
          <w:p>
            <w:pPr>
              <w:spacing w:line="240" w:lineRule="auto"/>
              <w:ind w:firstLine="0" w:firstLineChars="0"/>
              <w:rPr>
                <w:sz w:val="21"/>
                <w:szCs w:val="21"/>
              </w:rPr>
            </w:pPr>
            <w:r>
              <w:rPr>
                <w:sz w:val="21"/>
                <w:szCs w:val="21"/>
              </w:rPr>
              <w:t>生态恢复</w:t>
            </w:r>
          </w:p>
        </w:tc>
        <w:tc>
          <w:tcPr>
            <w:tcW w:w="3387" w:type="pct"/>
            <w:vAlign w:val="center"/>
          </w:tcPr>
          <w:p>
            <w:pPr>
              <w:spacing w:line="240" w:lineRule="auto"/>
              <w:ind w:firstLine="0" w:firstLineChars="0"/>
              <w:jc w:val="both"/>
              <w:rPr>
                <w:sz w:val="21"/>
                <w:szCs w:val="21"/>
              </w:rPr>
            </w:pPr>
            <w:r>
              <w:rPr>
                <w:sz w:val="21"/>
                <w:szCs w:val="21"/>
              </w:rPr>
              <w:t>在矿坑底部四周设置截排水沟，矿区初采平面设置截排水沟，对矿区及其影响区域进行生态植被修复。同时矿山应按照要求完成水土保持报告并取得水保批复。</w:t>
            </w:r>
          </w:p>
        </w:tc>
        <w:tc>
          <w:tcPr>
            <w:tcW w:w="503" w:type="pct"/>
            <w:vAlign w:val="center"/>
          </w:tcPr>
          <w:p>
            <w:pPr>
              <w:spacing w:line="240" w:lineRule="auto"/>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110" w:type="pct"/>
            <w:gridSpan w:val="2"/>
            <w:vAlign w:val="center"/>
          </w:tcPr>
          <w:p>
            <w:pPr>
              <w:spacing w:line="240" w:lineRule="auto"/>
              <w:ind w:firstLine="0" w:firstLineChars="0"/>
              <w:jc w:val="center"/>
              <w:rPr>
                <w:sz w:val="21"/>
                <w:szCs w:val="21"/>
              </w:rPr>
            </w:pPr>
            <w:r>
              <w:rPr>
                <w:sz w:val="21"/>
                <w:szCs w:val="21"/>
              </w:rPr>
              <w:t>闭矿期</w:t>
            </w:r>
          </w:p>
        </w:tc>
        <w:tc>
          <w:tcPr>
            <w:tcW w:w="3387" w:type="pct"/>
            <w:vAlign w:val="center"/>
          </w:tcPr>
          <w:p>
            <w:pPr>
              <w:spacing w:line="240" w:lineRule="auto"/>
              <w:ind w:firstLine="0" w:firstLineChars="0"/>
              <w:jc w:val="both"/>
              <w:rPr>
                <w:sz w:val="21"/>
                <w:szCs w:val="21"/>
              </w:rPr>
            </w:pPr>
            <w:r>
              <w:rPr>
                <w:kern w:val="0"/>
                <w:sz w:val="21"/>
                <w:szCs w:val="21"/>
                <w:lang w:bidi="ar"/>
              </w:rPr>
              <w:t>矿山采完后，原有的地面建（构）筑物必须全部拆除，清除建筑垃圾，然后覆土复垦及恢复植被。严格按照编制的《土地复垦方案》要求实施。</w:t>
            </w:r>
          </w:p>
        </w:tc>
        <w:tc>
          <w:tcPr>
            <w:tcW w:w="503" w:type="pct"/>
            <w:vAlign w:val="center"/>
          </w:tcPr>
          <w:p>
            <w:pPr>
              <w:spacing w:line="240" w:lineRule="auto"/>
              <w:ind w:firstLine="0" w:firstLineChars="0"/>
              <w:jc w:val="center"/>
              <w:rPr>
                <w:sz w:val="21"/>
                <w:szCs w:val="21"/>
              </w:rPr>
            </w:pPr>
            <w:r>
              <w:rPr>
                <w:sz w:val="21"/>
                <w:szCs w:val="21"/>
              </w:rPr>
              <w:t>/</w:t>
            </w:r>
          </w:p>
        </w:tc>
      </w:tr>
    </w:tbl>
    <w:p>
      <w:pPr>
        <w:pStyle w:val="5"/>
        <w:rPr>
          <w:color w:val="auto"/>
        </w:rPr>
      </w:pPr>
      <w:r>
        <w:rPr>
          <w:color w:val="auto"/>
        </w:rPr>
        <w:t>3.1.4主要原辅材料消耗</w:t>
      </w:r>
    </w:p>
    <w:p>
      <w:pPr>
        <w:pStyle w:val="84"/>
        <w:jc w:val="left"/>
      </w:pPr>
      <w:r>
        <w:t>项目主要原辅材料年消耗指标见下表。</w:t>
      </w:r>
    </w:p>
    <w:p>
      <w:pPr>
        <w:pStyle w:val="84"/>
      </w:pPr>
      <w:r>
        <w:t>表3.1-4  项目主要原辅材料及能耗</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87"/>
        <w:gridCol w:w="1532"/>
        <w:gridCol w:w="1693"/>
        <w:gridCol w:w="1310"/>
        <w:gridCol w:w="342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9" w:hRule="atLeast"/>
          <w:tblHeader/>
          <w:jc w:val="center"/>
        </w:trPr>
        <w:tc>
          <w:tcPr>
            <w:tcW w:w="552" w:type="pct"/>
            <w:shd w:val="clear" w:color="auto" w:fill="D8D8D8" w:themeFill="background1" w:themeFillShade="D9"/>
            <w:vAlign w:val="center"/>
          </w:tcPr>
          <w:p>
            <w:pPr>
              <w:pStyle w:val="3238"/>
              <w:rPr>
                <w:b/>
              </w:rPr>
            </w:pPr>
            <w:r>
              <w:rPr>
                <w:b/>
              </w:rPr>
              <w:t>序号</w:t>
            </w:r>
          </w:p>
        </w:tc>
        <w:tc>
          <w:tcPr>
            <w:tcW w:w="856" w:type="pct"/>
            <w:shd w:val="clear" w:color="auto" w:fill="D8D8D8" w:themeFill="background1" w:themeFillShade="D9"/>
            <w:vAlign w:val="center"/>
          </w:tcPr>
          <w:p>
            <w:pPr>
              <w:pStyle w:val="3238"/>
              <w:rPr>
                <w:b/>
              </w:rPr>
            </w:pPr>
            <w:r>
              <w:rPr>
                <w:b/>
              </w:rPr>
              <w:t>名称</w:t>
            </w:r>
          </w:p>
        </w:tc>
        <w:tc>
          <w:tcPr>
            <w:tcW w:w="946" w:type="pct"/>
            <w:shd w:val="clear" w:color="auto" w:fill="D8D8D8" w:themeFill="background1" w:themeFillShade="D9"/>
            <w:vAlign w:val="center"/>
          </w:tcPr>
          <w:p>
            <w:pPr>
              <w:pStyle w:val="3238"/>
              <w:rPr>
                <w:b/>
              </w:rPr>
            </w:pPr>
            <w:r>
              <w:rPr>
                <w:b/>
              </w:rPr>
              <w:t>消耗量</w:t>
            </w:r>
          </w:p>
        </w:tc>
        <w:tc>
          <w:tcPr>
            <w:tcW w:w="732" w:type="pct"/>
            <w:shd w:val="clear" w:color="auto" w:fill="D8D8D8" w:themeFill="background1" w:themeFillShade="D9"/>
            <w:vAlign w:val="center"/>
          </w:tcPr>
          <w:p>
            <w:pPr>
              <w:pStyle w:val="3238"/>
              <w:rPr>
                <w:b/>
              </w:rPr>
            </w:pPr>
            <w:r>
              <w:rPr>
                <w:b/>
              </w:rPr>
              <w:t>最大储存量</w:t>
            </w:r>
          </w:p>
        </w:tc>
        <w:tc>
          <w:tcPr>
            <w:tcW w:w="1914" w:type="pct"/>
            <w:shd w:val="clear" w:color="auto" w:fill="D8D8D8" w:themeFill="background1" w:themeFillShade="D9"/>
            <w:vAlign w:val="center"/>
          </w:tcPr>
          <w:p>
            <w:pPr>
              <w:pStyle w:val="3238"/>
              <w:rPr>
                <w:b/>
              </w:rPr>
            </w:pPr>
            <w:r>
              <w:rPr>
                <w:b/>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552" w:type="pct"/>
            <w:vAlign w:val="center"/>
          </w:tcPr>
          <w:p>
            <w:pPr>
              <w:pStyle w:val="3238"/>
            </w:pPr>
            <w:r>
              <w:t>1</w:t>
            </w:r>
          </w:p>
        </w:tc>
        <w:tc>
          <w:tcPr>
            <w:tcW w:w="856" w:type="pct"/>
            <w:vAlign w:val="center"/>
          </w:tcPr>
          <w:p>
            <w:pPr>
              <w:pStyle w:val="3238"/>
              <w:rPr>
                <w:b/>
              </w:rPr>
            </w:pPr>
            <w:r>
              <w:t>柴油</w:t>
            </w:r>
          </w:p>
        </w:tc>
        <w:tc>
          <w:tcPr>
            <w:tcW w:w="946" w:type="pct"/>
            <w:vAlign w:val="center"/>
          </w:tcPr>
          <w:p>
            <w:pPr>
              <w:pStyle w:val="3238"/>
              <w:rPr>
                <w:b/>
              </w:rPr>
            </w:pPr>
            <w:r>
              <w:t>200t/a</w:t>
            </w:r>
          </w:p>
        </w:tc>
        <w:tc>
          <w:tcPr>
            <w:tcW w:w="732" w:type="pct"/>
            <w:tcBorders>
              <w:top w:val="single" w:color="auto" w:sz="4" w:space="0"/>
            </w:tcBorders>
            <w:vAlign w:val="center"/>
          </w:tcPr>
          <w:p>
            <w:pPr>
              <w:pStyle w:val="3238"/>
              <w:rPr>
                <w:b/>
              </w:rPr>
            </w:pPr>
            <w:r>
              <w:t>42</w:t>
            </w:r>
          </w:p>
        </w:tc>
        <w:tc>
          <w:tcPr>
            <w:tcW w:w="1914" w:type="pct"/>
            <w:tcBorders>
              <w:top w:val="single" w:color="auto" w:sz="4" w:space="0"/>
            </w:tcBorders>
            <w:vAlign w:val="center"/>
          </w:tcPr>
          <w:p>
            <w:pPr>
              <w:pStyle w:val="3238"/>
              <w:rPr>
                <w:b/>
              </w:rPr>
            </w:pPr>
            <w:r>
              <w:t>罐装，3个储罐，总容积为55m</w:t>
            </w:r>
            <w:r>
              <w:rPr>
                <w:vertAlign w:val="superscript"/>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552" w:type="pct"/>
            <w:vAlign w:val="center"/>
          </w:tcPr>
          <w:p>
            <w:pPr>
              <w:pStyle w:val="3238"/>
            </w:pPr>
            <w:r>
              <w:t>2</w:t>
            </w:r>
          </w:p>
        </w:tc>
        <w:tc>
          <w:tcPr>
            <w:tcW w:w="856" w:type="pct"/>
            <w:vAlign w:val="center"/>
          </w:tcPr>
          <w:p>
            <w:pPr>
              <w:pStyle w:val="3238"/>
              <w:rPr>
                <w:b/>
              </w:rPr>
            </w:pPr>
            <w:r>
              <w:t>润滑油</w:t>
            </w:r>
          </w:p>
        </w:tc>
        <w:tc>
          <w:tcPr>
            <w:tcW w:w="946" w:type="pct"/>
            <w:vAlign w:val="center"/>
          </w:tcPr>
          <w:p>
            <w:pPr>
              <w:pStyle w:val="3238"/>
              <w:rPr>
                <w:b/>
              </w:rPr>
            </w:pPr>
            <w:r>
              <w:t>0.5t/a</w:t>
            </w:r>
          </w:p>
        </w:tc>
        <w:tc>
          <w:tcPr>
            <w:tcW w:w="732" w:type="pct"/>
            <w:vAlign w:val="center"/>
          </w:tcPr>
          <w:p>
            <w:pPr>
              <w:pStyle w:val="3238"/>
              <w:rPr>
                <w:b/>
              </w:rPr>
            </w:pPr>
            <w:r>
              <w:t>0.05t</w:t>
            </w:r>
          </w:p>
        </w:tc>
        <w:tc>
          <w:tcPr>
            <w:tcW w:w="1914" w:type="pct"/>
            <w:vAlign w:val="center"/>
          </w:tcPr>
          <w:p>
            <w:pPr>
              <w:pStyle w:val="3238"/>
              <w:rPr>
                <w:b/>
              </w:rPr>
            </w:pPr>
            <w:r>
              <w:t>外购（25kg/桶）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552" w:type="pct"/>
            <w:vAlign w:val="center"/>
          </w:tcPr>
          <w:p>
            <w:pPr>
              <w:pStyle w:val="3238"/>
            </w:pPr>
            <w:r>
              <w:t>3</w:t>
            </w:r>
          </w:p>
        </w:tc>
        <w:tc>
          <w:tcPr>
            <w:tcW w:w="856" w:type="pct"/>
            <w:vAlign w:val="center"/>
          </w:tcPr>
          <w:p>
            <w:pPr>
              <w:pStyle w:val="3238"/>
              <w:rPr>
                <w:b/>
              </w:rPr>
            </w:pPr>
            <w:r>
              <w:t>炸药</w:t>
            </w:r>
          </w:p>
        </w:tc>
        <w:tc>
          <w:tcPr>
            <w:tcW w:w="946" w:type="pct"/>
            <w:vAlign w:val="center"/>
          </w:tcPr>
          <w:p>
            <w:pPr>
              <w:pStyle w:val="3238"/>
              <w:rPr>
                <w:b/>
              </w:rPr>
            </w:pPr>
            <w:r>
              <w:t>0.5t/a</w:t>
            </w:r>
          </w:p>
        </w:tc>
        <w:tc>
          <w:tcPr>
            <w:tcW w:w="732" w:type="pct"/>
            <w:vAlign w:val="center"/>
          </w:tcPr>
          <w:p>
            <w:pPr>
              <w:pStyle w:val="3238"/>
            </w:pPr>
            <w:r>
              <w:t>/</w:t>
            </w:r>
          </w:p>
        </w:tc>
        <w:tc>
          <w:tcPr>
            <w:tcW w:w="1914" w:type="pct"/>
            <w:vMerge w:val="restart"/>
            <w:vAlign w:val="center"/>
          </w:tcPr>
          <w:p>
            <w:pPr>
              <w:pStyle w:val="3238"/>
              <w:rPr>
                <w:b/>
              </w:rPr>
            </w:pPr>
            <w:r>
              <w:t>外委第三方资质单位负责爆破，场内不储存炸药、雷管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552" w:type="pct"/>
            <w:vAlign w:val="center"/>
          </w:tcPr>
          <w:p>
            <w:pPr>
              <w:pStyle w:val="3238"/>
            </w:pPr>
            <w:r>
              <w:t>4</w:t>
            </w:r>
          </w:p>
        </w:tc>
        <w:tc>
          <w:tcPr>
            <w:tcW w:w="856" w:type="pct"/>
            <w:vAlign w:val="center"/>
          </w:tcPr>
          <w:p>
            <w:pPr>
              <w:pStyle w:val="3238"/>
              <w:rPr>
                <w:b/>
              </w:rPr>
            </w:pPr>
            <w:r>
              <w:t>雷管</w:t>
            </w:r>
          </w:p>
        </w:tc>
        <w:tc>
          <w:tcPr>
            <w:tcW w:w="946" w:type="pct"/>
            <w:vAlign w:val="center"/>
          </w:tcPr>
          <w:p>
            <w:pPr>
              <w:pStyle w:val="3238"/>
              <w:rPr>
                <w:b/>
              </w:rPr>
            </w:pPr>
            <w:r>
              <w:t>1.2万发/a</w:t>
            </w:r>
          </w:p>
        </w:tc>
        <w:tc>
          <w:tcPr>
            <w:tcW w:w="732" w:type="pct"/>
            <w:vAlign w:val="center"/>
          </w:tcPr>
          <w:p>
            <w:pPr>
              <w:pStyle w:val="3238"/>
            </w:pPr>
            <w:r>
              <w:t>/</w:t>
            </w:r>
          </w:p>
        </w:tc>
        <w:tc>
          <w:tcPr>
            <w:tcW w:w="1914" w:type="pct"/>
            <w:vMerge w:val="continue"/>
            <w:vAlign w:val="center"/>
          </w:tcPr>
          <w:p>
            <w:pPr>
              <w:pStyle w:val="3238"/>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552" w:type="pct"/>
            <w:vAlign w:val="center"/>
          </w:tcPr>
          <w:p>
            <w:pPr>
              <w:pStyle w:val="3238"/>
            </w:pPr>
            <w:r>
              <w:t>5</w:t>
            </w:r>
          </w:p>
        </w:tc>
        <w:tc>
          <w:tcPr>
            <w:tcW w:w="856" w:type="pct"/>
            <w:vAlign w:val="center"/>
          </w:tcPr>
          <w:p>
            <w:pPr>
              <w:pStyle w:val="3238"/>
            </w:pPr>
            <w:r>
              <w:t>电</w:t>
            </w:r>
          </w:p>
        </w:tc>
        <w:tc>
          <w:tcPr>
            <w:tcW w:w="946" w:type="pct"/>
            <w:vAlign w:val="center"/>
          </w:tcPr>
          <w:p>
            <w:pPr>
              <w:pStyle w:val="3238"/>
              <w:rPr>
                <w:b/>
              </w:rPr>
            </w:pPr>
            <w:r>
              <w:t>1500万kw·h/a</w:t>
            </w:r>
          </w:p>
        </w:tc>
        <w:tc>
          <w:tcPr>
            <w:tcW w:w="732" w:type="pct"/>
            <w:vAlign w:val="center"/>
          </w:tcPr>
          <w:p>
            <w:pPr>
              <w:pStyle w:val="3238"/>
            </w:pPr>
            <w:r>
              <w:t>/</w:t>
            </w:r>
          </w:p>
        </w:tc>
        <w:tc>
          <w:tcPr>
            <w:tcW w:w="1914" w:type="pct"/>
            <w:vAlign w:val="center"/>
          </w:tcPr>
          <w:p>
            <w:pPr>
              <w:pStyle w:val="3238"/>
              <w:rPr>
                <w:b/>
              </w:rPr>
            </w:pPr>
            <w:r>
              <w:t>当地农村电网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552" w:type="pct"/>
            <w:vAlign w:val="center"/>
          </w:tcPr>
          <w:p>
            <w:pPr>
              <w:pStyle w:val="3238"/>
            </w:pPr>
            <w:r>
              <w:t>6</w:t>
            </w:r>
          </w:p>
        </w:tc>
        <w:tc>
          <w:tcPr>
            <w:tcW w:w="856" w:type="pct"/>
            <w:vAlign w:val="center"/>
          </w:tcPr>
          <w:p>
            <w:pPr>
              <w:pStyle w:val="3238"/>
              <w:rPr>
                <w:b/>
              </w:rPr>
            </w:pPr>
            <w:r>
              <w:t>新鲜水用量</w:t>
            </w:r>
          </w:p>
        </w:tc>
        <w:tc>
          <w:tcPr>
            <w:tcW w:w="946" w:type="pct"/>
            <w:vAlign w:val="center"/>
          </w:tcPr>
          <w:p>
            <w:pPr>
              <w:pStyle w:val="3238"/>
              <w:rPr>
                <w:b/>
              </w:rPr>
            </w:pPr>
            <w:r>
              <w:t>4000t/a</w:t>
            </w:r>
          </w:p>
        </w:tc>
        <w:tc>
          <w:tcPr>
            <w:tcW w:w="732" w:type="pct"/>
            <w:vAlign w:val="center"/>
          </w:tcPr>
          <w:p>
            <w:pPr>
              <w:pStyle w:val="3238"/>
            </w:pPr>
            <w:r>
              <w:t>/</w:t>
            </w:r>
          </w:p>
        </w:tc>
        <w:tc>
          <w:tcPr>
            <w:tcW w:w="1914" w:type="pct"/>
            <w:vAlign w:val="center"/>
          </w:tcPr>
          <w:p>
            <w:pPr>
              <w:pStyle w:val="3238"/>
              <w:rPr>
                <w:b/>
              </w:rPr>
            </w:pPr>
            <w:r>
              <w:t>山泉水和干沟河溪水</w:t>
            </w:r>
          </w:p>
        </w:tc>
      </w:tr>
    </w:tbl>
    <w:p>
      <w:pPr>
        <w:pStyle w:val="3185"/>
      </w:pPr>
    </w:p>
    <w:p>
      <w:pPr>
        <w:pStyle w:val="5"/>
        <w:rPr>
          <w:color w:val="auto"/>
        </w:rPr>
      </w:pPr>
      <w:r>
        <w:rPr>
          <w:color w:val="auto"/>
        </w:rPr>
        <w:t>3.1.5主要生产设备</w:t>
      </w:r>
    </w:p>
    <w:p>
      <w:pPr>
        <w:pStyle w:val="222"/>
      </w:pPr>
      <w:r>
        <w:t>项目主要生产设备见下表。</w:t>
      </w:r>
    </w:p>
    <w:p>
      <w:pPr>
        <w:pStyle w:val="84"/>
      </w:pPr>
      <w:r>
        <w:t>表3.1-5  项目主要设备表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89"/>
        <w:gridCol w:w="957"/>
        <w:gridCol w:w="1088"/>
        <w:gridCol w:w="1548"/>
        <w:gridCol w:w="1871"/>
        <w:gridCol w:w="753"/>
        <w:gridCol w:w="1224"/>
        <w:gridCol w:w="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tblHeader/>
          <w:jc w:val="center"/>
        </w:trPr>
        <w:tc>
          <w:tcPr>
            <w:tcW w:w="35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56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类别</w:t>
            </w:r>
          </w:p>
        </w:tc>
        <w:tc>
          <w:tcPr>
            <w:tcW w:w="63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设备名称</w:t>
            </w:r>
          </w:p>
        </w:tc>
        <w:tc>
          <w:tcPr>
            <w:tcW w:w="73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规格型号</w:t>
            </w:r>
          </w:p>
        </w:tc>
        <w:tc>
          <w:tcPr>
            <w:tcW w:w="107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设备参数</w:t>
            </w:r>
          </w:p>
        </w:tc>
        <w:tc>
          <w:tcPr>
            <w:tcW w:w="44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数量/台</w:t>
            </w:r>
          </w:p>
        </w:tc>
        <w:tc>
          <w:tcPr>
            <w:tcW w:w="71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工艺用途</w:t>
            </w:r>
          </w:p>
        </w:tc>
        <w:tc>
          <w:tcPr>
            <w:tcW w:w="48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restart"/>
            <w:vAlign w:val="center"/>
          </w:tcPr>
          <w:p>
            <w:pPr>
              <w:spacing w:line="240" w:lineRule="auto"/>
              <w:ind w:firstLine="0" w:firstLineChars="0"/>
              <w:jc w:val="center"/>
              <w:rPr>
                <w:sz w:val="21"/>
                <w:szCs w:val="21"/>
              </w:rPr>
            </w:pPr>
            <w:r>
              <w:rPr>
                <w:sz w:val="21"/>
                <w:szCs w:val="21"/>
              </w:rPr>
              <w:t>开采区</w:t>
            </w:r>
          </w:p>
        </w:tc>
        <w:tc>
          <w:tcPr>
            <w:tcW w:w="635" w:type="pct"/>
            <w:vAlign w:val="center"/>
          </w:tcPr>
          <w:p>
            <w:pPr>
              <w:spacing w:line="240" w:lineRule="auto"/>
              <w:ind w:firstLine="0" w:firstLineChars="0"/>
              <w:jc w:val="center"/>
              <w:rPr>
                <w:sz w:val="21"/>
                <w:szCs w:val="21"/>
              </w:rPr>
            </w:pPr>
            <w:r>
              <w:rPr>
                <w:sz w:val="21"/>
                <w:szCs w:val="21"/>
              </w:rPr>
              <w:t>装载车</w:t>
            </w:r>
          </w:p>
        </w:tc>
        <w:tc>
          <w:tcPr>
            <w:tcW w:w="738" w:type="pct"/>
            <w:vAlign w:val="center"/>
          </w:tcPr>
          <w:p>
            <w:pPr>
              <w:spacing w:line="240" w:lineRule="auto"/>
              <w:ind w:firstLine="0" w:firstLineChars="0"/>
              <w:jc w:val="center"/>
              <w:rPr>
                <w:sz w:val="21"/>
                <w:szCs w:val="21"/>
              </w:rPr>
            </w:pPr>
            <w:r>
              <w:rPr>
                <w:sz w:val="21"/>
                <w:szCs w:val="21"/>
              </w:rPr>
              <w:t>零工50</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Merge w:val="restart"/>
            <w:vAlign w:val="center"/>
          </w:tcPr>
          <w:p>
            <w:pPr>
              <w:spacing w:line="240" w:lineRule="auto"/>
              <w:ind w:firstLine="0" w:firstLineChars="0"/>
              <w:jc w:val="center"/>
              <w:rPr>
                <w:sz w:val="21"/>
                <w:szCs w:val="21"/>
              </w:rPr>
            </w:pPr>
            <w:r>
              <w:rPr>
                <w:sz w:val="21"/>
                <w:szCs w:val="21"/>
              </w:rPr>
              <w:t>矿山开采设备</w:t>
            </w: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挖掘机</w:t>
            </w:r>
          </w:p>
        </w:tc>
        <w:tc>
          <w:tcPr>
            <w:tcW w:w="738" w:type="pct"/>
            <w:vAlign w:val="center"/>
          </w:tcPr>
          <w:p>
            <w:pPr>
              <w:spacing w:line="240" w:lineRule="auto"/>
              <w:ind w:firstLine="0" w:firstLineChars="0"/>
              <w:jc w:val="center"/>
              <w:rPr>
                <w:sz w:val="21"/>
                <w:szCs w:val="21"/>
              </w:rPr>
            </w:pPr>
            <w:r>
              <w:rPr>
                <w:sz w:val="21"/>
                <w:szCs w:val="21"/>
              </w:rPr>
              <w:t>卡特323</w:t>
            </w:r>
          </w:p>
        </w:tc>
        <w:tc>
          <w:tcPr>
            <w:tcW w:w="1077" w:type="pct"/>
            <w:vAlign w:val="center"/>
          </w:tcPr>
          <w:p>
            <w:pPr>
              <w:spacing w:line="240" w:lineRule="auto"/>
              <w:ind w:firstLine="0" w:firstLineChars="0"/>
              <w:jc w:val="center"/>
              <w:rPr>
                <w:sz w:val="21"/>
                <w:szCs w:val="21"/>
              </w:rPr>
            </w:pPr>
            <w:r>
              <w:rPr>
                <w:sz w:val="21"/>
                <w:szCs w:val="21"/>
              </w:rPr>
              <w:t>斗容：1.4m</w:t>
            </w:r>
            <w:r>
              <w:rPr>
                <w:sz w:val="21"/>
                <w:szCs w:val="21"/>
                <w:vertAlign w:val="superscript"/>
              </w:rPr>
              <w:t>3</w:t>
            </w:r>
            <w:r>
              <w:rPr>
                <w:sz w:val="21"/>
                <w:szCs w:val="21"/>
              </w:rPr>
              <w:t>，最大挖掘高度9.47m</w:t>
            </w:r>
          </w:p>
        </w:tc>
        <w:tc>
          <w:tcPr>
            <w:tcW w:w="445" w:type="pct"/>
            <w:vAlign w:val="center"/>
          </w:tcPr>
          <w:p>
            <w:pPr>
              <w:spacing w:line="240" w:lineRule="auto"/>
              <w:ind w:firstLine="0" w:firstLineChars="0"/>
              <w:jc w:val="center"/>
              <w:rPr>
                <w:sz w:val="21"/>
                <w:szCs w:val="21"/>
              </w:rPr>
            </w:pPr>
            <w:r>
              <w:rPr>
                <w:sz w:val="21"/>
                <w:szCs w:val="21"/>
              </w:rPr>
              <w:t>1</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kern w:val="0"/>
                <w:sz w:val="21"/>
                <w:szCs w:val="21"/>
                <w:lang w:bidi="ar"/>
              </w:rPr>
            </w:pPr>
            <w:r>
              <w:rPr>
                <w:sz w:val="21"/>
                <w:szCs w:val="21"/>
              </w:rPr>
              <w:t>挖掘机</w:t>
            </w:r>
          </w:p>
        </w:tc>
        <w:tc>
          <w:tcPr>
            <w:tcW w:w="738" w:type="pct"/>
            <w:vAlign w:val="center"/>
          </w:tcPr>
          <w:p>
            <w:pPr>
              <w:spacing w:line="240" w:lineRule="auto"/>
              <w:ind w:firstLine="0" w:firstLineChars="0"/>
              <w:jc w:val="center"/>
              <w:rPr>
                <w:kern w:val="0"/>
                <w:sz w:val="21"/>
                <w:szCs w:val="21"/>
                <w:lang w:bidi="ar"/>
              </w:rPr>
            </w:pPr>
            <w:r>
              <w:rPr>
                <w:sz w:val="21"/>
                <w:szCs w:val="21"/>
              </w:rPr>
              <w:t>卡特336</w:t>
            </w:r>
          </w:p>
        </w:tc>
        <w:tc>
          <w:tcPr>
            <w:tcW w:w="1077" w:type="pct"/>
            <w:vAlign w:val="center"/>
          </w:tcPr>
          <w:p>
            <w:pPr>
              <w:spacing w:line="240" w:lineRule="auto"/>
              <w:ind w:firstLine="0" w:firstLineChars="0"/>
              <w:jc w:val="center"/>
              <w:rPr>
                <w:sz w:val="21"/>
                <w:szCs w:val="21"/>
              </w:rPr>
            </w:pPr>
            <w:r>
              <w:rPr>
                <w:sz w:val="21"/>
                <w:szCs w:val="21"/>
              </w:rPr>
              <w:t>斗容：2.0m</w:t>
            </w:r>
            <w:r>
              <w:rPr>
                <w:sz w:val="21"/>
                <w:szCs w:val="21"/>
                <w:vertAlign w:val="superscript"/>
              </w:rPr>
              <w:t>3</w:t>
            </w:r>
            <w:r>
              <w:rPr>
                <w:sz w:val="21"/>
                <w:szCs w:val="21"/>
              </w:rPr>
              <w:t>，最大挖掘高度10.2m</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挖掘机</w:t>
            </w:r>
          </w:p>
        </w:tc>
        <w:tc>
          <w:tcPr>
            <w:tcW w:w="738" w:type="pct"/>
            <w:vAlign w:val="center"/>
          </w:tcPr>
          <w:p>
            <w:pPr>
              <w:spacing w:line="240" w:lineRule="auto"/>
              <w:ind w:firstLine="0" w:firstLineChars="0"/>
              <w:jc w:val="center"/>
              <w:rPr>
                <w:sz w:val="21"/>
                <w:szCs w:val="21"/>
              </w:rPr>
            </w:pPr>
            <w:r>
              <w:rPr>
                <w:sz w:val="21"/>
                <w:szCs w:val="21"/>
              </w:rPr>
              <w:t>卡特485</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1</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液压破碎锤</w:t>
            </w:r>
          </w:p>
        </w:tc>
        <w:tc>
          <w:tcPr>
            <w:tcW w:w="738" w:type="pct"/>
            <w:vAlign w:val="center"/>
          </w:tcPr>
          <w:p>
            <w:pPr>
              <w:spacing w:line="240" w:lineRule="auto"/>
              <w:ind w:firstLine="0" w:firstLineChars="0"/>
              <w:jc w:val="center"/>
              <w:rPr>
                <w:sz w:val="21"/>
                <w:szCs w:val="21"/>
              </w:rPr>
            </w:pPr>
            <w:r>
              <w:rPr>
                <w:sz w:val="21"/>
                <w:szCs w:val="21"/>
              </w:rPr>
              <w:t>195型</w:t>
            </w:r>
          </w:p>
        </w:tc>
        <w:tc>
          <w:tcPr>
            <w:tcW w:w="1077" w:type="pct"/>
            <w:vAlign w:val="center"/>
          </w:tcPr>
          <w:p>
            <w:pPr>
              <w:spacing w:line="240" w:lineRule="auto"/>
              <w:ind w:firstLine="0" w:firstLineChars="0"/>
              <w:jc w:val="center"/>
              <w:rPr>
                <w:sz w:val="21"/>
                <w:szCs w:val="21"/>
              </w:rPr>
            </w:pPr>
            <w:r>
              <w:rPr>
                <w:sz w:val="21"/>
                <w:szCs w:val="21"/>
              </w:rPr>
              <w:t>破碎锤钢钎直径195mm，处理能力约为120-150m</w:t>
            </w:r>
            <w:r>
              <w:rPr>
                <w:sz w:val="21"/>
                <w:szCs w:val="21"/>
                <w:vertAlign w:val="superscript"/>
              </w:rPr>
              <w:t>3</w:t>
            </w:r>
            <w:r>
              <w:rPr>
                <w:sz w:val="21"/>
                <w:szCs w:val="21"/>
              </w:rPr>
              <w:t>/h</w:t>
            </w:r>
          </w:p>
        </w:tc>
        <w:tc>
          <w:tcPr>
            <w:tcW w:w="445" w:type="pct"/>
            <w:vAlign w:val="center"/>
          </w:tcPr>
          <w:p>
            <w:pPr>
              <w:spacing w:line="240" w:lineRule="auto"/>
              <w:ind w:firstLine="0" w:firstLineChars="0"/>
              <w:jc w:val="center"/>
              <w:rPr>
                <w:sz w:val="21"/>
                <w:szCs w:val="21"/>
              </w:rPr>
            </w:pPr>
            <w:r>
              <w:rPr>
                <w:sz w:val="21"/>
                <w:szCs w:val="21"/>
              </w:rPr>
              <w:t>1</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液压破碎锤</w:t>
            </w:r>
          </w:p>
        </w:tc>
        <w:tc>
          <w:tcPr>
            <w:tcW w:w="738" w:type="pct"/>
            <w:vAlign w:val="center"/>
          </w:tcPr>
          <w:p>
            <w:pPr>
              <w:spacing w:line="240" w:lineRule="auto"/>
              <w:ind w:firstLine="0" w:firstLineChars="0"/>
              <w:jc w:val="center"/>
              <w:rPr>
                <w:sz w:val="21"/>
                <w:szCs w:val="21"/>
              </w:rPr>
            </w:pPr>
            <w:r>
              <w:rPr>
                <w:sz w:val="21"/>
                <w:szCs w:val="21"/>
              </w:rPr>
              <w:t>175型</w:t>
            </w:r>
          </w:p>
        </w:tc>
        <w:tc>
          <w:tcPr>
            <w:tcW w:w="1077" w:type="pct"/>
            <w:vAlign w:val="center"/>
          </w:tcPr>
          <w:p>
            <w:pPr>
              <w:spacing w:line="240" w:lineRule="auto"/>
              <w:ind w:firstLine="0" w:firstLineChars="0"/>
              <w:jc w:val="center"/>
              <w:rPr>
                <w:sz w:val="21"/>
                <w:szCs w:val="21"/>
              </w:rPr>
            </w:pPr>
            <w:r>
              <w:rPr>
                <w:sz w:val="21"/>
                <w:szCs w:val="21"/>
              </w:rPr>
              <w:t>破碎锤钢钎直径1175mm，处理能力约为100-120m</w:t>
            </w:r>
            <w:r>
              <w:rPr>
                <w:sz w:val="21"/>
                <w:szCs w:val="21"/>
                <w:vertAlign w:val="superscript"/>
              </w:rPr>
              <w:t>3</w:t>
            </w:r>
            <w:r>
              <w:rPr>
                <w:sz w:val="21"/>
                <w:szCs w:val="21"/>
              </w:rPr>
              <w:t>/h</w:t>
            </w:r>
          </w:p>
        </w:tc>
        <w:tc>
          <w:tcPr>
            <w:tcW w:w="445" w:type="pct"/>
            <w:vAlign w:val="center"/>
          </w:tcPr>
          <w:p>
            <w:pPr>
              <w:spacing w:line="240" w:lineRule="auto"/>
              <w:ind w:firstLine="0" w:firstLineChars="0"/>
              <w:jc w:val="center"/>
              <w:rPr>
                <w:sz w:val="21"/>
                <w:szCs w:val="21"/>
              </w:rPr>
            </w:pPr>
            <w:r>
              <w:rPr>
                <w:sz w:val="21"/>
                <w:szCs w:val="21"/>
              </w:rPr>
              <w:t>1</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液压破碎锤</w:t>
            </w:r>
          </w:p>
        </w:tc>
        <w:tc>
          <w:tcPr>
            <w:tcW w:w="738" w:type="pct"/>
            <w:vAlign w:val="center"/>
          </w:tcPr>
          <w:p>
            <w:pPr>
              <w:spacing w:line="240" w:lineRule="auto"/>
              <w:ind w:firstLine="0" w:firstLineChars="0"/>
              <w:jc w:val="center"/>
              <w:rPr>
                <w:sz w:val="21"/>
                <w:szCs w:val="21"/>
              </w:rPr>
            </w:pPr>
            <w:r>
              <w:rPr>
                <w:sz w:val="21"/>
                <w:szCs w:val="21"/>
              </w:rPr>
              <w:t>140型</w:t>
            </w:r>
          </w:p>
        </w:tc>
        <w:tc>
          <w:tcPr>
            <w:tcW w:w="1077" w:type="pct"/>
            <w:vAlign w:val="center"/>
          </w:tcPr>
          <w:p>
            <w:pPr>
              <w:spacing w:line="240" w:lineRule="auto"/>
              <w:ind w:firstLine="0" w:firstLineChars="0"/>
              <w:jc w:val="center"/>
              <w:rPr>
                <w:sz w:val="21"/>
                <w:szCs w:val="21"/>
              </w:rPr>
            </w:pPr>
            <w:r>
              <w:rPr>
                <w:sz w:val="21"/>
                <w:szCs w:val="21"/>
              </w:rPr>
              <w:t>破碎锤钢钎直径140mm，处理能力约为80-100m</w:t>
            </w:r>
            <w:r>
              <w:rPr>
                <w:sz w:val="21"/>
                <w:szCs w:val="21"/>
                <w:vertAlign w:val="superscript"/>
              </w:rPr>
              <w:t>3</w:t>
            </w:r>
            <w:r>
              <w:rPr>
                <w:sz w:val="21"/>
                <w:szCs w:val="21"/>
              </w:rPr>
              <w:t>/h</w:t>
            </w:r>
          </w:p>
        </w:tc>
        <w:tc>
          <w:tcPr>
            <w:tcW w:w="445" w:type="pct"/>
            <w:vAlign w:val="center"/>
          </w:tcPr>
          <w:p>
            <w:pPr>
              <w:spacing w:line="240" w:lineRule="auto"/>
              <w:ind w:firstLine="0" w:firstLineChars="0"/>
              <w:jc w:val="center"/>
              <w:rPr>
                <w:sz w:val="21"/>
                <w:szCs w:val="21"/>
              </w:rPr>
            </w:pPr>
            <w:r>
              <w:rPr>
                <w:sz w:val="21"/>
                <w:szCs w:val="21"/>
              </w:rPr>
              <w:t>1</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液压潜孔钻机</w:t>
            </w:r>
          </w:p>
        </w:tc>
        <w:tc>
          <w:tcPr>
            <w:tcW w:w="738" w:type="pct"/>
            <w:vAlign w:val="center"/>
          </w:tcPr>
          <w:p>
            <w:pPr>
              <w:spacing w:line="240" w:lineRule="auto"/>
              <w:ind w:firstLine="0" w:firstLineChars="0"/>
              <w:jc w:val="center"/>
              <w:rPr>
                <w:sz w:val="21"/>
                <w:szCs w:val="21"/>
              </w:rPr>
            </w:pPr>
            <w:r>
              <w:rPr>
                <w:sz w:val="21"/>
                <w:szCs w:val="21"/>
              </w:rPr>
              <w:t>志高321</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雾炮机</w:t>
            </w:r>
          </w:p>
        </w:tc>
        <w:tc>
          <w:tcPr>
            <w:tcW w:w="738" w:type="pct"/>
            <w:vAlign w:val="center"/>
          </w:tcPr>
          <w:p>
            <w:pPr>
              <w:spacing w:line="240" w:lineRule="auto"/>
              <w:ind w:firstLine="0" w:firstLineChars="0"/>
              <w:jc w:val="center"/>
              <w:rPr>
                <w:sz w:val="21"/>
                <w:szCs w:val="21"/>
              </w:rPr>
            </w:pPr>
            <w:r>
              <w:rPr>
                <w:sz w:val="21"/>
                <w:szCs w:val="21"/>
              </w:rPr>
              <w:t>/</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Merge w:val="restart"/>
            <w:vAlign w:val="center"/>
          </w:tcPr>
          <w:p>
            <w:pPr>
              <w:spacing w:line="240" w:lineRule="auto"/>
              <w:ind w:firstLine="0" w:firstLineChars="0"/>
              <w:jc w:val="center"/>
              <w:rPr>
                <w:sz w:val="21"/>
                <w:szCs w:val="21"/>
              </w:rPr>
            </w:pPr>
            <w:r>
              <w:rPr>
                <w:sz w:val="21"/>
                <w:szCs w:val="21"/>
              </w:rPr>
              <w:t>降尘</w:t>
            </w: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洒水车</w:t>
            </w:r>
          </w:p>
        </w:tc>
        <w:tc>
          <w:tcPr>
            <w:tcW w:w="738" w:type="pct"/>
            <w:vAlign w:val="center"/>
          </w:tcPr>
          <w:p>
            <w:pPr>
              <w:spacing w:line="240" w:lineRule="auto"/>
              <w:ind w:firstLine="0" w:firstLineChars="0"/>
              <w:jc w:val="center"/>
              <w:rPr>
                <w:sz w:val="21"/>
                <w:szCs w:val="21"/>
              </w:rPr>
            </w:pPr>
            <w:r>
              <w:rPr>
                <w:sz w:val="21"/>
                <w:szCs w:val="21"/>
              </w:rPr>
              <w:t>/</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1</w:t>
            </w:r>
          </w:p>
        </w:tc>
        <w:tc>
          <w:tcPr>
            <w:tcW w:w="711" w:type="pct"/>
            <w:vMerge w:val="continue"/>
            <w:vAlign w:val="center"/>
          </w:tcPr>
          <w:p>
            <w:pPr>
              <w:spacing w:line="240" w:lineRule="auto"/>
              <w:ind w:firstLine="0" w:firstLineChars="0"/>
              <w:jc w:val="center"/>
              <w:rPr>
                <w:sz w:val="21"/>
                <w:szCs w:val="21"/>
              </w:rPr>
            </w:pPr>
          </w:p>
        </w:tc>
        <w:tc>
          <w:tcPr>
            <w:tcW w:w="480" w:type="pct"/>
            <w:vAlign w:val="center"/>
          </w:tcPr>
          <w:p>
            <w:pPr>
              <w:spacing w:line="240" w:lineRule="auto"/>
              <w:ind w:firstLine="0" w:firstLineChars="0"/>
              <w:jc w:val="center"/>
              <w:rPr>
                <w:sz w:val="21"/>
                <w:szCs w:val="21"/>
              </w:rPr>
            </w:pPr>
            <w:r>
              <w:rPr>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restart"/>
            <w:vAlign w:val="center"/>
          </w:tcPr>
          <w:p>
            <w:pPr>
              <w:spacing w:line="240" w:lineRule="auto"/>
              <w:ind w:firstLine="0" w:firstLineChars="0"/>
              <w:jc w:val="center"/>
              <w:rPr>
                <w:sz w:val="21"/>
                <w:szCs w:val="21"/>
              </w:rPr>
            </w:pPr>
            <w:r>
              <w:rPr>
                <w:sz w:val="21"/>
                <w:szCs w:val="21"/>
              </w:rPr>
              <w:t>工业场地</w:t>
            </w:r>
          </w:p>
        </w:tc>
        <w:tc>
          <w:tcPr>
            <w:tcW w:w="635" w:type="pct"/>
            <w:vAlign w:val="center"/>
          </w:tcPr>
          <w:p>
            <w:pPr>
              <w:spacing w:line="240" w:lineRule="auto"/>
              <w:ind w:firstLine="0" w:firstLineChars="0"/>
              <w:jc w:val="center"/>
              <w:rPr>
                <w:sz w:val="21"/>
                <w:szCs w:val="21"/>
              </w:rPr>
            </w:pPr>
            <w:r>
              <w:rPr>
                <w:sz w:val="21"/>
                <w:szCs w:val="21"/>
              </w:rPr>
              <w:t>颚式破碎机</w:t>
            </w:r>
          </w:p>
        </w:tc>
        <w:tc>
          <w:tcPr>
            <w:tcW w:w="738" w:type="pct"/>
            <w:vAlign w:val="center"/>
          </w:tcPr>
          <w:p>
            <w:pPr>
              <w:spacing w:line="240" w:lineRule="auto"/>
              <w:ind w:firstLine="0" w:firstLineChars="0"/>
              <w:jc w:val="center"/>
              <w:rPr>
                <w:sz w:val="21"/>
                <w:szCs w:val="21"/>
              </w:rPr>
            </w:pPr>
            <w:r>
              <w:rPr>
                <w:sz w:val="21"/>
                <w:szCs w:val="21"/>
              </w:rPr>
              <w:t>PE1000*1200</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Align w:val="center"/>
          </w:tcPr>
          <w:p>
            <w:pPr>
              <w:spacing w:line="240" w:lineRule="auto"/>
              <w:ind w:firstLine="0" w:firstLineChars="0"/>
              <w:jc w:val="center"/>
              <w:rPr>
                <w:sz w:val="21"/>
                <w:szCs w:val="21"/>
              </w:rPr>
            </w:pPr>
            <w:r>
              <w:rPr>
                <w:sz w:val="21"/>
                <w:szCs w:val="21"/>
              </w:rPr>
              <w:t>一级破碎（颚破）</w:t>
            </w:r>
          </w:p>
        </w:tc>
        <w:tc>
          <w:tcPr>
            <w:tcW w:w="480" w:type="pct"/>
            <w:vAlign w:val="center"/>
          </w:tcPr>
          <w:p>
            <w:pPr>
              <w:spacing w:line="240" w:lineRule="auto"/>
              <w:ind w:firstLine="0" w:firstLineChars="0"/>
              <w:jc w:val="center"/>
              <w:rPr>
                <w:sz w:val="21"/>
                <w:szCs w:val="21"/>
              </w:rPr>
            </w:pPr>
            <w:r>
              <w:rPr>
                <w:sz w:val="21"/>
                <w:szCs w:val="21"/>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反击式破碎机</w:t>
            </w:r>
          </w:p>
        </w:tc>
        <w:tc>
          <w:tcPr>
            <w:tcW w:w="738" w:type="pct"/>
            <w:vAlign w:val="center"/>
          </w:tcPr>
          <w:p>
            <w:pPr>
              <w:spacing w:line="240" w:lineRule="auto"/>
              <w:ind w:firstLine="0" w:firstLineChars="0"/>
              <w:jc w:val="center"/>
              <w:rPr>
                <w:sz w:val="21"/>
                <w:szCs w:val="21"/>
              </w:rPr>
            </w:pPr>
            <w:r>
              <w:rPr>
                <w:sz w:val="21"/>
                <w:szCs w:val="21"/>
              </w:rPr>
              <w:t>PFY1515</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Align w:val="center"/>
          </w:tcPr>
          <w:p>
            <w:pPr>
              <w:spacing w:line="240" w:lineRule="auto"/>
              <w:ind w:firstLine="0" w:firstLineChars="0"/>
              <w:jc w:val="center"/>
              <w:rPr>
                <w:sz w:val="21"/>
                <w:szCs w:val="21"/>
              </w:rPr>
            </w:pPr>
            <w:r>
              <w:rPr>
                <w:sz w:val="21"/>
                <w:szCs w:val="21"/>
              </w:rPr>
              <w:t>二级破碎（反击破）</w:t>
            </w:r>
          </w:p>
        </w:tc>
        <w:tc>
          <w:tcPr>
            <w:tcW w:w="480" w:type="pct"/>
            <w:vAlign w:val="center"/>
          </w:tcPr>
          <w:p>
            <w:pPr>
              <w:spacing w:line="240" w:lineRule="auto"/>
              <w:ind w:firstLine="0" w:firstLineChars="0"/>
              <w:jc w:val="center"/>
              <w:rPr>
                <w:sz w:val="21"/>
                <w:szCs w:val="21"/>
              </w:rPr>
            </w:pPr>
            <w:r>
              <w:rPr>
                <w:sz w:val="21"/>
                <w:szCs w:val="21"/>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筛分机</w:t>
            </w:r>
          </w:p>
        </w:tc>
        <w:tc>
          <w:tcPr>
            <w:tcW w:w="738" w:type="pct"/>
            <w:vAlign w:val="center"/>
          </w:tcPr>
          <w:p>
            <w:pPr>
              <w:spacing w:line="240" w:lineRule="auto"/>
              <w:ind w:firstLine="0" w:firstLineChars="0"/>
              <w:jc w:val="center"/>
              <w:rPr>
                <w:sz w:val="21"/>
                <w:szCs w:val="21"/>
              </w:rPr>
            </w:pPr>
            <w:r>
              <w:rPr>
                <w:sz w:val="21"/>
                <w:szCs w:val="21"/>
              </w:rPr>
              <w:t>/</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Align w:val="center"/>
          </w:tcPr>
          <w:p>
            <w:pPr>
              <w:spacing w:line="240" w:lineRule="auto"/>
              <w:ind w:firstLine="0" w:firstLineChars="0"/>
              <w:jc w:val="center"/>
              <w:rPr>
                <w:sz w:val="21"/>
                <w:szCs w:val="21"/>
              </w:rPr>
            </w:pPr>
            <w:r>
              <w:rPr>
                <w:sz w:val="21"/>
                <w:szCs w:val="21"/>
              </w:rPr>
              <w:t>筛分</w:t>
            </w:r>
          </w:p>
        </w:tc>
        <w:tc>
          <w:tcPr>
            <w:tcW w:w="480" w:type="pct"/>
            <w:vAlign w:val="center"/>
          </w:tcPr>
          <w:p>
            <w:pPr>
              <w:spacing w:line="240" w:lineRule="auto"/>
              <w:ind w:firstLine="0" w:firstLineChars="0"/>
              <w:jc w:val="center"/>
              <w:rPr>
                <w:sz w:val="21"/>
                <w:szCs w:val="21"/>
              </w:rPr>
            </w:pPr>
            <w:r>
              <w:rPr>
                <w:sz w:val="21"/>
                <w:szCs w:val="21"/>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皮带输送机</w:t>
            </w:r>
          </w:p>
        </w:tc>
        <w:tc>
          <w:tcPr>
            <w:tcW w:w="738" w:type="pct"/>
            <w:vAlign w:val="center"/>
          </w:tcPr>
          <w:p>
            <w:pPr>
              <w:spacing w:line="240" w:lineRule="auto"/>
              <w:ind w:firstLine="0" w:firstLineChars="0"/>
              <w:jc w:val="center"/>
              <w:rPr>
                <w:sz w:val="21"/>
                <w:szCs w:val="21"/>
              </w:rPr>
            </w:pPr>
            <w:r>
              <w:rPr>
                <w:sz w:val="21"/>
                <w:szCs w:val="21"/>
              </w:rPr>
              <w:t>/</w:t>
            </w:r>
          </w:p>
        </w:tc>
        <w:tc>
          <w:tcPr>
            <w:tcW w:w="1077" w:type="pct"/>
            <w:vAlign w:val="center"/>
          </w:tcPr>
          <w:p>
            <w:pPr>
              <w:spacing w:line="240" w:lineRule="auto"/>
              <w:ind w:firstLine="0" w:firstLineChars="0"/>
              <w:jc w:val="center"/>
              <w:rPr>
                <w:sz w:val="21"/>
                <w:szCs w:val="21"/>
              </w:rPr>
            </w:pPr>
            <w:r>
              <w:rPr>
                <w:sz w:val="21"/>
                <w:szCs w:val="21"/>
              </w:rPr>
              <w:t>/</w:t>
            </w:r>
          </w:p>
        </w:tc>
        <w:tc>
          <w:tcPr>
            <w:tcW w:w="445" w:type="pct"/>
            <w:vAlign w:val="center"/>
          </w:tcPr>
          <w:p>
            <w:pPr>
              <w:spacing w:line="240" w:lineRule="auto"/>
              <w:ind w:firstLine="0" w:firstLineChars="0"/>
              <w:jc w:val="center"/>
              <w:rPr>
                <w:sz w:val="21"/>
                <w:szCs w:val="21"/>
              </w:rPr>
            </w:pPr>
            <w:r>
              <w:rPr>
                <w:sz w:val="21"/>
                <w:szCs w:val="21"/>
              </w:rPr>
              <w:t>2</w:t>
            </w:r>
          </w:p>
        </w:tc>
        <w:tc>
          <w:tcPr>
            <w:tcW w:w="711" w:type="pct"/>
            <w:vAlign w:val="center"/>
          </w:tcPr>
          <w:p>
            <w:pPr>
              <w:spacing w:line="240" w:lineRule="auto"/>
              <w:ind w:firstLine="0" w:firstLineChars="0"/>
              <w:jc w:val="center"/>
              <w:rPr>
                <w:sz w:val="21"/>
                <w:szCs w:val="21"/>
              </w:rPr>
            </w:pPr>
            <w:r>
              <w:rPr>
                <w:sz w:val="21"/>
                <w:szCs w:val="21"/>
              </w:rPr>
              <w:t>传输</w:t>
            </w:r>
          </w:p>
        </w:tc>
        <w:tc>
          <w:tcPr>
            <w:tcW w:w="480" w:type="pct"/>
            <w:vAlign w:val="center"/>
          </w:tcPr>
          <w:p>
            <w:pPr>
              <w:spacing w:line="240" w:lineRule="auto"/>
              <w:ind w:firstLine="0" w:firstLineChars="0"/>
              <w:jc w:val="center"/>
              <w:rPr>
                <w:sz w:val="21"/>
                <w:szCs w:val="21"/>
              </w:rPr>
            </w:pPr>
            <w:r>
              <w:rPr>
                <w:sz w:val="21"/>
                <w:szCs w:val="21"/>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3" w:type="pct"/>
            <w:vAlign w:val="center"/>
          </w:tcPr>
          <w:p>
            <w:pPr>
              <w:widowControl/>
              <w:numPr>
                <w:ilvl w:val="0"/>
                <w:numId w:val="23"/>
              </w:numPr>
              <w:tabs>
                <w:tab w:val="left" w:pos="360"/>
                <w:tab w:val="left" w:pos="540"/>
                <w:tab w:val="left" w:pos="720"/>
              </w:tabs>
              <w:spacing w:line="240" w:lineRule="auto"/>
              <w:ind w:left="0" w:firstLine="0" w:firstLineChars="0"/>
              <w:jc w:val="center"/>
              <w:rPr>
                <w:sz w:val="21"/>
                <w:szCs w:val="21"/>
              </w:rPr>
            </w:pPr>
          </w:p>
        </w:tc>
        <w:tc>
          <w:tcPr>
            <w:tcW w:w="561" w:type="pct"/>
            <w:vMerge w:val="continue"/>
            <w:vAlign w:val="center"/>
          </w:tcPr>
          <w:p>
            <w:pPr>
              <w:spacing w:line="240" w:lineRule="auto"/>
              <w:ind w:firstLine="0" w:firstLineChars="0"/>
              <w:jc w:val="center"/>
              <w:rPr>
                <w:sz w:val="21"/>
                <w:szCs w:val="21"/>
              </w:rPr>
            </w:pPr>
          </w:p>
        </w:tc>
        <w:tc>
          <w:tcPr>
            <w:tcW w:w="635" w:type="pct"/>
            <w:vAlign w:val="center"/>
          </w:tcPr>
          <w:p>
            <w:pPr>
              <w:spacing w:line="240" w:lineRule="auto"/>
              <w:ind w:firstLine="0" w:firstLineChars="0"/>
              <w:jc w:val="center"/>
              <w:rPr>
                <w:sz w:val="21"/>
                <w:szCs w:val="21"/>
              </w:rPr>
            </w:pPr>
            <w:r>
              <w:rPr>
                <w:sz w:val="21"/>
                <w:szCs w:val="21"/>
              </w:rPr>
              <w:t>布袋除尘器</w:t>
            </w:r>
          </w:p>
        </w:tc>
        <w:tc>
          <w:tcPr>
            <w:tcW w:w="738" w:type="pct"/>
            <w:vAlign w:val="center"/>
          </w:tcPr>
          <w:p>
            <w:pPr>
              <w:spacing w:line="240" w:lineRule="auto"/>
              <w:ind w:firstLine="0" w:firstLineChars="0"/>
              <w:jc w:val="center"/>
              <w:rPr>
                <w:sz w:val="21"/>
                <w:szCs w:val="21"/>
              </w:rPr>
            </w:pPr>
            <w:r>
              <w:rPr>
                <w:sz w:val="21"/>
                <w:szCs w:val="21"/>
              </w:rPr>
              <w:t>/</w:t>
            </w:r>
          </w:p>
        </w:tc>
        <w:tc>
          <w:tcPr>
            <w:tcW w:w="1077" w:type="pct"/>
            <w:vAlign w:val="center"/>
          </w:tcPr>
          <w:p>
            <w:pPr>
              <w:spacing w:line="240" w:lineRule="auto"/>
              <w:ind w:firstLine="0" w:firstLineChars="0"/>
              <w:jc w:val="center"/>
              <w:rPr>
                <w:sz w:val="21"/>
                <w:szCs w:val="21"/>
              </w:rPr>
            </w:pPr>
            <w:r>
              <w:rPr>
                <w:sz w:val="21"/>
                <w:szCs w:val="21"/>
              </w:rPr>
              <w:t>1#：5000m</w:t>
            </w:r>
            <w:r>
              <w:rPr>
                <w:sz w:val="21"/>
                <w:szCs w:val="21"/>
                <w:vertAlign w:val="superscript"/>
              </w:rPr>
              <w:t>3</w:t>
            </w:r>
            <w:r>
              <w:rPr>
                <w:sz w:val="21"/>
                <w:szCs w:val="21"/>
              </w:rPr>
              <w:t>/h，2#：5000m</w:t>
            </w:r>
            <w:r>
              <w:rPr>
                <w:sz w:val="21"/>
                <w:szCs w:val="21"/>
                <w:vertAlign w:val="superscript"/>
              </w:rPr>
              <w:t>3</w:t>
            </w:r>
            <w:r>
              <w:rPr>
                <w:sz w:val="21"/>
                <w:szCs w:val="21"/>
              </w:rPr>
              <w:t>/h，</w:t>
            </w:r>
          </w:p>
          <w:p>
            <w:pPr>
              <w:spacing w:line="240" w:lineRule="auto"/>
              <w:ind w:firstLine="0" w:firstLineChars="0"/>
              <w:jc w:val="center"/>
              <w:rPr>
                <w:sz w:val="21"/>
                <w:szCs w:val="21"/>
              </w:rPr>
            </w:pPr>
            <w:r>
              <w:rPr>
                <w:sz w:val="21"/>
                <w:szCs w:val="21"/>
              </w:rPr>
              <w:t>3#：25000m</w:t>
            </w:r>
            <w:r>
              <w:rPr>
                <w:sz w:val="21"/>
                <w:szCs w:val="21"/>
                <w:vertAlign w:val="superscript"/>
              </w:rPr>
              <w:t>3</w:t>
            </w:r>
            <w:r>
              <w:rPr>
                <w:sz w:val="21"/>
                <w:szCs w:val="21"/>
              </w:rPr>
              <w:t>/h，</w:t>
            </w:r>
          </w:p>
        </w:tc>
        <w:tc>
          <w:tcPr>
            <w:tcW w:w="445" w:type="pct"/>
            <w:vAlign w:val="center"/>
          </w:tcPr>
          <w:p>
            <w:pPr>
              <w:spacing w:line="240" w:lineRule="auto"/>
              <w:ind w:firstLine="0" w:firstLineChars="0"/>
              <w:jc w:val="center"/>
              <w:rPr>
                <w:sz w:val="21"/>
                <w:szCs w:val="21"/>
              </w:rPr>
            </w:pPr>
            <w:r>
              <w:rPr>
                <w:sz w:val="21"/>
                <w:szCs w:val="21"/>
              </w:rPr>
              <w:t>3</w:t>
            </w:r>
          </w:p>
        </w:tc>
        <w:tc>
          <w:tcPr>
            <w:tcW w:w="711" w:type="pct"/>
            <w:vAlign w:val="center"/>
          </w:tcPr>
          <w:p>
            <w:pPr>
              <w:spacing w:line="240" w:lineRule="auto"/>
              <w:ind w:firstLine="0" w:firstLineChars="0"/>
              <w:jc w:val="center"/>
              <w:rPr>
                <w:sz w:val="21"/>
                <w:szCs w:val="21"/>
              </w:rPr>
            </w:pPr>
            <w:r>
              <w:rPr>
                <w:sz w:val="21"/>
                <w:szCs w:val="21"/>
              </w:rPr>
              <w:t>除尘</w:t>
            </w:r>
          </w:p>
        </w:tc>
        <w:tc>
          <w:tcPr>
            <w:tcW w:w="480" w:type="pct"/>
            <w:vAlign w:val="center"/>
          </w:tcPr>
          <w:p>
            <w:pPr>
              <w:spacing w:line="240" w:lineRule="auto"/>
              <w:ind w:firstLine="0" w:firstLineChars="0"/>
              <w:jc w:val="center"/>
              <w:rPr>
                <w:sz w:val="21"/>
                <w:szCs w:val="21"/>
              </w:rPr>
            </w:pPr>
            <w:r>
              <w:rPr>
                <w:sz w:val="21"/>
                <w:szCs w:val="21"/>
              </w:rPr>
              <w:t>利旧</w:t>
            </w:r>
          </w:p>
        </w:tc>
      </w:tr>
    </w:tbl>
    <w:p>
      <w:pPr>
        <w:pStyle w:val="5"/>
        <w:rPr>
          <w:color w:val="auto"/>
        </w:rPr>
      </w:pPr>
      <w:r>
        <w:rPr>
          <w:color w:val="auto"/>
        </w:rPr>
        <w:t>3.1.6依托可行性分析</w:t>
      </w:r>
    </w:p>
    <w:p>
      <w:pPr>
        <w:ind w:firstLine="480"/>
        <w:rPr>
          <w:sz w:val="24"/>
          <w:szCs w:val="24"/>
        </w:rPr>
      </w:pPr>
      <w:r>
        <w:rPr>
          <w:sz w:val="24"/>
          <w:szCs w:val="24"/>
        </w:rPr>
        <w:t>重庆市盐井三峡矿业有限公司的工业场地转让给</w:t>
      </w:r>
      <w:r>
        <w:rPr>
          <w:sz w:val="24"/>
          <w:szCs w:val="24"/>
          <w:lang w:bidi="en-US"/>
        </w:rPr>
        <w:t>重庆峰磊矿业有限公司使用</w:t>
      </w:r>
      <w:r>
        <w:rPr>
          <w:sz w:val="24"/>
          <w:szCs w:val="24"/>
        </w:rPr>
        <w:t>，对工业场地内厂房进行简单清理，将存在的环保问题进行整改；加工工艺采用现有设备可满足本项目需求，依托可行性见下表；</w:t>
      </w:r>
    </w:p>
    <w:p>
      <w:pPr>
        <w:pStyle w:val="84"/>
      </w:pPr>
      <w:r>
        <w:t>表3.1-6  依托工程可行性分析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1025"/>
        <w:gridCol w:w="4259"/>
        <w:gridCol w:w="2067"/>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1008" w:type="pct"/>
            <w:gridSpan w:val="2"/>
            <w:shd w:val="clear" w:color="auto" w:fill="D8D8D8" w:themeFill="background1" w:themeFillShade="D9"/>
            <w:vAlign w:val="center"/>
          </w:tcPr>
          <w:p>
            <w:pPr>
              <w:pStyle w:val="45"/>
              <w:rPr>
                <w:rFonts w:ascii="Times New Roman" w:hAnsi="Times New Roman"/>
              </w:rPr>
            </w:pPr>
            <w:r>
              <w:rPr>
                <w:rFonts w:ascii="Times New Roman" w:hAnsi="Times New Roman"/>
              </w:rPr>
              <w:t>依托工程</w:t>
            </w:r>
          </w:p>
        </w:tc>
        <w:tc>
          <w:tcPr>
            <w:tcW w:w="2380" w:type="pct"/>
            <w:shd w:val="clear" w:color="auto" w:fill="D8D8D8" w:themeFill="background1" w:themeFillShade="D9"/>
            <w:vAlign w:val="center"/>
          </w:tcPr>
          <w:p>
            <w:pPr>
              <w:pStyle w:val="45"/>
              <w:rPr>
                <w:rFonts w:ascii="Times New Roman" w:hAnsi="Times New Roman"/>
              </w:rPr>
            </w:pPr>
            <w:r>
              <w:rPr>
                <w:rFonts w:ascii="Times New Roman" w:hAnsi="Times New Roman"/>
              </w:rPr>
              <w:t>现状介绍</w:t>
            </w:r>
          </w:p>
        </w:tc>
        <w:tc>
          <w:tcPr>
            <w:tcW w:w="1155" w:type="pct"/>
            <w:shd w:val="clear" w:color="auto" w:fill="D8D8D8" w:themeFill="background1" w:themeFillShade="D9"/>
            <w:vAlign w:val="center"/>
          </w:tcPr>
          <w:p>
            <w:pPr>
              <w:pStyle w:val="45"/>
              <w:rPr>
                <w:rFonts w:ascii="Times New Roman" w:hAnsi="Times New Roman"/>
              </w:rPr>
            </w:pPr>
            <w:r>
              <w:rPr>
                <w:rFonts w:ascii="Times New Roman" w:hAnsi="Times New Roman"/>
              </w:rPr>
              <w:t>可行性分析</w:t>
            </w:r>
          </w:p>
        </w:tc>
        <w:tc>
          <w:tcPr>
            <w:tcW w:w="457" w:type="pct"/>
            <w:shd w:val="clear" w:color="auto" w:fill="D8D8D8" w:themeFill="background1" w:themeFillShade="D9"/>
            <w:vAlign w:val="center"/>
          </w:tcPr>
          <w:p>
            <w:pPr>
              <w:pStyle w:val="45"/>
              <w:rPr>
                <w:rFonts w:ascii="Times New Roman" w:hAnsi="Times New Roman"/>
              </w:rPr>
            </w:pPr>
            <w:r>
              <w:rPr>
                <w:rFonts w:ascii="Times New Roman" w:hAnsi="Times New Roman"/>
              </w:rPr>
              <w:t>是否可行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4" w:hRule="atLeast"/>
          <w:jc w:val="center"/>
        </w:trPr>
        <w:tc>
          <w:tcPr>
            <w:tcW w:w="435" w:type="pct"/>
            <w:vAlign w:val="center"/>
          </w:tcPr>
          <w:p>
            <w:pPr>
              <w:pStyle w:val="45"/>
              <w:rPr>
                <w:rFonts w:ascii="Times New Roman" w:hAnsi="Times New Roman"/>
              </w:rPr>
            </w:pPr>
            <w:r>
              <w:rPr>
                <w:rFonts w:ascii="Times New Roman" w:hAnsi="Times New Roman"/>
              </w:rPr>
              <w:t>主体工程</w:t>
            </w:r>
          </w:p>
        </w:tc>
        <w:tc>
          <w:tcPr>
            <w:tcW w:w="573" w:type="pct"/>
            <w:vAlign w:val="center"/>
          </w:tcPr>
          <w:p>
            <w:pPr>
              <w:pStyle w:val="45"/>
              <w:rPr>
                <w:rFonts w:ascii="Times New Roman" w:hAnsi="Times New Roman"/>
              </w:rPr>
            </w:pPr>
            <w:r>
              <w:rPr>
                <w:rFonts w:ascii="Times New Roman" w:hAnsi="Times New Roman"/>
              </w:rPr>
              <w:t>工业场地</w:t>
            </w:r>
          </w:p>
        </w:tc>
        <w:tc>
          <w:tcPr>
            <w:tcW w:w="2380" w:type="pct"/>
            <w:vAlign w:val="center"/>
          </w:tcPr>
          <w:p>
            <w:pPr>
              <w:pStyle w:val="45"/>
              <w:rPr>
                <w:rFonts w:ascii="Times New Roman" w:hAnsi="Times New Roman"/>
              </w:rPr>
            </w:pPr>
            <w:r>
              <w:rPr>
                <w:rFonts w:ascii="Times New Roman" w:hAnsi="Times New Roman"/>
              </w:rPr>
              <w:t>位于开采区东北方向约1km处，面积为0.018km</w:t>
            </w:r>
            <w:r>
              <w:rPr>
                <w:rFonts w:ascii="Times New Roman" w:hAnsi="Times New Roman"/>
                <w:vertAlign w:val="superscript"/>
              </w:rPr>
              <w:t>2</w:t>
            </w:r>
            <w:r>
              <w:rPr>
                <w:rFonts w:ascii="Times New Roman" w:hAnsi="Times New Roman"/>
              </w:rPr>
              <w:t>，设置密闭厂房，建设两条破碎筛分生产线，现有生产能力为70万吨/年，设置有颚破机、反击式破碎机、筛分机以及物料传输皮带。</w:t>
            </w:r>
          </w:p>
        </w:tc>
        <w:tc>
          <w:tcPr>
            <w:tcW w:w="1155" w:type="pct"/>
            <w:vAlign w:val="center"/>
          </w:tcPr>
          <w:p>
            <w:pPr>
              <w:pStyle w:val="45"/>
              <w:rPr>
                <w:rFonts w:ascii="Times New Roman" w:hAnsi="Times New Roman"/>
              </w:rPr>
            </w:pPr>
            <w:r>
              <w:rPr>
                <w:rFonts w:ascii="Times New Roman" w:hAnsi="Times New Roman"/>
              </w:rPr>
              <w:t>本项目将70万吨/年进行破碎加工，30万吨/年外运销售，现有设备生产能力保持不变</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restart"/>
            <w:vAlign w:val="center"/>
          </w:tcPr>
          <w:p>
            <w:pPr>
              <w:pStyle w:val="45"/>
              <w:rPr>
                <w:rFonts w:ascii="Times New Roman" w:hAnsi="Times New Roman"/>
              </w:rPr>
            </w:pPr>
            <w:r>
              <w:rPr>
                <w:rFonts w:ascii="Times New Roman" w:hAnsi="Times New Roman"/>
              </w:rPr>
              <w:t>辅助工程</w:t>
            </w:r>
          </w:p>
        </w:tc>
        <w:tc>
          <w:tcPr>
            <w:tcW w:w="573" w:type="pct"/>
            <w:vAlign w:val="center"/>
          </w:tcPr>
          <w:p>
            <w:pPr>
              <w:spacing w:line="240" w:lineRule="auto"/>
              <w:ind w:firstLine="0" w:firstLineChars="0"/>
              <w:jc w:val="center"/>
              <w:rPr>
                <w:sz w:val="21"/>
              </w:rPr>
            </w:pPr>
            <w:r>
              <w:rPr>
                <w:sz w:val="21"/>
              </w:rPr>
              <w:t>办公室</w:t>
            </w:r>
          </w:p>
        </w:tc>
        <w:tc>
          <w:tcPr>
            <w:tcW w:w="2380" w:type="pct"/>
            <w:vAlign w:val="center"/>
          </w:tcPr>
          <w:p>
            <w:pPr>
              <w:pStyle w:val="45"/>
              <w:rPr>
                <w:rFonts w:ascii="Times New Roman" w:hAnsi="Times New Roman"/>
              </w:rPr>
            </w:pPr>
            <w:r>
              <w:rPr>
                <w:rFonts w:ascii="Times New Roman" w:hAnsi="Times New Roman"/>
              </w:rPr>
              <w:t>工业场地设置1处办公室，位于工业场地北侧，采用砖混结构，建筑面积为200m</w:t>
            </w:r>
            <w:r>
              <w:rPr>
                <w:rFonts w:ascii="Times New Roman" w:hAnsi="Times New Roman"/>
                <w:vertAlign w:val="superscript"/>
              </w:rPr>
              <w:t>2</w:t>
            </w:r>
            <w:r>
              <w:rPr>
                <w:rFonts w:ascii="Times New Roman" w:hAnsi="Times New Roman"/>
              </w:rPr>
              <w:t>。</w:t>
            </w:r>
          </w:p>
        </w:tc>
        <w:tc>
          <w:tcPr>
            <w:tcW w:w="1155" w:type="pct"/>
            <w:vAlign w:val="center"/>
          </w:tcPr>
          <w:p>
            <w:pPr>
              <w:pStyle w:val="45"/>
              <w:rPr>
                <w:rFonts w:ascii="Times New Roman" w:hAnsi="Times New Roman"/>
              </w:rPr>
            </w:pPr>
            <w:r>
              <w:rPr>
                <w:rFonts w:ascii="Times New Roman" w:hAnsi="Times New Roman"/>
              </w:rPr>
              <w:t>设施完整，办公人员不增加，现有办公场地满足要求。</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门卫室</w:t>
            </w:r>
          </w:p>
        </w:tc>
        <w:tc>
          <w:tcPr>
            <w:tcW w:w="2380" w:type="pct"/>
            <w:vAlign w:val="center"/>
          </w:tcPr>
          <w:p>
            <w:pPr>
              <w:pStyle w:val="45"/>
              <w:rPr>
                <w:rFonts w:ascii="Times New Roman" w:hAnsi="Times New Roman"/>
              </w:rPr>
            </w:pPr>
            <w:r>
              <w:rPr>
                <w:rFonts w:ascii="Times New Roman" w:hAnsi="Times New Roman"/>
              </w:rPr>
              <w:t>工业场地各设置1间，位于工业场地进出口，建筑面积分别为50m</w:t>
            </w:r>
            <w:r>
              <w:rPr>
                <w:rFonts w:ascii="Times New Roman" w:hAnsi="Times New Roman"/>
                <w:vertAlign w:val="superscript"/>
              </w:rPr>
              <w:t>2</w:t>
            </w:r>
            <w:r>
              <w:rPr>
                <w:rFonts w:ascii="Times New Roman" w:hAnsi="Times New Roman"/>
              </w:rPr>
              <w:t>。</w:t>
            </w:r>
          </w:p>
        </w:tc>
        <w:tc>
          <w:tcPr>
            <w:tcW w:w="1155" w:type="pct"/>
            <w:vAlign w:val="center"/>
          </w:tcPr>
          <w:p>
            <w:pPr>
              <w:pStyle w:val="45"/>
              <w:rPr>
                <w:rFonts w:ascii="Times New Roman" w:hAnsi="Times New Roman"/>
              </w:rPr>
            </w:pPr>
            <w:r>
              <w:rPr>
                <w:rFonts w:ascii="Times New Roman" w:hAnsi="Times New Roman"/>
              </w:rPr>
              <w:t>设施完整</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材料库房</w:t>
            </w:r>
          </w:p>
        </w:tc>
        <w:tc>
          <w:tcPr>
            <w:tcW w:w="2380" w:type="pct"/>
            <w:vAlign w:val="center"/>
          </w:tcPr>
          <w:p>
            <w:pPr>
              <w:pStyle w:val="45"/>
              <w:rPr>
                <w:rFonts w:ascii="Times New Roman" w:hAnsi="Times New Roman"/>
              </w:rPr>
            </w:pPr>
            <w:r>
              <w:rPr>
                <w:rFonts w:ascii="Times New Roman" w:hAnsi="Times New Roman"/>
              </w:rPr>
              <w:t>位于加工区东北侧，共2F，建筑面积45m</w:t>
            </w:r>
            <w:r>
              <w:rPr>
                <w:rFonts w:ascii="Times New Roman" w:hAnsi="Times New Roman"/>
                <w:vertAlign w:val="superscript"/>
              </w:rPr>
              <w:t>2</w:t>
            </w:r>
            <w:r>
              <w:rPr>
                <w:rFonts w:ascii="Times New Roman" w:hAnsi="Times New Roman"/>
              </w:rPr>
              <w:t>，建筑面积90m</w:t>
            </w:r>
            <w:r>
              <w:rPr>
                <w:rFonts w:ascii="Times New Roman" w:hAnsi="Times New Roman"/>
                <w:vertAlign w:val="superscript"/>
              </w:rPr>
              <w:t>2</w:t>
            </w:r>
          </w:p>
        </w:tc>
        <w:tc>
          <w:tcPr>
            <w:tcW w:w="1155" w:type="pct"/>
            <w:vAlign w:val="center"/>
          </w:tcPr>
          <w:p>
            <w:pPr>
              <w:pStyle w:val="45"/>
              <w:rPr>
                <w:rFonts w:ascii="Times New Roman" w:hAnsi="Times New Roman"/>
              </w:rPr>
            </w:pPr>
            <w:r>
              <w:rPr>
                <w:rFonts w:ascii="Times New Roman" w:hAnsi="Times New Roman"/>
              </w:rPr>
              <w:t>设施完整，提高材料的优良性能，增加购买频次，增加周转率。</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配电房</w:t>
            </w:r>
          </w:p>
        </w:tc>
        <w:tc>
          <w:tcPr>
            <w:tcW w:w="2380" w:type="pct"/>
            <w:vAlign w:val="center"/>
          </w:tcPr>
          <w:p>
            <w:pPr>
              <w:pStyle w:val="45"/>
              <w:rPr>
                <w:rFonts w:ascii="Times New Roman" w:hAnsi="Times New Roman"/>
              </w:rPr>
            </w:pPr>
            <w:r>
              <w:rPr>
                <w:rFonts w:ascii="Times New Roman" w:hAnsi="Times New Roman"/>
              </w:rPr>
              <w:t>配套建设配电房1间，位于工业场地西侧，供本项目照明、办公，以及生产使用等。</w:t>
            </w:r>
          </w:p>
        </w:tc>
        <w:tc>
          <w:tcPr>
            <w:tcW w:w="1155" w:type="pct"/>
            <w:vAlign w:val="center"/>
          </w:tcPr>
          <w:p>
            <w:pPr>
              <w:pStyle w:val="45"/>
              <w:rPr>
                <w:rFonts w:ascii="Times New Roman" w:hAnsi="Times New Roman"/>
              </w:rPr>
            </w:pPr>
            <w:r>
              <w:rPr>
                <w:rFonts w:ascii="Times New Roman" w:hAnsi="Times New Roman"/>
              </w:rPr>
              <w:t>现有生产规模不发生变化，所有配电房能满足生产及日常照明使用。</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车辆清洗场</w:t>
            </w:r>
          </w:p>
        </w:tc>
        <w:tc>
          <w:tcPr>
            <w:tcW w:w="2380" w:type="pct"/>
            <w:vAlign w:val="center"/>
          </w:tcPr>
          <w:p>
            <w:pPr>
              <w:pStyle w:val="45"/>
              <w:rPr>
                <w:rFonts w:ascii="Times New Roman" w:hAnsi="Times New Roman"/>
              </w:rPr>
            </w:pPr>
            <w:r>
              <w:rPr>
                <w:rFonts w:ascii="Times New Roman" w:hAnsi="Times New Roman"/>
              </w:rPr>
              <w:t>加工场地密闭厂房外，面积约50m</w:t>
            </w:r>
            <w:r>
              <w:rPr>
                <w:rFonts w:ascii="Times New Roman" w:hAnsi="Times New Roman"/>
                <w:vertAlign w:val="superscript"/>
              </w:rPr>
              <w:t>2</w:t>
            </w:r>
            <w:r>
              <w:rPr>
                <w:rFonts w:ascii="Times New Roman" w:hAnsi="Times New Roman"/>
              </w:rPr>
              <w:t>，主要用于运输车辆及设备的冲洗，配套隔油沉砂池，对废水进行隔油、沉沙处理后，回用于矿区洒水抑尘。</w:t>
            </w:r>
          </w:p>
        </w:tc>
        <w:tc>
          <w:tcPr>
            <w:tcW w:w="1155" w:type="pct"/>
            <w:vAlign w:val="center"/>
          </w:tcPr>
          <w:p>
            <w:pPr>
              <w:pStyle w:val="45"/>
              <w:jc w:val="both"/>
              <w:rPr>
                <w:rFonts w:ascii="Times New Roman" w:hAnsi="Times New Roman"/>
              </w:rPr>
            </w:pPr>
            <w:r>
              <w:rPr>
                <w:rFonts w:ascii="Times New Roman" w:hAnsi="Times New Roman"/>
              </w:rPr>
              <w:t>工业场地生产规模不变，运至工业场地的原矿规模不变，车辆数量不变，因此现有隔油沉砂池能满足项目使用。</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restart"/>
            <w:vAlign w:val="center"/>
          </w:tcPr>
          <w:p>
            <w:pPr>
              <w:pStyle w:val="45"/>
              <w:rPr>
                <w:rFonts w:ascii="Times New Roman" w:hAnsi="Times New Roman"/>
              </w:rPr>
            </w:pPr>
            <w:r>
              <w:rPr>
                <w:rFonts w:ascii="Times New Roman" w:hAnsi="Times New Roman"/>
              </w:rPr>
              <w:t>储运工程</w:t>
            </w:r>
          </w:p>
        </w:tc>
        <w:tc>
          <w:tcPr>
            <w:tcW w:w="573" w:type="pct"/>
            <w:vAlign w:val="center"/>
          </w:tcPr>
          <w:p>
            <w:pPr>
              <w:spacing w:line="240" w:lineRule="auto"/>
              <w:ind w:firstLine="0" w:firstLineChars="0"/>
              <w:jc w:val="center"/>
              <w:rPr>
                <w:sz w:val="21"/>
              </w:rPr>
            </w:pPr>
            <w:r>
              <w:rPr>
                <w:sz w:val="21"/>
              </w:rPr>
              <w:t>产品料仓</w:t>
            </w:r>
          </w:p>
        </w:tc>
        <w:tc>
          <w:tcPr>
            <w:tcW w:w="2380" w:type="pct"/>
            <w:vAlign w:val="center"/>
          </w:tcPr>
          <w:p>
            <w:pPr>
              <w:pStyle w:val="45"/>
              <w:rPr>
                <w:rFonts w:ascii="Times New Roman" w:hAnsi="Times New Roman"/>
              </w:rPr>
            </w:pPr>
            <w:r>
              <w:rPr>
                <w:rFonts w:ascii="Times New Roman" w:hAnsi="Times New Roman"/>
              </w:rPr>
              <w:t>车间内设置2个料仓，一个长方体料仓，容积为30m</w:t>
            </w:r>
            <w:r>
              <w:rPr>
                <w:rFonts w:ascii="Times New Roman" w:hAnsi="Times New Roman"/>
                <w:vertAlign w:val="superscript"/>
              </w:rPr>
              <w:t>3</w:t>
            </w:r>
            <w:r>
              <w:rPr>
                <w:rFonts w:ascii="Times New Roman" w:hAnsi="Times New Roman"/>
              </w:rPr>
              <w:t>，储存筛分后的物料；另一个圆柱形料仓，容积为20m</w:t>
            </w:r>
            <w:r>
              <w:rPr>
                <w:rFonts w:ascii="Times New Roman" w:hAnsi="Times New Roman"/>
                <w:vertAlign w:val="superscript"/>
              </w:rPr>
              <w:t>3</w:t>
            </w:r>
            <w:r>
              <w:rPr>
                <w:rFonts w:ascii="Times New Roman" w:hAnsi="Times New Roman"/>
              </w:rPr>
              <w:t>，储存布袋除尘器收集的粉料。</w:t>
            </w:r>
          </w:p>
        </w:tc>
        <w:tc>
          <w:tcPr>
            <w:tcW w:w="1155" w:type="pct"/>
            <w:vAlign w:val="center"/>
          </w:tcPr>
          <w:p>
            <w:pPr>
              <w:pStyle w:val="45"/>
              <w:rPr>
                <w:rFonts w:ascii="Times New Roman" w:hAnsi="Times New Roman"/>
              </w:rPr>
            </w:pPr>
            <w:r>
              <w:rPr>
                <w:rFonts w:ascii="Times New Roman" w:hAnsi="Times New Roman"/>
              </w:rPr>
              <w:t>产品种类和年产量不变，现有料仓装石粉可行。</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产品堆场</w:t>
            </w:r>
          </w:p>
        </w:tc>
        <w:tc>
          <w:tcPr>
            <w:tcW w:w="2380" w:type="pct"/>
            <w:vAlign w:val="center"/>
          </w:tcPr>
          <w:p>
            <w:pPr>
              <w:pStyle w:val="45"/>
              <w:rPr>
                <w:rFonts w:ascii="Times New Roman" w:hAnsi="Times New Roman"/>
              </w:rPr>
            </w:pPr>
            <w:r>
              <w:rPr>
                <w:rFonts w:ascii="Times New Roman" w:hAnsi="Times New Roman"/>
              </w:rPr>
              <w:t>车间内设置1处堆场，采取封闭式车间，面积约为300m</w:t>
            </w:r>
            <w:r>
              <w:rPr>
                <w:rFonts w:ascii="Times New Roman" w:hAnsi="Times New Roman"/>
                <w:vertAlign w:val="superscript"/>
              </w:rPr>
              <w:t>2</w:t>
            </w:r>
            <w:r>
              <w:rPr>
                <w:rFonts w:ascii="Times New Roman" w:hAnsi="Times New Roman"/>
              </w:rPr>
              <w:t>，用于堆放不同粒径的碎石。</w:t>
            </w:r>
          </w:p>
        </w:tc>
        <w:tc>
          <w:tcPr>
            <w:tcW w:w="1155" w:type="pct"/>
            <w:vAlign w:val="center"/>
          </w:tcPr>
          <w:p>
            <w:pPr>
              <w:pStyle w:val="45"/>
              <w:rPr>
                <w:rFonts w:ascii="Times New Roman" w:hAnsi="Times New Roman"/>
              </w:rPr>
            </w:pPr>
            <w:r>
              <w:rPr>
                <w:rFonts w:ascii="Times New Roman" w:hAnsi="Times New Roman"/>
              </w:rPr>
              <w:t>产品种类和年产量不变，堆放砂石种类和数量相同，周转频次相同或提高，现有设施可满足需求。</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restart"/>
            <w:vAlign w:val="center"/>
          </w:tcPr>
          <w:p>
            <w:pPr>
              <w:pStyle w:val="45"/>
              <w:rPr>
                <w:rFonts w:ascii="Times New Roman" w:hAnsi="Times New Roman"/>
              </w:rPr>
            </w:pPr>
            <w:r>
              <w:rPr>
                <w:rFonts w:ascii="Times New Roman" w:hAnsi="Times New Roman"/>
              </w:rPr>
              <w:t>公用工程</w:t>
            </w:r>
          </w:p>
        </w:tc>
        <w:tc>
          <w:tcPr>
            <w:tcW w:w="573" w:type="pct"/>
            <w:vAlign w:val="center"/>
          </w:tcPr>
          <w:p>
            <w:pPr>
              <w:spacing w:line="240" w:lineRule="auto"/>
              <w:ind w:firstLine="0" w:firstLineChars="0"/>
              <w:jc w:val="center"/>
              <w:rPr>
                <w:sz w:val="21"/>
              </w:rPr>
            </w:pPr>
            <w:r>
              <w:rPr>
                <w:sz w:val="21"/>
              </w:rPr>
              <w:t>供电工程</w:t>
            </w:r>
          </w:p>
        </w:tc>
        <w:tc>
          <w:tcPr>
            <w:tcW w:w="2380" w:type="pct"/>
            <w:vAlign w:val="center"/>
          </w:tcPr>
          <w:p>
            <w:pPr>
              <w:pStyle w:val="45"/>
              <w:rPr>
                <w:rFonts w:ascii="Times New Roman" w:hAnsi="Times New Roman"/>
              </w:rPr>
            </w:pPr>
            <w:r>
              <w:rPr>
                <w:rFonts w:ascii="Times New Roman" w:hAnsi="Times New Roman"/>
              </w:rPr>
              <w:t xml:space="preserve">由市政电网供给，电压等级为10KV； </w:t>
            </w:r>
          </w:p>
        </w:tc>
        <w:tc>
          <w:tcPr>
            <w:tcW w:w="1155" w:type="pct"/>
            <w:vAlign w:val="center"/>
          </w:tcPr>
          <w:p>
            <w:pPr>
              <w:pStyle w:val="45"/>
              <w:rPr>
                <w:rFonts w:ascii="Times New Roman" w:hAnsi="Times New Roman"/>
              </w:rPr>
            </w:pPr>
            <w:r>
              <w:rPr>
                <w:rFonts w:ascii="Times New Roman" w:hAnsi="Times New Roman"/>
              </w:rPr>
              <w:t>生产规模不变，供电设施不变。</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供水工程</w:t>
            </w:r>
          </w:p>
        </w:tc>
        <w:tc>
          <w:tcPr>
            <w:tcW w:w="2380" w:type="pct"/>
            <w:vAlign w:val="center"/>
          </w:tcPr>
          <w:p>
            <w:pPr>
              <w:pStyle w:val="45"/>
              <w:rPr>
                <w:rFonts w:ascii="Times New Roman" w:hAnsi="Times New Roman"/>
              </w:rPr>
            </w:pPr>
            <w:r>
              <w:rPr>
                <w:rFonts w:ascii="Times New Roman" w:hAnsi="Times New Roman"/>
              </w:rPr>
              <w:t>由市政供水管网提供。</w:t>
            </w:r>
          </w:p>
        </w:tc>
        <w:tc>
          <w:tcPr>
            <w:tcW w:w="1155" w:type="pct"/>
            <w:vAlign w:val="center"/>
          </w:tcPr>
          <w:p>
            <w:pPr>
              <w:pStyle w:val="45"/>
              <w:rPr>
                <w:rFonts w:ascii="Times New Roman" w:hAnsi="Times New Roman"/>
              </w:rPr>
            </w:pPr>
            <w:r>
              <w:rPr>
                <w:rFonts w:ascii="Times New Roman" w:hAnsi="Times New Roman"/>
              </w:rPr>
              <w:t>生产规模不变，供水设施不变。</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排水</w:t>
            </w:r>
          </w:p>
        </w:tc>
        <w:tc>
          <w:tcPr>
            <w:tcW w:w="2380" w:type="pct"/>
            <w:vAlign w:val="center"/>
          </w:tcPr>
          <w:p>
            <w:pPr>
              <w:pStyle w:val="45"/>
              <w:rPr>
                <w:rFonts w:ascii="Times New Roman" w:hAnsi="Times New Roman"/>
              </w:rPr>
            </w:pPr>
            <w:r>
              <w:rPr>
                <w:rFonts w:ascii="Times New Roman" w:hAnsi="Times New Roman"/>
              </w:rPr>
              <w:t>生活污水经化粪池处理后用作农肥，不外排。</w:t>
            </w:r>
          </w:p>
        </w:tc>
        <w:tc>
          <w:tcPr>
            <w:tcW w:w="1155" w:type="pct"/>
            <w:vAlign w:val="center"/>
          </w:tcPr>
          <w:p>
            <w:pPr>
              <w:pStyle w:val="45"/>
              <w:rPr>
                <w:rFonts w:ascii="Times New Roman" w:hAnsi="Times New Roman"/>
              </w:rPr>
            </w:pPr>
            <w:r>
              <w:rPr>
                <w:rFonts w:ascii="Times New Roman" w:hAnsi="Times New Roman"/>
              </w:rPr>
              <w:t>生产规模不变，化粪池增加周转频次，可满足需求。</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spacing w:line="240" w:lineRule="auto"/>
              <w:ind w:firstLine="0" w:firstLineChars="0"/>
              <w:jc w:val="center"/>
              <w:rPr>
                <w:sz w:val="21"/>
              </w:rPr>
            </w:pPr>
            <w:r>
              <w:rPr>
                <w:sz w:val="21"/>
              </w:rPr>
              <w:t>设备维护</w:t>
            </w:r>
          </w:p>
        </w:tc>
        <w:tc>
          <w:tcPr>
            <w:tcW w:w="2380" w:type="pct"/>
            <w:vAlign w:val="center"/>
          </w:tcPr>
          <w:p>
            <w:pPr>
              <w:pStyle w:val="45"/>
              <w:rPr>
                <w:rFonts w:ascii="Times New Roman" w:hAnsi="Times New Roman"/>
              </w:rPr>
            </w:pPr>
            <w:r>
              <w:rPr>
                <w:rFonts w:ascii="Times New Roman" w:hAnsi="Times New Roman"/>
              </w:rPr>
              <w:t>机修外协，仅进行设备的日常维护保养。</w:t>
            </w:r>
          </w:p>
        </w:tc>
        <w:tc>
          <w:tcPr>
            <w:tcW w:w="1155" w:type="pct"/>
            <w:vAlign w:val="center"/>
          </w:tcPr>
          <w:p>
            <w:pPr>
              <w:pStyle w:val="45"/>
              <w:rPr>
                <w:rFonts w:ascii="Times New Roman" w:hAnsi="Times New Roman"/>
              </w:rPr>
            </w:pPr>
            <w:r>
              <w:rPr>
                <w:rFonts w:ascii="Times New Roman" w:hAnsi="Times New Roman"/>
              </w:rPr>
              <w:t>不发生变化。</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restart"/>
            <w:vAlign w:val="center"/>
          </w:tcPr>
          <w:p>
            <w:pPr>
              <w:pStyle w:val="45"/>
              <w:rPr>
                <w:rFonts w:ascii="Times New Roman" w:hAnsi="Times New Roman"/>
              </w:rPr>
            </w:pPr>
            <w:r>
              <w:rPr>
                <w:rFonts w:ascii="Times New Roman" w:hAnsi="Times New Roman"/>
              </w:rPr>
              <w:t>环保工程</w:t>
            </w:r>
          </w:p>
        </w:tc>
        <w:tc>
          <w:tcPr>
            <w:tcW w:w="573" w:type="pct"/>
            <w:vMerge w:val="restart"/>
            <w:vAlign w:val="center"/>
          </w:tcPr>
          <w:p>
            <w:pPr>
              <w:spacing w:line="240" w:lineRule="auto"/>
              <w:ind w:firstLine="0" w:firstLineChars="0"/>
              <w:rPr>
                <w:sz w:val="21"/>
              </w:rPr>
            </w:pPr>
            <w:r>
              <w:rPr>
                <w:sz w:val="21"/>
              </w:rPr>
              <w:t>废水处理工程</w:t>
            </w:r>
          </w:p>
        </w:tc>
        <w:tc>
          <w:tcPr>
            <w:tcW w:w="2380" w:type="pct"/>
            <w:vAlign w:val="center"/>
          </w:tcPr>
          <w:p>
            <w:pPr>
              <w:pStyle w:val="45"/>
              <w:rPr>
                <w:rFonts w:ascii="Times New Roman" w:hAnsi="Times New Roman"/>
              </w:rPr>
            </w:pPr>
            <w:r>
              <w:rPr>
                <w:rFonts w:ascii="Times New Roman" w:hAnsi="Times New Roman"/>
              </w:rPr>
              <w:t>工业场地采用利用已建化粪池收集生活污水，1个容积为10m</w:t>
            </w:r>
            <w:r>
              <w:rPr>
                <w:rFonts w:ascii="Times New Roman" w:hAnsi="Times New Roman"/>
                <w:vertAlign w:val="superscript"/>
              </w:rPr>
              <w:t>3</w:t>
            </w:r>
            <w:r>
              <w:rPr>
                <w:rFonts w:ascii="Times New Roman" w:hAnsi="Times New Roman"/>
              </w:rPr>
              <w:t>，作为农肥处置，不外排。</w:t>
            </w:r>
          </w:p>
        </w:tc>
        <w:tc>
          <w:tcPr>
            <w:tcW w:w="1155" w:type="pct"/>
            <w:vAlign w:val="center"/>
          </w:tcPr>
          <w:p>
            <w:pPr>
              <w:pStyle w:val="45"/>
              <w:rPr>
                <w:rFonts w:ascii="Times New Roman" w:hAnsi="Times New Roman"/>
              </w:rPr>
            </w:pPr>
            <w:r>
              <w:rPr>
                <w:rFonts w:ascii="Times New Roman" w:hAnsi="Times New Roman"/>
              </w:rPr>
              <w:t>人员增加，增加周转频次，可满足需求。</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continue"/>
            <w:vAlign w:val="center"/>
          </w:tcPr>
          <w:p>
            <w:pPr>
              <w:pStyle w:val="45"/>
              <w:rPr>
                <w:rFonts w:ascii="Times New Roman" w:hAnsi="Times New Roman"/>
              </w:rPr>
            </w:pPr>
          </w:p>
        </w:tc>
        <w:tc>
          <w:tcPr>
            <w:tcW w:w="573" w:type="pct"/>
            <w:vMerge w:val="continue"/>
            <w:vAlign w:val="center"/>
          </w:tcPr>
          <w:p>
            <w:pPr>
              <w:pStyle w:val="45"/>
              <w:rPr>
                <w:rFonts w:ascii="Times New Roman" w:hAnsi="Times New Roman"/>
              </w:rPr>
            </w:pPr>
          </w:p>
        </w:tc>
        <w:tc>
          <w:tcPr>
            <w:tcW w:w="2380" w:type="pct"/>
            <w:vAlign w:val="center"/>
          </w:tcPr>
          <w:p>
            <w:pPr>
              <w:pStyle w:val="45"/>
              <w:rPr>
                <w:rFonts w:ascii="Times New Roman" w:hAnsi="Times New Roman"/>
              </w:rPr>
            </w:pPr>
            <w:r>
              <w:rPr>
                <w:rFonts w:ascii="Times New Roman" w:hAnsi="Times New Roman"/>
              </w:rPr>
              <w:t>工业场地车辆冲洗区：在工业场地外西侧设置车辆冲洗池，容积为10m</w:t>
            </w:r>
            <w:r>
              <w:rPr>
                <w:rFonts w:ascii="Times New Roman" w:hAnsi="Times New Roman"/>
                <w:vertAlign w:val="superscript"/>
              </w:rPr>
              <w:t>3</w:t>
            </w:r>
            <w:r>
              <w:rPr>
                <w:rFonts w:ascii="Times New Roman" w:hAnsi="Times New Roman"/>
              </w:rPr>
              <w:t>，对装载车辆进行冲洗，产生的清洗废水经沉淀池（20m</w:t>
            </w:r>
            <w:r>
              <w:rPr>
                <w:rFonts w:ascii="Times New Roman" w:hAnsi="Times New Roman"/>
                <w:vertAlign w:val="superscript"/>
              </w:rPr>
              <w:t>3</w:t>
            </w:r>
            <w:r>
              <w:rPr>
                <w:rFonts w:ascii="Times New Roman" w:hAnsi="Times New Roman"/>
              </w:rPr>
              <w:t>）收集后循环利用，不外排。</w:t>
            </w:r>
          </w:p>
        </w:tc>
        <w:tc>
          <w:tcPr>
            <w:tcW w:w="1155" w:type="pct"/>
            <w:vAlign w:val="center"/>
          </w:tcPr>
          <w:p>
            <w:pPr>
              <w:pStyle w:val="45"/>
              <w:rPr>
                <w:rFonts w:ascii="Times New Roman" w:hAnsi="Times New Roman"/>
              </w:rPr>
            </w:pPr>
            <w:r>
              <w:rPr>
                <w:rFonts w:ascii="Times New Roman" w:hAnsi="Times New Roman"/>
              </w:rPr>
              <w:t>工业场地生产规模不变，运至工业场地的原矿规模不变，车辆数量不变，因此现有沉淀池能满足项目使用。</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Merge w:val="continue"/>
            <w:vAlign w:val="center"/>
          </w:tcPr>
          <w:p>
            <w:pPr>
              <w:pStyle w:val="45"/>
              <w:rPr>
                <w:rFonts w:ascii="Times New Roman" w:hAnsi="Times New Roman"/>
              </w:rPr>
            </w:pPr>
          </w:p>
        </w:tc>
        <w:tc>
          <w:tcPr>
            <w:tcW w:w="2380" w:type="pct"/>
            <w:vAlign w:val="center"/>
          </w:tcPr>
          <w:p>
            <w:pPr>
              <w:pStyle w:val="45"/>
              <w:rPr>
                <w:rFonts w:ascii="Times New Roman" w:hAnsi="Times New Roman"/>
              </w:rPr>
            </w:pPr>
            <w:r>
              <w:rPr>
                <w:rFonts w:ascii="Times New Roman" w:hAnsi="Times New Roman"/>
              </w:rPr>
              <w:t>工业场地产生的喷洒废水进入沉淀池（20m</w:t>
            </w:r>
            <w:r>
              <w:rPr>
                <w:rFonts w:ascii="Times New Roman" w:hAnsi="Times New Roman"/>
                <w:vertAlign w:val="superscript"/>
              </w:rPr>
              <w:t>3</w:t>
            </w:r>
            <w:r>
              <w:rPr>
                <w:rFonts w:ascii="Times New Roman" w:hAnsi="Times New Roman"/>
              </w:rPr>
              <w:t>）处理后，循环利用，不外排。</w:t>
            </w:r>
          </w:p>
        </w:tc>
        <w:tc>
          <w:tcPr>
            <w:tcW w:w="1155" w:type="pct"/>
            <w:vAlign w:val="center"/>
          </w:tcPr>
          <w:p>
            <w:pPr>
              <w:pStyle w:val="45"/>
              <w:rPr>
                <w:rFonts w:ascii="Times New Roman" w:hAnsi="Times New Roman"/>
              </w:rPr>
            </w:pPr>
            <w:r>
              <w:rPr>
                <w:rFonts w:ascii="Times New Roman" w:hAnsi="Times New Roman"/>
              </w:rPr>
              <w:t>经多次循环利用，废水回用率增加，沉淀池可满足需求。</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Merge w:val="restart"/>
            <w:vAlign w:val="center"/>
          </w:tcPr>
          <w:p>
            <w:pPr>
              <w:pStyle w:val="45"/>
              <w:rPr>
                <w:rFonts w:ascii="Times New Roman" w:hAnsi="Times New Roman"/>
              </w:rPr>
            </w:pPr>
            <w:r>
              <w:rPr>
                <w:rFonts w:ascii="Times New Roman" w:hAnsi="Times New Roman"/>
              </w:rPr>
              <w:t>废气处理设施</w:t>
            </w:r>
          </w:p>
        </w:tc>
        <w:tc>
          <w:tcPr>
            <w:tcW w:w="2380" w:type="pct"/>
            <w:vAlign w:val="center"/>
          </w:tcPr>
          <w:p>
            <w:pPr>
              <w:pStyle w:val="45"/>
              <w:rPr>
                <w:rFonts w:ascii="Times New Roman" w:hAnsi="Times New Roman"/>
              </w:rPr>
            </w:pPr>
            <w:r>
              <w:rPr>
                <w:rFonts w:ascii="Times New Roman" w:hAnsi="Times New Roman"/>
              </w:rPr>
              <w:t>1#、2#生产线二级破碎产生的粉尘采用2套布袋除尘器+15m高排气筒（DA001、DA002）进行处理后达标排放</w:t>
            </w:r>
          </w:p>
        </w:tc>
        <w:tc>
          <w:tcPr>
            <w:tcW w:w="1155" w:type="pct"/>
            <w:vAlign w:val="center"/>
          </w:tcPr>
          <w:p>
            <w:pPr>
              <w:pStyle w:val="45"/>
              <w:rPr>
                <w:rFonts w:ascii="Times New Roman" w:hAnsi="Times New Roman"/>
              </w:rPr>
            </w:pPr>
            <w:r>
              <w:rPr>
                <w:rFonts w:ascii="Times New Roman" w:hAnsi="Times New Roman"/>
              </w:rPr>
              <w:t>生产规模不变，废气量不增加，对布袋除尘器排气筒进行修复，更换布袋，实现有组织排放</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continue"/>
            <w:vAlign w:val="center"/>
          </w:tcPr>
          <w:p>
            <w:pPr>
              <w:pStyle w:val="45"/>
              <w:rPr>
                <w:rFonts w:ascii="Times New Roman" w:hAnsi="Times New Roman"/>
              </w:rPr>
            </w:pPr>
          </w:p>
        </w:tc>
        <w:tc>
          <w:tcPr>
            <w:tcW w:w="573" w:type="pct"/>
            <w:vMerge w:val="continue"/>
            <w:vAlign w:val="center"/>
          </w:tcPr>
          <w:p>
            <w:pPr>
              <w:pStyle w:val="45"/>
              <w:rPr>
                <w:rFonts w:ascii="Times New Roman" w:hAnsi="Times New Roman"/>
              </w:rPr>
            </w:pPr>
          </w:p>
        </w:tc>
        <w:tc>
          <w:tcPr>
            <w:tcW w:w="2380" w:type="pct"/>
            <w:vAlign w:val="center"/>
          </w:tcPr>
          <w:p>
            <w:pPr>
              <w:pStyle w:val="45"/>
              <w:rPr>
                <w:rFonts w:ascii="Times New Roman" w:hAnsi="Times New Roman"/>
              </w:rPr>
            </w:pPr>
            <w:r>
              <w:rPr>
                <w:rFonts w:ascii="Times New Roman" w:hAnsi="Times New Roman"/>
              </w:rPr>
              <w:t>1#、2#生产线筛分产生的粉尘共用1套布袋除尘器进行收集处理后，通过15m高的排气筒（DA003）进行达标排放。</w:t>
            </w:r>
          </w:p>
        </w:tc>
        <w:tc>
          <w:tcPr>
            <w:tcW w:w="1155" w:type="pct"/>
            <w:vAlign w:val="center"/>
          </w:tcPr>
          <w:p>
            <w:pPr>
              <w:pStyle w:val="45"/>
              <w:rPr>
                <w:rFonts w:ascii="Times New Roman" w:hAnsi="Times New Roman"/>
              </w:rPr>
            </w:pPr>
            <w:r>
              <w:rPr>
                <w:rFonts w:ascii="Times New Roman" w:hAnsi="Times New Roman"/>
              </w:rPr>
              <w:t>对布袋除尘器进行清理，更换布袋，确保较高的处理效率，不易积尘。</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pStyle w:val="45"/>
              <w:rPr>
                <w:rFonts w:ascii="Times New Roman" w:hAnsi="Times New Roman"/>
              </w:rPr>
            </w:pPr>
            <w:r>
              <w:rPr>
                <w:rFonts w:ascii="Times New Roman" w:hAnsi="Times New Roman"/>
              </w:rPr>
              <w:t>噪声治理</w:t>
            </w:r>
          </w:p>
        </w:tc>
        <w:tc>
          <w:tcPr>
            <w:tcW w:w="2380" w:type="pct"/>
            <w:vAlign w:val="center"/>
          </w:tcPr>
          <w:p>
            <w:pPr>
              <w:pStyle w:val="45"/>
              <w:rPr>
                <w:rFonts w:ascii="Times New Roman" w:hAnsi="Times New Roman"/>
              </w:rPr>
            </w:pPr>
            <w:r>
              <w:rPr>
                <w:rFonts w:ascii="Times New Roman" w:hAnsi="Times New Roman"/>
              </w:rPr>
              <w:t>采用低噪声设备，工业场地加工设备噪声底部进行减振，设置在封闭厂房内，距离衰减等降噪措施。</w:t>
            </w:r>
          </w:p>
        </w:tc>
        <w:tc>
          <w:tcPr>
            <w:tcW w:w="1155" w:type="pct"/>
            <w:vAlign w:val="center"/>
          </w:tcPr>
          <w:p>
            <w:pPr>
              <w:pStyle w:val="45"/>
              <w:rPr>
                <w:rFonts w:ascii="Times New Roman" w:hAnsi="Times New Roman"/>
              </w:rPr>
            </w:pPr>
            <w:r>
              <w:rPr>
                <w:rFonts w:ascii="Times New Roman" w:hAnsi="Times New Roman"/>
              </w:rPr>
              <w:t>对现有厂房不完全封闭的地方进行封闭，降低噪声量。</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pStyle w:val="45"/>
              <w:rPr>
                <w:rFonts w:ascii="Times New Roman" w:hAnsi="Times New Roman"/>
              </w:rPr>
            </w:pPr>
            <w:r>
              <w:rPr>
                <w:rFonts w:ascii="Times New Roman" w:hAnsi="Times New Roman"/>
              </w:rPr>
              <w:t>危险废物</w:t>
            </w:r>
          </w:p>
        </w:tc>
        <w:tc>
          <w:tcPr>
            <w:tcW w:w="2380" w:type="pct"/>
            <w:vAlign w:val="center"/>
          </w:tcPr>
          <w:p>
            <w:pPr>
              <w:pStyle w:val="45"/>
              <w:rPr>
                <w:rFonts w:ascii="Times New Roman" w:hAnsi="Times New Roman"/>
              </w:rPr>
            </w:pPr>
            <w:r>
              <w:rPr>
                <w:rFonts w:ascii="Times New Roman" w:hAnsi="Times New Roman"/>
              </w:rPr>
              <w:t>设备维修产生的废润滑油等危险废物暂存于危险废物贮存间，位于工业加工区北侧，面积为10m</w:t>
            </w:r>
            <w:r>
              <w:rPr>
                <w:rFonts w:ascii="Times New Roman" w:hAnsi="Times New Roman"/>
                <w:vertAlign w:val="superscript"/>
              </w:rPr>
              <w:t>2</w:t>
            </w:r>
            <w:r>
              <w:rPr>
                <w:rFonts w:ascii="Times New Roman" w:hAnsi="Times New Roman"/>
              </w:rPr>
              <w:t>，定期交由资质单位处置。</w:t>
            </w:r>
          </w:p>
        </w:tc>
        <w:tc>
          <w:tcPr>
            <w:tcW w:w="1155" w:type="pct"/>
            <w:vAlign w:val="center"/>
          </w:tcPr>
          <w:p>
            <w:pPr>
              <w:pStyle w:val="45"/>
              <w:rPr>
                <w:rFonts w:ascii="Times New Roman" w:hAnsi="Times New Roman"/>
              </w:rPr>
            </w:pPr>
            <w:r>
              <w:rPr>
                <w:rFonts w:ascii="Times New Roman" w:hAnsi="Times New Roman"/>
              </w:rPr>
              <w:t>更换标识标牌，地面进行设置接油盘双层防渗。</w:t>
            </w:r>
          </w:p>
        </w:tc>
        <w:tc>
          <w:tcPr>
            <w:tcW w:w="457" w:type="pct"/>
            <w:vAlign w:val="center"/>
          </w:tcPr>
          <w:p>
            <w:pPr>
              <w:pStyle w:val="45"/>
              <w:rPr>
                <w:rFonts w:ascii="Times New Roman" w:hAnsi="Times New Roman"/>
              </w:rPr>
            </w:pPr>
            <w:r>
              <w:rPr>
                <w:rFonts w:ascii="Times New Roman" w:hAnsi="Times New Roman"/>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35" w:type="pct"/>
            <w:vMerge w:val="continue"/>
            <w:vAlign w:val="center"/>
          </w:tcPr>
          <w:p>
            <w:pPr>
              <w:pStyle w:val="45"/>
              <w:rPr>
                <w:rFonts w:ascii="Times New Roman" w:hAnsi="Times New Roman"/>
              </w:rPr>
            </w:pPr>
          </w:p>
        </w:tc>
        <w:tc>
          <w:tcPr>
            <w:tcW w:w="573" w:type="pct"/>
            <w:vAlign w:val="center"/>
          </w:tcPr>
          <w:p>
            <w:pPr>
              <w:pStyle w:val="45"/>
              <w:rPr>
                <w:rFonts w:ascii="Times New Roman" w:hAnsi="Times New Roman"/>
              </w:rPr>
            </w:pPr>
            <w:r>
              <w:rPr>
                <w:rFonts w:ascii="Times New Roman" w:hAnsi="Times New Roman"/>
              </w:rPr>
              <w:t>生活垃圾</w:t>
            </w:r>
          </w:p>
        </w:tc>
        <w:tc>
          <w:tcPr>
            <w:tcW w:w="2380" w:type="pct"/>
            <w:vAlign w:val="center"/>
          </w:tcPr>
          <w:p>
            <w:pPr>
              <w:pStyle w:val="45"/>
              <w:rPr>
                <w:rFonts w:ascii="Times New Roman" w:hAnsi="Times New Roman"/>
              </w:rPr>
            </w:pPr>
            <w:r>
              <w:rPr>
                <w:rFonts w:ascii="Times New Roman" w:hAnsi="Times New Roman"/>
              </w:rPr>
              <w:t>工业场地产生的生活垃圾集中收集后交市政环卫部门统一处置。</w:t>
            </w:r>
          </w:p>
        </w:tc>
        <w:tc>
          <w:tcPr>
            <w:tcW w:w="1155" w:type="pct"/>
            <w:vAlign w:val="center"/>
          </w:tcPr>
          <w:p>
            <w:pPr>
              <w:pStyle w:val="45"/>
              <w:rPr>
                <w:rFonts w:ascii="Times New Roman" w:hAnsi="Times New Roman"/>
              </w:rPr>
            </w:pPr>
            <w:r>
              <w:rPr>
                <w:rFonts w:ascii="Times New Roman" w:hAnsi="Times New Roman"/>
              </w:rPr>
              <w:t>利旧</w:t>
            </w:r>
          </w:p>
        </w:tc>
        <w:tc>
          <w:tcPr>
            <w:tcW w:w="457" w:type="pct"/>
            <w:vAlign w:val="center"/>
          </w:tcPr>
          <w:p>
            <w:pPr>
              <w:pStyle w:val="45"/>
              <w:rPr>
                <w:rFonts w:ascii="Times New Roman" w:hAnsi="Times New Roman"/>
              </w:rPr>
            </w:pPr>
            <w:r>
              <w:rPr>
                <w:rFonts w:ascii="Times New Roman" w:hAnsi="Times New Roman"/>
              </w:rPr>
              <w:t>可行</w:t>
            </w:r>
          </w:p>
        </w:tc>
      </w:tr>
    </w:tbl>
    <w:p>
      <w:pPr>
        <w:pStyle w:val="5"/>
        <w:rPr>
          <w:color w:val="auto"/>
        </w:rPr>
      </w:pPr>
      <w:r>
        <w:rPr>
          <w:color w:val="auto"/>
        </w:rPr>
        <w:t>3.1.7总平面布置</w:t>
      </w:r>
    </w:p>
    <w:p>
      <w:pPr>
        <w:pStyle w:val="222"/>
      </w:pPr>
      <w:r>
        <w:t>项目主要由开采区、工业场地及场内道路组成。</w:t>
      </w:r>
    </w:p>
    <w:p>
      <w:pPr>
        <w:pStyle w:val="222"/>
      </w:pPr>
      <w:r>
        <w:t>（1）开采区</w:t>
      </w:r>
    </w:p>
    <w:p>
      <w:pPr>
        <w:pStyle w:val="300"/>
      </w:pPr>
      <w:r>
        <w:t>本项目矿区由4个拐点坐标圈闭，矿区面积0.0466km</w:t>
      </w:r>
      <w:r>
        <w:rPr>
          <w:vertAlign w:val="superscript"/>
        </w:rPr>
        <w:t>2</w:t>
      </w:r>
      <w:r>
        <w:t>，开采标高+380~+251m。开采层位：</w:t>
      </w:r>
      <w:r>
        <w:rPr>
          <w:spacing w:val="-6"/>
        </w:rPr>
        <w:t>三叠系下统飞仙关组第三段</w:t>
      </w:r>
      <w:r>
        <w:t>（T</w:t>
      </w:r>
      <w:r>
        <w:rPr>
          <w:i/>
          <w:iCs/>
          <w:vertAlign w:val="subscript"/>
        </w:rPr>
        <w:t>1</w:t>
      </w:r>
      <w:r>
        <w:rPr>
          <w:i/>
          <w:iCs/>
        </w:rPr>
        <w:t>f</w:t>
      </w:r>
      <w:r>
        <w:rPr>
          <w:i/>
          <w:iCs/>
          <w:vertAlign w:val="superscript"/>
        </w:rPr>
        <w:t>3</w:t>
      </w:r>
      <w:r>
        <w:t>）</w:t>
      </w:r>
      <w:r>
        <w:rPr>
          <w:spacing w:val="-6"/>
        </w:rPr>
        <w:t>和三叠系下统嘉陵江组第一段</w:t>
      </w:r>
      <w:r>
        <w:t>（T</w:t>
      </w:r>
      <w:r>
        <w:rPr>
          <w:i/>
          <w:iCs/>
          <w:vertAlign w:val="subscript"/>
        </w:rPr>
        <w:t>1</w:t>
      </w:r>
      <w:r>
        <w:rPr>
          <w:i/>
          <w:iCs/>
        </w:rPr>
        <w:t>j</w:t>
      </w:r>
      <w:r>
        <w:rPr>
          <w:i/>
          <w:iCs/>
          <w:vertAlign w:val="superscript"/>
        </w:rPr>
        <w:t>1</w:t>
      </w:r>
      <w:r>
        <w:t>）的建筑石料用灰岩；根据矿区内资源分布情况，总体上自东南向西北推进。首采区设在矿区西南侧坡顶，首采区选择的原则和依据是该处有较好的开采条件，由+380m水平逐阶往下分台阶开采。考虑到矿山开采方便，总体开采顺序是从上至下分台阶开采。此次矿山将确定11个台阶，开采时每个生产台阶原则上按采高10m划分为一个台阶，每隔两个安全平台留设一个清扫平台，宽度为6m，最终底盘最小宽度大于40m。</w:t>
      </w:r>
    </w:p>
    <w:p>
      <w:pPr>
        <w:pStyle w:val="300"/>
      </w:pPr>
      <w:r>
        <w:t>（2）矿区道路</w:t>
      </w:r>
    </w:p>
    <w:p>
      <w:pPr>
        <w:pStyle w:val="300"/>
      </w:pPr>
      <w:r>
        <w:t>矿区道路从1号拐点+250m标高开始起坡，向西北侧达到4号拐点附近至+290m标高处，长度约220m，而后向采场延伸至+325m接矿平台，最后达到顶部+365m作业平台，全长约430m。采用三级露天矿山道路标准建设，路面宽度应大于4m。</w:t>
      </w:r>
    </w:p>
    <w:p>
      <w:pPr>
        <w:pStyle w:val="300"/>
      </w:pPr>
      <w:r>
        <w:t>（3）工业场地</w:t>
      </w:r>
    </w:p>
    <w:p>
      <w:pPr>
        <w:pStyle w:val="300"/>
      </w:pPr>
      <w:r>
        <w:rPr>
          <w:szCs w:val="24"/>
        </w:rPr>
        <w:t>重庆市盐井三峡矿业有限公司的工业场地转让给</w:t>
      </w:r>
      <w:r>
        <w:rPr>
          <w:szCs w:val="24"/>
          <w:lang w:bidi="en-US"/>
        </w:rPr>
        <w:t>重庆峰磊矿业有限公司使用</w:t>
      </w:r>
      <w:r>
        <w:rPr>
          <w:szCs w:val="24"/>
        </w:rPr>
        <w:t>，不新增用地。</w:t>
      </w:r>
      <w:r>
        <w:t>工业场地位于开采区东北侧约1km处，整体呈长方形，为东西走向，从东侧物料进入颚式破碎机2台、反击式破碎机2台、筛分机2台，基本上成一条线布置，产品堆场位于厂房西侧，与产品装料点连接，便于装料运输；设备之间采用传输带进行运输物料。</w:t>
      </w:r>
    </w:p>
    <w:p>
      <w:pPr>
        <w:pStyle w:val="300"/>
      </w:pPr>
      <w:r>
        <w:t>（4）环保设施</w:t>
      </w:r>
    </w:p>
    <w:p>
      <w:pPr>
        <w:pStyle w:val="300"/>
      </w:pPr>
      <w:r>
        <w:rPr>
          <w:rFonts w:hint="eastAsia" w:ascii="宋体" w:hAnsi="宋体" w:cs="宋体"/>
        </w:rPr>
        <w:t>①</w:t>
      </w:r>
      <w:r>
        <w:t>截排水沟</w:t>
      </w:r>
    </w:p>
    <w:p>
      <w:pPr>
        <w:pStyle w:val="300"/>
      </w:pPr>
      <w:r>
        <w:t>在矿山道路两侧、最终开采线四周部分区域、矿石堆料场、排土场、弃渣场四周设置截排水沟，尺寸为0.3m×0.3m，截排水沟顺畅、不渗漏、倒灌和漫流，最终进入矿区东北侧的沉淀池内，进行沉淀后循环利用。</w:t>
      </w:r>
    </w:p>
    <w:p>
      <w:pPr>
        <w:pStyle w:val="300"/>
      </w:pPr>
      <w:r>
        <w:rPr>
          <w:rFonts w:hint="eastAsia" w:ascii="宋体" w:hAnsi="宋体" w:cs="宋体"/>
        </w:rPr>
        <w:t>②</w:t>
      </w:r>
      <w:r>
        <w:t>矿石堆料场</w:t>
      </w:r>
    </w:p>
    <w:p>
      <w:pPr>
        <w:pStyle w:val="300"/>
      </w:pPr>
      <w:r>
        <w:t>在采区内根据开采活动，对开采出的矿石，未及时运出的设置一个临时堆料场，布置在开采区西南侧。</w:t>
      </w:r>
    </w:p>
    <w:p>
      <w:pPr>
        <w:pStyle w:val="300"/>
      </w:pPr>
      <w:r>
        <w:rPr>
          <w:rFonts w:hint="eastAsia" w:ascii="宋体" w:hAnsi="宋体" w:cs="宋体"/>
        </w:rPr>
        <w:t>③</w:t>
      </w:r>
      <w:r>
        <w:t>排土场、弃渣场</w:t>
      </w:r>
    </w:p>
    <w:p>
      <w:pPr>
        <w:pStyle w:val="300"/>
      </w:pPr>
      <w:r>
        <w:t>对于剥离出来的表土、弃石进行临时堆放，作为边开采边复垦的生态修复用土，布置在开采区西南侧。</w:t>
      </w:r>
    </w:p>
    <w:p>
      <w:pPr>
        <w:pStyle w:val="300"/>
      </w:pPr>
      <w:r>
        <w:rPr>
          <w:rFonts w:hint="eastAsia" w:ascii="宋体" w:hAnsi="宋体" w:cs="宋体"/>
        </w:rPr>
        <w:t>④</w:t>
      </w:r>
      <w:r>
        <w:t>车辆清洗废水沉淀池</w:t>
      </w:r>
    </w:p>
    <w:p>
      <w:pPr>
        <w:pStyle w:val="300"/>
      </w:pPr>
      <w:r>
        <w:t>在矿区大门口内设置1个车辆清洗废水沉淀池，容积为10m</w:t>
      </w:r>
      <w:r>
        <w:rPr>
          <w:vertAlign w:val="superscript"/>
        </w:rPr>
        <w:t>3</w:t>
      </w:r>
      <w:r>
        <w:t>，用于收集车辆清洗产生的废水，经沉淀后循环利用，不外排。</w:t>
      </w:r>
    </w:p>
    <w:p>
      <w:pPr>
        <w:pStyle w:val="300"/>
      </w:pPr>
      <w:r>
        <w:rPr>
          <w:rFonts w:hint="eastAsia" w:ascii="宋体" w:hAnsi="宋体" w:cs="宋体"/>
        </w:rPr>
        <w:t>⑤</w:t>
      </w:r>
      <w:r>
        <w:t>有组织废气</w:t>
      </w:r>
    </w:p>
    <w:p>
      <w:pPr>
        <w:pStyle w:val="300"/>
      </w:pPr>
      <w:r>
        <w:t>在颚式破碎设置集气罩进行收集粉尘，与其中1台反击式破碎机产生的粉尘通过管道进入1#布袋除尘器进行处理后通过15m高排气筒排放（DA001）；另1台反击式破碎机产生的粉尘通过管道进入2#布袋除尘器进行处理后通过15m高排气筒排放（DA002）；筛分机产生的粉尘通过管道进入3#布袋除尘器进行处理后通过15m高排气筒排放（DA003）。工业场地厂房为封闭式厂房，可有效降低粉尘的排放量。破碎加工设备均为性能优良的设备，运转正常，全部位于车间内，充分利用厂房进行降噪隔声。工业场地沉淀池、洗车池位于西侧已建成；化粪池位于厂区大门口东侧。办公区位于工业场地北侧。</w:t>
      </w:r>
    </w:p>
    <w:p>
      <w:pPr>
        <w:pStyle w:val="300"/>
      </w:pPr>
      <w:r>
        <w:t>综上，工业场地平面布置合理。</w:t>
      </w:r>
    </w:p>
    <w:p>
      <w:pPr>
        <w:pStyle w:val="5"/>
        <w:rPr>
          <w:color w:val="auto"/>
        </w:rPr>
      </w:pPr>
      <w:r>
        <w:rPr>
          <w:color w:val="auto"/>
        </w:rPr>
        <w:t>3.1.8工程占地</w:t>
      </w:r>
    </w:p>
    <w:p>
      <w:pPr>
        <w:pStyle w:val="300"/>
      </w:pPr>
      <w:r>
        <w:t>本项目开采区位于合川区盐井街道观音村，工业场地位于合川区盐井街道茶园村，工业场地位于开采区西北方向约1km；根据现场调查结果及《土地利用现状分类》（GB/T21010-2017），将本项目占地内的土地利用情况划分为旱地、林地、采矿用地、农村宅基地等，本项目占地范围内不涉及公益林、天然林。本项目内的土地利用现状见下表。</w:t>
      </w:r>
    </w:p>
    <w:p>
      <w:pPr>
        <w:pStyle w:val="84"/>
      </w:pPr>
      <w:r>
        <w:t>表3.1-7  开采区占用土地利用现状统计表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127"/>
        <w:gridCol w:w="1842"/>
        <w:gridCol w:w="1843"/>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69" w:type="dxa"/>
            <w:gridSpan w:val="2"/>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一级地块</w:t>
            </w:r>
          </w:p>
        </w:tc>
        <w:tc>
          <w:tcPr>
            <w:tcW w:w="3685" w:type="dxa"/>
            <w:gridSpan w:val="2"/>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一级地块</w:t>
            </w:r>
          </w:p>
        </w:tc>
        <w:tc>
          <w:tcPr>
            <w:tcW w:w="1893" w:type="dxa"/>
            <w:vMerge w:val="restart"/>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面积（hm</w:t>
            </w:r>
            <w:r>
              <w:rPr>
                <w:color w:val="auto"/>
                <w:sz w:val="21"/>
                <w:vertAlign w:val="superscript"/>
              </w:rPr>
              <w:t>2</w:t>
            </w:r>
            <w:r>
              <w:rPr>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编号</w:t>
            </w:r>
          </w:p>
        </w:tc>
        <w:tc>
          <w:tcPr>
            <w:tcW w:w="2127" w:type="dxa"/>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名称</w:t>
            </w:r>
          </w:p>
        </w:tc>
        <w:tc>
          <w:tcPr>
            <w:tcW w:w="1842" w:type="dxa"/>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编号</w:t>
            </w:r>
          </w:p>
        </w:tc>
        <w:tc>
          <w:tcPr>
            <w:tcW w:w="1843" w:type="dxa"/>
            <w:shd w:val="clear" w:color="auto" w:fill="D8D8D8" w:themeFill="background1" w:themeFillShade="D9"/>
            <w:vAlign w:val="center"/>
          </w:tcPr>
          <w:p>
            <w:pPr>
              <w:pStyle w:val="3219"/>
              <w:spacing w:line="240" w:lineRule="auto"/>
              <w:ind w:firstLine="0" w:firstLineChars="0"/>
              <w:jc w:val="center"/>
              <w:rPr>
                <w:color w:val="auto"/>
                <w:sz w:val="21"/>
              </w:rPr>
            </w:pPr>
            <w:r>
              <w:rPr>
                <w:color w:val="auto"/>
                <w:sz w:val="21"/>
              </w:rPr>
              <w:t>名称</w:t>
            </w:r>
          </w:p>
        </w:tc>
        <w:tc>
          <w:tcPr>
            <w:tcW w:w="1893" w:type="dxa"/>
            <w:vMerge w:val="continue"/>
            <w:shd w:val="clear" w:color="auto" w:fill="D8D8D8" w:themeFill="background1" w:themeFillShade="D9"/>
            <w:vAlign w:val="center"/>
          </w:tcPr>
          <w:p>
            <w:pPr>
              <w:pStyle w:val="3219"/>
              <w:spacing w:line="240" w:lineRule="auto"/>
              <w:ind w:firstLine="0" w:firstLineChars="0"/>
              <w:jc w:val="center"/>
              <w:rPr>
                <w:color w:val="auto"/>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Align w:val="center"/>
          </w:tcPr>
          <w:p>
            <w:pPr>
              <w:pStyle w:val="3219"/>
              <w:spacing w:line="240" w:lineRule="auto"/>
              <w:ind w:firstLine="0" w:firstLineChars="0"/>
              <w:jc w:val="center"/>
              <w:rPr>
                <w:color w:val="auto"/>
                <w:sz w:val="21"/>
              </w:rPr>
            </w:pPr>
            <w:r>
              <w:rPr>
                <w:color w:val="auto"/>
                <w:sz w:val="21"/>
              </w:rPr>
              <w:t>01</w:t>
            </w:r>
          </w:p>
        </w:tc>
        <w:tc>
          <w:tcPr>
            <w:tcW w:w="2127" w:type="dxa"/>
            <w:vAlign w:val="center"/>
          </w:tcPr>
          <w:p>
            <w:pPr>
              <w:pStyle w:val="3219"/>
              <w:spacing w:line="240" w:lineRule="auto"/>
              <w:ind w:firstLine="0" w:firstLineChars="0"/>
              <w:jc w:val="center"/>
              <w:rPr>
                <w:color w:val="auto"/>
                <w:sz w:val="21"/>
              </w:rPr>
            </w:pPr>
            <w:r>
              <w:rPr>
                <w:color w:val="auto"/>
                <w:sz w:val="21"/>
              </w:rPr>
              <w:t>耕地</w:t>
            </w:r>
          </w:p>
        </w:tc>
        <w:tc>
          <w:tcPr>
            <w:tcW w:w="1842" w:type="dxa"/>
            <w:vAlign w:val="center"/>
          </w:tcPr>
          <w:p>
            <w:pPr>
              <w:pStyle w:val="3219"/>
              <w:spacing w:line="240" w:lineRule="auto"/>
              <w:ind w:firstLine="0" w:firstLineChars="0"/>
              <w:jc w:val="center"/>
              <w:rPr>
                <w:color w:val="auto"/>
                <w:sz w:val="21"/>
              </w:rPr>
            </w:pPr>
            <w:r>
              <w:rPr>
                <w:color w:val="auto"/>
                <w:sz w:val="21"/>
                <w:lang w:bidi="ar"/>
              </w:rPr>
              <w:t>0103</w:t>
            </w:r>
          </w:p>
        </w:tc>
        <w:tc>
          <w:tcPr>
            <w:tcW w:w="1843" w:type="dxa"/>
            <w:vAlign w:val="center"/>
          </w:tcPr>
          <w:p>
            <w:pPr>
              <w:pStyle w:val="3219"/>
              <w:spacing w:line="240" w:lineRule="auto"/>
              <w:ind w:firstLine="0" w:firstLineChars="0"/>
              <w:jc w:val="center"/>
              <w:rPr>
                <w:color w:val="auto"/>
                <w:sz w:val="21"/>
              </w:rPr>
            </w:pPr>
            <w:r>
              <w:rPr>
                <w:color w:val="auto"/>
                <w:sz w:val="21"/>
                <w:lang w:bidi="ar"/>
              </w:rPr>
              <w:t>旱地</w:t>
            </w:r>
          </w:p>
        </w:tc>
        <w:tc>
          <w:tcPr>
            <w:tcW w:w="1893" w:type="dxa"/>
            <w:vAlign w:val="center"/>
          </w:tcPr>
          <w:p>
            <w:pPr>
              <w:pStyle w:val="3219"/>
              <w:spacing w:line="240" w:lineRule="auto"/>
              <w:ind w:firstLine="0" w:firstLineChars="0"/>
              <w:jc w:val="center"/>
              <w:rPr>
                <w:color w:val="auto"/>
                <w:sz w:val="21"/>
              </w:rPr>
            </w:pPr>
            <w:r>
              <w:rPr>
                <w:color w:val="auto"/>
                <w:sz w:val="21"/>
                <w:lang w:bidi="ar"/>
              </w:rPr>
              <w:t>0.2461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42" w:type="dxa"/>
            <w:vMerge w:val="restart"/>
            <w:vAlign w:val="center"/>
          </w:tcPr>
          <w:p>
            <w:pPr>
              <w:pStyle w:val="3219"/>
              <w:spacing w:line="240" w:lineRule="auto"/>
              <w:ind w:firstLine="0" w:firstLineChars="0"/>
              <w:jc w:val="center"/>
              <w:rPr>
                <w:color w:val="auto"/>
                <w:sz w:val="21"/>
              </w:rPr>
            </w:pPr>
            <w:r>
              <w:rPr>
                <w:color w:val="auto"/>
                <w:sz w:val="21"/>
              </w:rPr>
              <w:t>03</w:t>
            </w:r>
          </w:p>
        </w:tc>
        <w:tc>
          <w:tcPr>
            <w:tcW w:w="2127" w:type="dxa"/>
            <w:vMerge w:val="restart"/>
            <w:vAlign w:val="center"/>
          </w:tcPr>
          <w:p>
            <w:pPr>
              <w:pStyle w:val="3219"/>
              <w:spacing w:line="240" w:lineRule="auto"/>
              <w:ind w:firstLine="0" w:firstLineChars="0"/>
              <w:jc w:val="center"/>
              <w:rPr>
                <w:color w:val="auto"/>
                <w:sz w:val="21"/>
              </w:rPr>
            </w:pPr>
            <w:r>
              <w:rPr>
                <w:color w:val="auto"/>
                <w:sz w:val="21"/>
              </w:rPr>
              <w:t>林地</w:t>
            </w:r>
          </w:p>
        </w:tc>
        <w:tc>
          <w:tcPr>
            <w:tcW w:w="1842" w:type="dxa"/>
            <w:vAlign w:val="center"/>
          </w:tcPr>
          <w:p>
            <w:pPr>
              <w:pStyle w:val="3219"/>
              <w:spacing w:line="240" w:lineRule="auto"/>
              <w:ind w:firstLine="0" w:firstLineChars="0"/>
              <w:jc w:val="center"/>
              <w:rPr>
                <w:color w:val="auto"/>
                <w:sz w:val="21"/>
              </w:rPr>
            </w:pPr>
            <w:r>
              <w:rPr>
                <w:color w:val="auto"/>
                <w:sz w:val="21"/>
                <w:lang w:bidi="ar"/>
              </w:rPr>
              <w:t>0301</w:t>
            </w:r>
          </w:p>
        </w:tc>
        <w:tc>
          <w:tcPr>
            <w:tcW w:w="1843" w:type="dxa"/>
            <w:vAlign w:val="center"/>
          </w:tcPr>
          <w:p>
            <w:pPr>
              <w:pStyle w:val="3219"/>
              <w:spacing w:line="240" w:lineRule="auto"/>
              <w:ind w:firstLine="0" w:firstLineChars="0"/>
              <w:jc w:val="center"/>
              <w:rPr>
                <w:color w:val="auto"/>
                <w:sz w:val="21"/>
              </w:rPr>
            </w:pPr>
            <w:r>
              <w:rPr>
                <w:color w:val="auto"/>
                <w:sz w:val="21"/>
                <w:lang w:bidi="ar"/>
              </w:rPr>
              <w:t>乔木林地</w:t>
            </w:r>
          </w:p>
        </w:tc>
        <w:tc>
          <w:tcPr>
            <w:tcW w:w="1893" w:type="dxa"/>
            <w:vAlign w:val="center"/>
          </w:tcPr>
          <w:p>
            <w:pPr>
              <w:pStyle w:val="3219"/>
              <w:spacing w:line="240" w:lineRule="auto"/>
              <w:ind w:firstLine="0" w:firstLineChars="0"/>
              <w:jc w:val="center"/>
              <w:rPr>
                <w:color w:val="auto"/>
                <w:sz w:val="21"/>
              </w:rPr>
            </w:pPr>
            <w:r>
              <w:rPr>
                <w:color w:val="auto"/>
                <w:sz w:val="21"/>
              </w:rPr>
              <w:t>1.1136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Merge w:val="continue"/>
            <w:vAlign w:val="center"/>
          </w:tcPr>
          <w:p>
            <w:pPr>
              <w:pStyle w:val="3219"/>
              <w:spacing w:line="240" w:lineRule="auto"/>
              <w:ind w:firstLine="0" w:firstLineChars="0"/>
              <w:jc w:val="center"/>
              <w:rPr>
                <w:color w:val="auto"/>
                <w:sz w:val="21"/>
              </w:rPr>
            </w:pPr>
          </w:p>
        </w:tc>
        <w:tc>
          <w:tcPr>
            <w:tcW w:w="2127" w:type="dxa"/>
            <w:vMerge w:val="continue"/>
            <w:vAlign w:val="center"/>
          </w:tcPr>
          <w:p>
            <w:pPr>
              <w:pStyle w:val="3219"/>
              <w:spacing w:line="240" w:lineRule="auto"/>
              <w:ind w:firstLine="0" w:firstLineChars="0"/>
              <w:jc w:val="center"/>
              <w:rPr>
                <w:color w:val="auto"/>
                <w:sz w:val="21"/>
              </w:rPr>
            </w:pPr>
          </w:p>
        </w:tc>
        <w:tc>
          <w:tcPr>
            <w:tcW w:w="1842" w:type="dxa"/>
            <w:vAlign w:val="center"/>
          </w:tcPr>
          <w:p>
            <w:pPr>
              <w:pStyle w:val="3219"/>
              <w:spacing w:line="240" w:lineRule="auto"/>
              <w:ind w:firstLine="0" w:firstLineChars="0"/>
              <w:jc w:val="center"/>
              <w:rPr>
                <w:color w:val="auto"/>
                <w:sz w:val="21"/>
              </w:rPr>
            </w:pPr>
            <w:r>
              <w:rPr>
                <w:color w:val="auto"/>
                <w:sz w:val="21"/>
                <w:lang w:bidi="ar"/>
              </w:rPr>
              <w:t>0302</w:t>
            </w:r>
          </w:p>
        </w:tc>
        <w:tc>
          <w:tcPr>
            <w:tcW w:w="1843" w:type="dxa"/>
            <w:vAlign w:val="center"/>
          </w:tcPr>
          <w:p>
            <w:pPr>
              <w:pStyle w:val="3219"/>
              <w:spacing w:line="240" w:lineRule="auto"/>
              <w:ind w:firstLine="0" w:firstLineChars="0"/>
              <w:jc w:val="center"/>
              <w:rPr>
                <w:color w:val="auto"/>
                <w:sz w:val="21"/>
              </w:rPr>
            </w:pPr>
            <w:r>
              <w:rPr>
                <w:color w:val="auto"/>
                <w:sz w:val="21"/>
                <w:lang w:bidi="ar"/>
              </w:rPr>
              <w:t>竹林地</w:t>
            </w:r>
          </w:p>
        </w:tc>
        <w:tc>
          <w:tcPr>
            <w:tcW w:w="1893" w:type="dxa"/>
            <w:vAlign w:val="center"/>
          </w:tcPr>
          <w:p>
            <w:pPr>
              <w:pStyle w:val="3219"/>
              <w:spacing w:line="240" w:lineRule="auto"/>
              <w:ind w:firstLine="0" w:firstLineChars="0"/>
              <w:jc w:val="center"/>
              <w:rPr>
                <w:color w:val="auto"/>
                <w:sz w:val="21"/>
              </w:rPr>
            </w:pPr>
            <w:r>
              <w:rPr>
                <w:color w:val="auto"/>
                <w:sz w:val="21"/>
              </w:rPr>
              <w:t>0.8771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Merge w:val="continue"/>
            <w:vAlign w:val="center"/>
          </w:tcPr>
          <w:p>
            <w:pPr>
              <w:pStyle w:val="3219"/>
              <w:spacing w:line="240" w:lineRule="auto"/>
              <w:ind w:firstLine="0" w:firstLineChars="0"/>
              <w:jc w:val="center"/>
              <w:rPr>
                <w:color w:val="auto"/>
                <w:sz w:val="21"/>
              </w:rPr>
            </w:pPr>
          </w:p>
        </w:tc>
        <w:tc>
          <w:tcPr>
            <w:tcW w:w="2127" w:type="dxa"/>
            <w:vMerge w:val="continue"/>
            <w:vAlign w:val="center"/>
          </w:tcPr>
          <w:p>
            <w:pPr>
              <w:pStyle w:val="3219"/>
              <w:spacing w:line="240" w:lineRule="auto"/>
              <w:ind w:firstLine="0" w:firstLineChars="0"/>
              <w:jc w:val="center"/>
              <w:rPr>
                <w:color w:val="auto"/>
                <w:sz w:val="21"/>
              </w:rPr>
            </w:pPr>
          </w:p>
        </w:tc>
        <w:tc>
          <w:tcPr>
            <w:tcW w:w="1842" w:type="dxa"/>
            <w:vAlign w:val="center"/>
          </w:tcPr>
          <w:p>
            <w:pPr>
              <w:pStyle w:val="3219"/>
              <w:spacing w:line="240" w:lineRule="auto"/>
              <w:ind w:firstLine="0" w:firstLineChars="0"/>
              <w:jc w:val="center"/>
              <w:rPr>
                <w:color w:val="auto"/>
                <w:sz w:val="21"/>
              </w:rPr>
            </w:pPr>
            <w:r>
              <w:rPr>
                <w:color w:val="auto"/>
                <w:sz w:val="21"/>
                <w:lang w:bidi="ar"/>
              </w:rPr>
              <w:t>0305</w:t>
            </w:r>
          </w:p>
        </w:tc>
        <w:tc>
          <w:tcPr>
            <w:tcW w:w="1843" w:type="dxa"/>
            <w:vAlign w:val="center"/>
          </w:tcPr>
          <w:p>
            <w:pPr>
              <w:pStyle w:val="3219"/>
              <w:spacing w:line="240" w:lineRule="auto"/>
              <w:ind w:firstLine="0" w:firstLineChars="0"/>
              <w:jc w:val="center"/>
              <w:rPr>
                <w:color w:val="auto"/>
                <w:sz w:val="21"/>
              </w:rPr>
            </w:pPr>
            <w:r>
              <w:rPr>
                <w:color w:val="auto"/>
                <w:sz w:val="21"/>
                <w:lang w:bidi="ar"/>
              </w:rPr>
              <w:t>灌木林地</w:t>
            </w:r>
          </w:p>
        </w:tc>
        <w:tc>
          <w:tcPr>
            <w:tcW w:w="1893" w:type="dxa"/>
            <w:vAlign w:val="center"/>
          </w:tcPr>
          <w:p>
            <w:pPr>
              <w:pStyle w:val="3219"/>
              <w:spacing w:line="240" w:lineRule="auto"/>
              <w:ind w:firstLine="0" w:firstLineChars="0"/>
              <w:jc w:val="center"/>
              <w:rPr>
                <w:color w:val="auto"/>
                <w:sz w:val="21"/>
              </w:rPr>
            </w:pPr>
            <w:r>
              <w:rPr>
                <w:color w:val="auto"/>
                <w:sz w:val="21"/>
              </w:rPr>
              <w:t>1.0665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2" w:type="dxa"/>
            <w:vAlign w:val="center"/>
          </w:tcPr>
          <w:p>
            <w:pPr>
              <w:pStyle w:val="3219"/>
              <w:spacing w:line="240" w:lineRule="auto"/>
              <w:ind w:firstLine="0" w:firstLineChars="0"/>
              <w:jc w:val="center"/>
              <w:rPr>
                <w:color w:val="auto"/>
                <w:sz w:val="21"/>
              </w:rPr>
            </w:pPr>
            <w:r>
              <w:rPr>
                <w:color w:val="auto"/>
                <w:sz w:val="21"/>
              </w:rPr>
              <w:t>06</w:t>
            </w:r>
          </w:p>
        </w:tc>
        <w:tc>
          <w:tcPr>
            <w:tcW w:w="2127" w:type="dxa"/>
            <w:vAlign w:val="center"/>
          </w:tcPr>
          <w:p>
            <w:pPr>
              <w:pStyle w:val="3219"/>
              <w:spacing w:line="240" w:lineRule="auto"/>
              <w:ind w:firstLine="0" w:firstLineChars="0"/>
              <w:jc w:val="center"/>
              <w:rPr>
                <w:color w:val="auto"/>
                <w:sz w:val="21"/>
              </w:rPr>
            </w:pPr>
            <w:r>
              <w:rPr>
                <w:color w:val="auto"/>
                <w:sz w:val="21"/>
              </w:rPr>
              <w:t>工矿仓储用地</w:t>
            </w:r>
          </w:p>
        </w:tc>
        <w:tc>
          <w:tcPr>
            <w:tcW w:w="1842" w:type="dxa"/>
            <w:vAlign w:val="center"/>
          </w:tcPr>
          <w:p>
            <w:pPr>
              <w:pStyle w:val="3219"/>
              <w:spacing w:line="240" w:lineRule="auto"/>
              <w:ind w:firstLine="0" w:firstLineChars="0"/>
              <w:jc w:val="center"/>
              <w:rPr>
                <w:color w:val="auto"/>
                <w:sz w:val="21"/>
              </w:rPr>
            </w:pPr>
            <w:r>
              <w:rPr>
                <w:color w:val="auto"/>
                <w:sz w:val="21"/>
                <w:lang w:bidi="ar"/>
              </w:rPr>
              <w:t>0602</w:t>
            </w:r>
          </w:p>
        </w:tc>
        <w:tc>
          <w:tcPr>
            <w:tcW w:w="1843" w:type="dxa"/>
            <w:vAlign w:val="center"/>
          </w:tcPr>
          <w:p>
            <w:pPr>
              <w:pStyle w:val="3219"/>
              <w:spacing w:line="240" w:lineRule="auto"/>
              <w:ind w:firstLine="0" w:firstLineChars="0"/>
              <w:jc w:val="center"/>
              <w:rPr>
                <w:color w:val="auto"/>
                <w:sz w:val="21"/>
              </w:rPr>
            </w:pPr>
            <w:r>
              <w:rPr>
                <w:color w:val="auto"/>
                <w:sz w:val="21"/>
                <w:lang w:bidi="ar"/>
              </w:rPr>
              <w:t>采矿用地</w:t>
            </w:r>
          </w:p>
        </w:tc>
        <w:tc>
          <w:tcPr>
            <w:tcW w:w="1893" w:type="dxa"/>
            <w:vAlign w:val="center"/>
          </w:tcPr>
          <w:p>
            <w:pPr>
              <w:pStyle w:val="3219"/>
              <w:spacing w:line="240" w:lineRule="auto"/>
              <w:ind w:firstLine="0" w:firstLineChars="0"/>
              <w:jc w:val="center"/>
              <w:rPr>
                <w:color w:val="auto"/>
                <w:sz w:val="21"/>
              </w:rPr>
            </w:pPr>
            <w:r>
              <w:rPr>
                <w:color w:val="auto"/>
                <w:sz w:val="21"/>
              </w:rPr>
              <w:t>1.2858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42" w:type="dxa"/>
            <w:vAlign w:val="center"/>
          </w:tcPr>
          <w:p>
            <w:pPr>
              <w:pStyle w:val="3219"/>
              <w:spacing w:line="240" w:lineRule="auto"/>
              <w:ind w:firstLine="0" w:firstLineChars="0"/>
              <w:jc w:val="center"/>
              <w:rPr>
                <w:color w:val="auto"/>
                <w:sz w:val="21"/>
              </w:rPr>
            </w:pPr>
            <w:r>
              <w:rPr>
                <w:color w:val="auto"/>
                <w:sz w:val="21"/>
              </w:rPr>
              <w:t>07</w:t>
            </w:r>
          </w:p>
        </w:tc>
        <w:tc>
          <w:tcPr>
            <w:tcW w:w="2127" w:type="dxa"/>
            <w:vAlign w:val="center"/>
          </w:tcPr>
          <w:p>
            <w:pPr>
              <w:pStyle w:val="3219"/>
              <w:spacing w:line="240" w:lineRule="auto"/>
              <w:ind w:firstLine="0" w:firstLineChars="0"/>
              <w:jc w:val="center"/>
              <w:rPr>
                <w:color w:val="auto"/>
                <w:sz w:val="21"/>
              </w:rPr>
            </w:pPr>
            <w:r>
              <w:rPr>
                <w:color w:val="auto"/>
                <w:sz w:val="21"/>
              </w:rPr>
              <w:t>住宅用地</w:t>
            </w:r>
          </w:p>
        </w:tc>
        <w:tc>
          <w:tcPr>
            <w:tcW w:w="1842" w:type="dxa"/>
            <w:vAlign w:val="center"/>
          </w:tcPr>
          <w:p>
            <w:pPr>
              <w:pStyle w:val="3219"/>
              <w:spacing w:line="240" w:lineRule="auto"/>
              <w:ind w:firstLine="0" w:firstLineChars="0"/>
              <w:jc w:val="center"/>
              <w:rPr>
                <w:color w:val="auto"/>
                <w:sz w:val="21"/>
              </w:rPr>
            </w:pPr>
            <w:r>
              <w:rPr>
                <w:color w:val="auto"/>
                <w:sz w:val="21"/>
                <w:lang w:bidi="ar"/>
              </w:rPr>
              <w:t>0702</w:t>
            </w:r>
          </w:p>
        </w:tc>
        <w:tc>
          <w:tcPr>
            <w:tcW w:w="1843" w:type="dxa"/>
            <w:vAlign w:val="center"/>
          </w:tcPr>
          <w:p>
            <w:pPr>
              <w:pStyle w:val="3219"/>
              <w:spacing w:line="240" w:lineRule="auto"/>
              <w:ind w:firstLine="0" w:firstLineChars="0"/>
              <w:jc w:val="center"/>
              <w:rPr>
                <w:color w:val="auto"/>
                <w:sz w:val="21"/>
              </w:rPr>
            </w:pPr>
            <w:r>
              <w:rPr>
                <w:color w:val="auto"/>
                <w:sz w:val="21"/>
                <w:lang w:bidi="ar"/>
              </w:rPr>
              <w:t>农村宅基地</w:t>
            </w:r>
          </w:p>
        </w:tc>
        <w:tc>
          <w:tcPr>
            <w:tcW w:w="1893" w:type="dxa"/>
            <w:vAlign w:val="center"/>
          </w:tcPr>
          <w:p>
            <w:pPr>
              <w:pStyle w:val="3219"/>
              <w:spacing w:line="240" w:lineRule="auto"/>
              <w:ind w:firstLine="0" w:firstLineChars="0"/>
              <w:jc w:val="center"/>
              <w:rPr>
                <w:color w:val="auto"/>
                <w:sz w:val="21"/>
              </w:rPr>
            </w:pPr>
            <w:r>
              <w:rPr>
                <w:color w:val="auto"/>
                <w:sz w:val="21"/>
              </w:rPr>
              <w:t>0.0734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4" w:type="dxa"/>
            <w:gridSpan w:val="4"/>
            <w:vAlign w:val="center"/>
          </w:tcPr>
          <w:p>
            <w:pPr>
              <w:pStyle w:val="3219"/>
              <w:spacing w:line="240" w:lineRule="auto"/>
              <w:ind w:firstLine="0" w:firstLineChars="0"/>
              <w:jc w:val="center"/>
              <w:rPr>
                <w:color w:val="auto"/>
                <w:sz w:val="21"/>
              </w:rPr>
            </w:pPr>
            <w:r>
              <w:rPr>
                <w:color w:val="auto"/>
                <w:sz w:val="21"/>
              </w:rPr>
              <w:t>合计</w:t>
            </w:r>
          </w:p>
        </w:tc>
        <w:tc>
          <w:tcPr>
            <w:tcW w:w="1893" w:type="dxa"/>
            <w:vAlign w:val="center"/>
          </w:tcPr>
          <w:p>
            <w:pPr>
              <w:pStyle w:val="3219"/>
              <w:spacing w:line="240" w:lineRule="auto"/>
              <w:ind w:firstLine="0" w:firstLineChars="0"/>
              <w:jc w:val="center"/>
              <w:rPr>
                <w:color w:val="auto"/>
                <w:sz w:val="21"/>
              </w:rPr>
            </w:pPr>
            <w:r>
              <w:rPr>
                <w:color w:val="auto"/>
                <w:sz w:val="21"/>
              </w:rPr>
              <w:t>4.6625</w:t>
            </w:r>
          </w:p>
        </w:tc>
      </w:tr>
    </w:tbl>
    <w:p>
      <w:pPr>
        <w:pStyle w:val="3219"/>
        <w:rPr>
          <w:color w:val="auto"/>
        </w:rPr>
      </w:pP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pPr>
              <w:pStyle w:val="3219"/>
              <w:rPr>
                <w:color w:val="auto"/>
              </w:rPr>
            </w:pPr>
            <w:r>
              <w:rPr>
                <w:color w:val="auto"/>
              </w:rPr>
              <w:drawing>
                <wp:anchor distT="0" distB="0" distL="114300" distR="114300" simplePos="0" relativeHeight="251988992" behindDoc="1" locked="0" layoutInCell="1" allowOverlap="1">
                  <wp:simplePos x="0" y="0"/>
                  <wp:positionH relativeFrom="margin">
                    <wp:posOffset>85090</wp:posOffset>
                  </wp:positionH>
                  <wp:positionV relativeFrom="margin">
                    <wp:posOffset>38735</wp:posOffset>
                  </wp:positionV>
                  <wp:extent cx="5041900" cy="4157980"/>
                  <wp:effectExtent l="0" t="0" r="6350" b="0"/>
                  <wp:wrapTopAndBottom/>
                  <wp:docPr id="3" name="图片 3" descr="图示, 地图&#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图示, 地图&#10;&#10;描述已自动生成"/>
                          <pic:cNvPicPr>
                            <a:picLocks noChangeAspect="true" noChangeArrowheads="true"/>
                          </pic:cNvPicPr>
                        </pic:nvPicPr>
                        <pic:blipFill>
                          <a:blip r:embed="rId51">
                            <a:extLst>
                              <a:ext uri="{28A0092B-C50C-407E-A947-70E740481C1C}">
                                <a14:useLocalDpi xmlns:a14="http://schemas.microsoft.com/office/drawing/2010/main" val="false"/>
                              </a:ext>
                            </a:extLst>
                          </a:blip>
                          <a:srcRect/>
                          <a:stretch>
                            <a:fillRect/>
                          </a:stretch>
                        </pic:blipFill>
                        <pic:spPr>
                          <a:xfrm>
                            <a:off x="0" y="0"/>
                            <a:ext cx="5041900" cy="4157980"/>
                          </a:xfrm>
                          <a:prstGeom prst="rect">
                            <a:avLst/>
                          </a:prstGeom>
                          <a:noFill/>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721" w:type="dxa"/>
          </w:tcPr>
          <w:p>
            <w:pPr>
              <w:pStyle w:val="3219"/>
              <w:ind w:firstLine="0" w:firstLineChars="0"/>
              <w:jc w:val="center"/>
              <w:rPr>
                <w:color w:val="auto"/>
              </w:rPr>
            </w:pPr>
            <w:r>
              <w:rPr>
                <w:color w:val="auto"/>
              </w:rPr>
              <w:t>图3-1  土地利用现状图</w:t>
            </w:r>
          </w:p>
        </w:tc>
      </w:tr>
    </w:tbl>
    <w:p>
      <w:pPr>
        <w:pStyle w:val="3219"/>
        <w:rPr>
          <w:color w:val="auto"/>
        </w:rPr>
      </w:pPr>
    </w:p>
    <w:p>
      <w:pPr>
        <w:pStyle w:val="5"/>
        <w:rPr>
          <w:color w:val="auto"/>
        </w:rPr>
      </w:pPr>
      <w:r>
        <w:rPr>
          <w:color w:val="auto"/>
        </w:rPr>
        <w:t>3.1.9搬迁情况</w:t>
      </w:r>
    </w:p>
    <w:p>
      <w:pPr>
        <w:ind w:firstLine="480"/>
        <w:jc w:val="both"/>
        <w:rPr>
          <w:sz w:val="24"/>
          <w:szCs w:val="24"/>
        </w:rPr>
      </w:pPr>
      <w:r>
        <w:rPr>
          <w:sz w:val="24"/>
          <w:szCs w:val="24"/>
          <w:lang w:val="zh-CN"/>
        </w:rPr>
        <w:t>根据矿山开采设计，本矿区设计开采范围外扩200m 为安全距离范围。</w:t>
      </w:r>
      <w:r>
        <w:rPr>
          <w:sz w:val="24"/>
          <w:szCs w:val="24"/>
        </w:rPr>
        <w:t>经现场调查，</w:t>
      </w:r>
      <w:r>
        <w:rPr>
          <w:sz w:val="24"/>
          <w:szCs w:val="24"/>
          <w:lang w:val="zh-CN"/>
        </w:rPr>
        <w:t>项目矿区范围内设计的居民目前已全部搬迁安置完毕。</w:t>
      </w:r>
    </w:p>
    <w:p>
      <w:pPr>
        <w:pStyle w:val="5"/>
        <w:rPr>
          <w:color w:val="auto"/>
        </w:rPr>
      </w:pPr>
      <w:r>
        <w:rPr>
          <w:color w:val="auto"/>
        </w:rPr>
        <w:t>3.1.10主要技术经济指标表</w:t>
      </w:r>
    </w:p>
    <w:p>
      <w:pPr>
        <w:pStyle w:val="3219"/>
        <w:rPr>
          <w:color w:val="auto"/>
        </w:rPr>
      </w:pPr>
      <w:r>
        <w:rPr>
          <w:color w:val="auto"/>
        </w:rPr>
        <w:t>项目主要技术经济指标见下表。</w:t>
      </w:r>
    </w:p>
    <w:p>
      <w:pPr>
        <w:pStyle w:val="84"/>
      </w:pPr>
      <w:r>
        <w:t>表3.1-8  主要技术经济指标表</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50"/>
        <w:gridCol w:w="2450"/>
        <w:gridCol w:w="1304"/>
        <w:gridCol w:w="2385"/>
        <w:gridCol w:w="20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419" w:type="pct"/>
            <w:shd w:val="clear" w:color="auto" w:fill="D8D8D8" w:themeFill="background1" w:themeFillShade="D9"/>
            <w:vAlign w:val="center"/>
          </w:tcPr>
          <w:p>
            <w:pPr>
              <w:pStyle w:val="3238"/>
            </w:pPr>
            <w:r>
              <w:t>序号</w:t>
            </w:r>
          </w:p>
        </w:tc>
        <w:tc>
          <w:tcPr>
            <w:tcW w:w="1369" w:type="pct"/>
            <w:shd w:val="clear" w:color="auto" w:fill="D8D8D8" w:themeFill="background1" w:themeFillShade="D9"/>
            <w:vAlign w:val="center"/>
          </w:tcPr>
          <w:p>
            <w:pPr>
              <w:pStyle w:val="3238"/>
            </w:pPr>
            <w:r>
              <w:t>名称</w:t>
            </w:r>
          </w:p>
        </w:tc>
        <w:tc>
          <w:tcPr>
            <w:tcW w:w="729" w:type="pct"/>
            <w:shd w:val="clear" w:color="auto" w:fill="D8D8D8" w:themeFill="background1" w:themeFillShade="D9"/>
            <w:vAlign w:val="center"/>
          </w:tcPr>
          <w:p>
            <w:pPr>
              <w:pStyle w:val="3238"/>
            </w:pPr>
            <w:r>
              <w:t>单位</w:t>
            </w:r>
          </w:p>
        </w:tc>
        <w:tc>
          <w:tcPr>
            <w:tcW w:w="1333" w:type="pct"/>
            <w:shd w:val="clear" w:color="auto" w:fill="D8D8D8" w:themeFill="background1" w:themeFillShade="D9"/>
            <w:vAlign w:val="center"/>
          </w:tcPr>
          <w:p>
            <w:pPr>
              <w:pStyle w:val="3238"/>
            </w:pPr>
            <w:r>
              <w:t>内容</w:t>
            </w:r>
          </w:p>
        </w:tc>
        <w:tc>
          <w:tcPr>
            <w:tcW w:w="1150" w:type="pct"/>
            <w:shd w:val="clear" w:color="auto" w:fill="D8D8D8" w:themeFill="background1" w:themeFillShade="D9"/>
            <w:vAlign w:val="center"/>
          </w:tcPr>
          <w:p>
            <w:pPr>
              <w:pStyle w:val="3238"/>
            </w:pPr>
            <w: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1</w:t>
            </w:r>
          </w:p>
        </w:tc>
        <w:tc>
          <w:tcPr>
            <w:tcW w:w="1369" w:type="pct"/>
            <w:shd w:val="clear" w:color="auto" w:fill="auto"/>
            <w:vAlign w:val="center"/>
          </w:tcPr>
          <w:p>
            <w:pPr>
              <w:pStyle w:val="3238"/>
              <w:rPr>
                <w:b/>
              </w:rPr>
            </w:pPr>
            <w:r>
              <w:t>开采矿种</w:t>
            </w:r>
          </w:p>
        </w:tc>
        <w:tc>
          <w:tcPr>
            <w:tcW w:w="729" w:type="pct"/>
            <w:shd w:val="clear" w:color="auto" w:fill="auto"/>
            <w:vAlign w:val="center"/>
          </w:tcPr>
          <w:p>
            <w:pPr>
              <w:pStyle w:val="3238"/>
            </w:pPr>
          </w:p>
        </w:tc>
        <w:tc>
          <w:tcPr>
            <w:tcW w:w="1333" w:type="pct"/>
            <w:shd w:val="clear" w:color="auto" w:fill="auto"/>
            <w:vAlign w:val="center"/>
          </w:tcPr>
          <w:p>
            <w:pPr>
              <w:pStyle w:val="3238"/>
              <w:rPr>
                <w:b/>
              </w:rPr>
            </w:pPr>
            <w:r>
              <w:t>建筑石料用灰岩</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2</w:t>
            </w:r>
          </w:p>
        </w:tc>
        <w:tc>
          <w:tcPr>
            <w:tcW w:w="1369" w:type="pct"/>
            <w:shd w:val="clear" w:color="auto" w:fill="auto"/>
            <w:vAlign w:val="center"/>
          </w:tcPr>
          <w:p>
            <w:pPr>
              <w:pStyle w:val="3238"/>
              <w:rPr>
                <w:b/>
              </w:rPr>
            </w:pPr>
            <w:r>
              <w:t>资源量/储量</w:t>
            </w:r>
          </w:p>
        </w:tc>
        <w:tc>
          <w:tcPr>
            <w:tcW w:w="729" w:type="pct"/>
            <w:shd w:val="clear" w:color="auto" w:fill="auto"/>
            <w:vAlign w:val="center"/>
          </w:tcPr>
          <w:p>
            <w:pPr>
              <w:pStyle w:val="3238"/>
              <w:rPr>
                <w:b/>
              </w:rPr>
            </w:pPr>
            <w:r>
              <w:t>万吨</w:t>
            </w:r>
          </w:p>
        </w:tc>
        <w:tc>
          <w:tcPr>
            <w:tcW w:w="1333" w:type="pct"/>
            <w:shd w:val="clear" w:color="auto" w:fill="auto"/>
            <w:vAlign w:val="center"/>
          </w:tcPr>
          <w:p>
            <w:pPr>
              <w:pStyle w:val="3238"/>
              <w:rPr>
                <w:b/>
              </w:rPr>
            </w:pPr>
            <w:r>
              <w:t>326.6</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419" w:type="pct"/>
            <w:shd w:val="clear" w:color="auto" w:fill="auto"/>
            <w:vAlign w:val="center"/>
          </w:tcPr>
          <w:p>
            <w:pPr>
              <w:pStyle w:val="3238"/>
            </w:pPr>
            <w:r>
              <w:t>3</w:t>
            </w:r>
          </w:p>
        </w:tc>
        <w:tc>
          <w:tcPr>
            <w:tcW w:w="1369" w:type="pct"/>
            <w:shd w:val="clear" w:color="auto" w:fill="auto"/>
            <w:vAlign w:val="center"/>
          </w:tcPr>
          <w:p>
            <w:pPr>
              <w:pStyle w:val="3238"/>
              <w:rPr>
                <w:b/>
              </w:rPr>
            </w:pPr>
            <w:r>
              <w:t>可采储量</w:t>
            </w:r>
          </w:p>
        </w:tc>
        <w:tc>
          <w:tcPr>
            <w:tcW w:w="729" w:type="pct"/>
            <w:shd w:val="clear" w:color="auto" w:fill="auto"/>
            <w:vAlign w:val="center"/>
          </w:tcPr>
          <w:p>
            <w:pPr>
              <w:pStyle w:val="3238"/>
              <w:rPr>
                <w:b/>
              </w:rPr>
            </w:pPr>
            <w:r>
              <w:t>万吨</w:t>
            </w:r>
          </w:p>
        </w:tc>
        <w:tc>
          <w:tcPr>
            <w:tcW w:w="1333" w:type="pct"/>
            <w:shd w:val="clear" w:color="auto" w:fill="auto"/>
            <w:vAlign w:val="center"/>
          </w:tcPr>
          <w:p>
            <w:pPr>
              <w:pStyle w:val="3238"/>
              <w:rPr>
                <w:b/>
              </w:rPr>
            </w:pPr>
            <w:r>
              <w:t>293.94</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4</w:t>
            </w:r>
          </w:p>
        </w:tc>
        <w:tc>
          <w:tcPr>
            <w:tcW w:w="1369" w:type="pct"/>
            <w:shd w:val="clear" w:color="auto" w:fill="auto"/>
            <w:vAlign w:val="center"/>
          </w:tcPr>
          <w:p>
            <w:pPr>
              <w:pStyle w:val="3238"/>
              <w:rPr>
                <w:b/>
              </w:rPr>
            </w:pPr>
            <w:r>
              <w:t>回采率</w:t>
            </w:r>
          </w:p>
        </w:tc>
        <w:tc>
          <w:tcPr>
            <w:tcW w:w="729" w:type="pct"/>
            <w:shd w:val="clear" w:color="auto" w:fill="auto"/>
            <w:vAlign w:val="center"/>
          </w:tcPr>
          <w:p>
            <w:pPr>
              <w:pStyle w:val="3238"/>
            </w:pPr>
            <w:r>
              <w:t>%</w:t>
            </w:r>
          </w:p>
        </w:tc>
        <w:tc>
          <w:tcPr>
            <w:tcW w:w="1333" w:type="pct"/>
            <w:shd w:val="clear" w:color="auto" w:fill="auto"/>
            <w:vAlign w:val="center"/>
          </w:tcPr>
          <w:p>
            <w:pPr>
              <w:pStyle w:val="3238"/>
              <w:rPr>
                <w:b/>
              </w:rPr>
            </w:pPr>
            <w:r>
              <w:t>90</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5</w:t>
            </w:r>
          </w:p>
        </w:tc>
        <w:tc>
          <w:tcPr>
            <w:tcW w:w="1369" w:type="pct"/>
            <w:shd w:val="clear" w:color="auto" w:fill="auto"/>
            <w:vAlign w:val="center"/>
          </w:tcPr>
          <w:p>
            <w:pPr>
              <w:pStyle w:val="3238"/>
              <w:rPr>
                <w:b/>
              </w:rPr>
            </w:pPr>
            <w:r>
              <w:t>矿山采矿规模</w:t>
            </w:r>
          </w:p>
        </w:tc>
        <w:tc>
          <w:tcPr>
            <w:tcW w:w="729" w:type="pct"/>
            <w:shd w:val="clear" w:color="auto" w:fill="auto"/>
            <w:vAlign w:val="center"/>
          </w:tcPr>
          <w:p>
            <w:pPr>
              <w:pStyle w:val="3238"/>
              <w:rPr>
                <w:b/>
              </w:rPr>
            </w:pPr>
            <w:r>
              <w:t>万吨/年</w:t>
            </w:r>
          </w:p>
        </w:tc>
        <w:tc>
          <w:tcPr>
            <w:tcW w:w="1333" w:type="pct"/>
            <w:shd w:val="clear" w:color="auto" w:fill="auto"/>
            <w:vAlign w:val="center"/>
          </w:tcPr>
          <w:p>
            <w:pPr>
              <w:pStyle w:val="3238"/>
              <w:rPr>
                <w:b/>
              </w:rPr>
            </w:pPr>
            <w:r>
              <w:t>100</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p>
        </w:tc>
        <w:tc>
          <w:tcPr>
            <w:tcW w:w="1369" w:type="pct"/>
            <w:shd w:val="clear" w:color="auto" w:fill="auto"/>
            <w:vAlign w:val="center"/>
          </w:tcPr>
          <w:p>
            <w:pPr>
              <w:pStyle w:val="3238"/>
              <w:rPr>
                <w:b/>
              </w:rPr>
            </w:pPr>
            <w:r>
              <w:t>生产规模</w:t>
            </w:r>
          </w:p>
        </w:tc>
        <w:tc>
          <w:tcPr>
            <w:tcW w:w="729" w:type="pct"/>
            <w:shd w:val="clear" w:color="auto" w:fill="auto"/>
            <w:vAlign w:val="center"/>
          </w:tcPr>
          <w:p>
            <w:pPr>
              <w:pStyle w:val="3238"/>
            </w:pPr>
          </w:p>
        </w:tc>
        <w:tc>
          <w:tcPr>
            <w:tcW w:w="1333" w:type="pct"/>
            <w:shd w:val="clear" w:color="auto" w:fill="auto"/>
            <w:vAlign w:val="center"/>
          </w:tcPr>
          <w:p>
            <w:pPr>
              <w:pStyle w:val="3238"/>
            </w:pPr>
          </w:p>
        </w:tc>
        <w:tc>
          <w:tcPr>
            <w:tcW w:w="1150" w:type="pct"/>
            <w:shd w:val="clear" w:color="auto" w:fill="auto"/>
            <w:vAlign w:val="center"/>
          </w:tcPr>
          <w:p>
            <w:pPr>
              <w:pStyle w:val="3238"/>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419" w:type="pct"/>
            <w:shd w:val="clear" w:color="auto" w:fill="auto"/>
            <w:vAlign w:val="center"/>
          </w:tcPr>
          <w:p>
            <w:pPr>
              <w:pStyle w:val="3238"/>
            </w:pPr>
            <w:r>
              <w:t>6</w:t>
            </w:r>
          </w:p>
        </w:tc>
        <w:tc>
          <w:tcPr>
            <w:tcW w:w="1369" w:type="pct"/>
            <w:shd w:val="clear" w:color="auto" w:fill="auto"/>
            <w:vAlign w:val="center"/>
          </w:tcPr>
          <w:p>
            <w:pPr>
              <w:pStyle w:val="3238"/>
              <w:rPr>
                <w:b/>
              </w:rPr>
            </w:pPr>
            <w:r>
              <w:t>设计服务年限</w:t>
            </w:r>
          </w:p>
        </w:tc>
        <w:tc>
          <w:tcPr>
            <w:tcW w:w="729" w:type="pct"/>
            <w:shd w:val="clear" w:color="auto" w:fill="auto"/>
            <w:vAlign w:val="center"/>
          </w:tcPr>
          <w:p>
            <w:pPr>
              <w:pStyle w:val="3238"/>
            </w:pPr>
            <w:r>
              <w:t>a</w:t>
            </w:r>
          </w:p>
        </w:tc>
        <w:tc>
          <w:tcPr>
            <w:tcW w:w="1333" w:type="pct"/>
            <w:shd w:val="clear" w:color="auto" w:fill="auto"/>
            <w:vAlign w:val="center"/>
          </w:tcPr>
          <w:p>
            <w:pPr>
              <w:pStyle w:val="3238"/>
            </w:pPr>
            <w:r>
              <w:t>3</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7</w:t>
            </w:r>
          </w:p>
        </w:tc>
        <w:tc>
          <w:tcPr>
            <w:tcW w:w="1369" w:type="pct"/>
            <w:shd w:val="clear" w:color="auto" w:fill="auto"/>
            <w:vAlign w:val="center"/>
          </w:tcPr>
          <w:p>
            <w:pPr>
              <w:pStyle w:val="3238"/>
              <w:rPr>
                <w:b/>
              </w:rPr>
            </w:pPr>
            <w:r>
              <w:t>矿体开采标高</w:t>
            </w:r>
          </w:p>
        </w:tc>
        <w:tc>
          <w:tcPr>
            <w:tcW w:w="729" w:type="pct"/>
            <w:shd w:val="clear" w:color="auto" w:fill="auto"/>
            <w:vAlign w:val="center"/>
          </w:tcPr>
          <w:p>
            <w:pPr>
              <w:pStyle w:val="3238"/>
            </w:pPr>
            <w:r>
              <w:t>m</w:t>
            </w:r>
          </w:p>
        </w:tc>
        <w:tc>
          <w:tcPr>
            <w:tcW w:w="1333" w:type="pct"/>
            <w:shd w:val="clear" w:color="auto" w:fill="auto"/>
            <w:vAlign w:val="center"/>
          </w:tcPr>
          <w:p>
            <w:pPr>
              <w:pStyle w:val="3238"/>
              <w:rPr>
                <w:b/>
              </w:rPr>
            </w:pPr>
            <w:r>
              <w:t>+380m~+251m</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8</w:t>
            </w:r>
          </w:p>
        </w:tc>
        <w:tc>
          <w:tcPr>
            <w:tcW w:w="1369" w:type="pct"/>
            <w:shd w:val="clear" w:color="auto" w:fill="auto"/>
            <w:vAlign w:val="center"/>
          </w:tcPr>
          <w:p>
            <w:pPr>
              <w:pStyle w:val="3238"/>
              <w:rPr>
                <w:b/>
              </w:rPr>
            </w:pPr>
            <w:r>
              <w:t>设计实际开采标高</w:t>
            </w:r>
          </w:p>
        </w:tc>
        <w:tc>
          <w:tcPr>
            <w:tcW w:w="729" w:type="pct"/>
            <w:shd w:val="clear" w:color="auto" w:fill="auto"/>
            <w:vAlign w:val="center"/>
          </w:tcPr>
          <w:p>
            <w:pPr>
              <w:pStyle w:val="3238"/>
            </w:pPr>
            <w:r>
              <w:t>m</w:t>
            </w:r>
          </w:p>
        </w:tc>
        <w:tc>
          <w:tcPr>
            <w:tcW w:w="1333" w:type="pct"/>
            <w:shd w:val="clear" w:color="auto" w:fill="auto"/>
            <w:vAlign w:val="center"/>
          </w:tcPr>
          <w:p>
            <w:pPr>
              <w:pStyle w:val="3238"/>
              <w:rPr>
                <w:b/>
              </w:rPr>
            </w:pPr>
            <w:r>
              <w:t>+380m~+251m</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pPr>
            <w:r>
              <w:t>9</w:t>
            </w:r>
          </w:p>
        </w:tc>
        <w:tc>
          <w:tcPr>
            <w:tcW w:w="1369" w:type="pct"/>
            <w:shd w:val="clear" w:color="auto" w:fill="auto"/>
            <w:vAlign w:val="center"/>
          </w:tcPr>
          <w:p>
            <w:pPr>
              <w:pStyle w:val="3238"/>
              <w:rPr>
                <w:b/>
              </w:rPr>
            </w:pPr>
            <w:r>
              <w:t>平均剥采比</w:t>
            </w:r>
          </w:p>
        </w:tc>
        <w:tc>
          <w:tcPr>
            <w:tcW w:w="729" w:type="pct"/>
            <w:shd w:val="clear" w:color="auto" w:fill="auto"/>
            <w:vAlign w:val="center"/>
          </w:tcPr>
          <w:p>
            <w:pPr>
              <w:pStyle w:val="3238"/>
            </w:pPr>
          </w:p>
        </w:tc>
        <w:tc>
          <w:tcPr>
            <w:tcW w:w="1333" w:type="pct"/>
            <w:shd w:val="clear" w:color="auto" w:fill="auto"/>
            <w:vAlign w:val="center"/>
          </w:tcPr>
          <w:p>
            <w:pPr>
              <w:pStyle w:val="3238"/>
              <w:rPr>
                <w:b/>
              </w:rPr>
            </w:pPr>
            <w:r>
              <w:t>0.45：1</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419" w:type="pct"/>
            <w:shd w:val="clear" w:color="auto" w:fill="auto"/>
            <w:vAlign w:val="center"/>
          </w:tcPr>
          <w:p>
            <w:pPr>
              <w:pStyle w:val="3238"/>
              <w:rPr>
                <w:b/>
              </w:rPr>
            </w:pPr>
            <w:r>
              <w:t>10</w:t>
            </w:r>
          </w:p>
        </w:tc>
        <w:tc>
          <w:tcPr>
            <w:tcW w:w="1369" w:type="pct"/>
            <w:shd w:val="clear" w:color="auto" w:fill="auto"/>
            <w:vAlign w:val="center"/>
          </w:tcPr>
          <w:p>
            <w:pPr>
              <w:pStyle w:val="3238"/>
              <w:rPr>
                <w:b/>
              </w:rPr>
            </w:pPr>
            <w:r>
              <w:t>开采方式</w:t>
            </w:r>
          </w:p>
        </w:tc>
        <w:tc>
          <w:tcPr>
            <w:tcW w:w="729" w:type="pct"/>
            <w:shd w:val="clear" w:color="auto" w:fill="auto"/>
            <w:vAlign w:val="center"/>
          </w:tcPr>
          <w:p>
            <w:pPr>
              <w:pStyle w:val="3238"/>
            </w:pPr>
          </w:p>
        </w:tc>
        <w:tc>
          <w:tcPr>
            <w:tcW w:w="1333" w:type="pct"/>
            <w:shd w:val="clear" w:color="auto" w:fill="auto"/>
            <w:vAlign w:val="center"/>
          </w:tcPr>
          <w:p>
            <w:pPr>
              <w:pStyle w:val="3238"/>
              <w:rPr>
                <w:b/>
              </w:rPr>
            </w:pPr>
            <w:r>
              <w:t>露天台阶式分层开采</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rPr>
                <w:b/>
              </w:rPr>
            </w:pPr>
            <w:r>
              <w:t>11</w:t>
            </w:r>
          </w:p>
        </w:tc>
        <w:tc>
          <w:tcPr>
            <w:tcW w:w="1369" w:type="pct"/>
            <w:shd w:val="clear" w:color="auto" w:fill="auto"/>
            <w:vAlign w:val="center"/>
          </w:tcPr>
          <w:p>
            <w:pPr>
              <w:pStyle w:val="3238"/>
              <w:rPr>
                <w:b/>
              </w:rPr>
            </w:pPr>
            <w:r>
              <w:t>开拓方式</w:t>
            </w:r>
          </w:p>
        </w:tc>
        <w:tc>
          <w:tcPr>
            <w:tcW w:w="729" w:type="pct"/>
            <w:shd w:val="clear" w:color="auto" w:fill="auto"/>
            <w:vAlign w:val="center"/>
          </w:tcPr>
          <w:p>
            <w:pPr>
              <w:pStyle w:val="3238"/>
            </w:pPr>
          </w:p>
        </w:tc>
        <w:tc>
          <w:tcPr>
            <w:tcW w:w="1333" w:type="pct"/>
            <w:shd w:val="clear" w:color="auto" w:fill="auto"/>
            <w:vAlign w:val="center"/>
          </w:tcPr>
          <w:p>
            <w:pPr>
              <w:pStyle w:val="3238"/>
              <w:rPr>
                <w:b/>
              </w:rPr>
            </w:pPr>
            <w:r>
              <w:t>公路开拓</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rPr>
                <w:b/>
              </w:rPr>
            </w:pPr>
            <w:r>
              <w:t>12</w:t>
            </w:r>
          </w:p>
        </w:tc>
        <w:tc>
          <w:tcPr>
            <w:tcW w:w="1369" w:type="pct"/>
            <w:shd w:val="clear" w:color="auto" w:fill="auto"/>
            <w:vAlign w:val="center"/>
          </w:tcPr>
          <w:p>
            <w:pPr>
              <w:pStyle w:val="3238"/>
              <w:rPr>
                <w:b/>
              </w:rPr>
            </w:pPr>
            <w:r>
              <w:t>采矿方法</w:t>
            </w:r>
          </w:p>
        </w:tc>
        <w:tc>
          <w:tcPr>
            <w:tcW w:w="729" w:type="pct"/>
            <w:shd w:val="clear" w:color="auto" w:fill="auto"/>
            <w:vAlign w:val="center"/>
          </w:tcPr>
          <w:p>
            <w:pPr>
              <w:pStyle w:val="3238"/>
            </w:pPr>
          </w:p>
        </w:tc>
        <w:tc>
          <w:tcPr>
            <w:tcW w:w="1333" w:type="pct"/>
            <w:shd w:val="clear" w:color="auto" w:fill="auto"/>
            <w:vAlign w:val="center"/>
          </w:tcPr>
          <w:p>
            <w:pPr>
              <w:pStyle w:val="3238"/>
              <w:rPr>
                <w:b/>
              </w:rPr>
            </w:pPr>
            <w:r>
              <w:rPr>
                <w:lang w:bidi="en-US"/>
              </w:rPr>
              <w:t>台阶式开采</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rPr>
                <w:b/>
              </w:rPr>
            </w:pPr>
            <w:r>
              <w:t>13</w:t>
            </w:r>
          </w:p>
        </w:tc>
        <w:tc>
          <w:tcPr>
            <w:tcW w:w="1369" w:type="pct"/>
            <w:shd w:val="clear" w:color="auto" w:fill="auto"/>
            <w:vAlign w:val="center"/>
          </w:tcPr>
          <w:p>
            <w:pPr>
              <w:pStyle w:val="3238"/>
              <w:rPr>
                <w:b/>
              </w:rPr>
            </w:pPr>
            <w:r>
              <w:t>安全平台宽度</w:t>
            </w:r>
          </w:p>
        </w:tc>
        <w:tc>
          <w:tcPr>
            <w:tcW w:w="729" w:type="pct"/>
            <w:shd w:val="clear" w:color="auto" w:fill="auto"/>
            <w:vAlign w:val="center"/>
          </w:tcPr>
          <w:p>
            <w:pPr>
              <w:pStyle w:val="3238"/>
            </w:pPr>
            <w:r>
              <w:t>m</w:t>
            </w:r>
          </w:p>
        </w:tc>
        <w:tc>
          <w:tcPr>
            <w:tcW w:w="1333" w:type="pct"/>
            <w:shd w:val="clear" w:color="auto" w:fill="auto"/>
            <w:vAlign w:val="center"/>
          </w:tcPr>
          <w:p>
            <w:pPr>
              <w:pStyle w:val="3238"/>
            </w:pPr>
            <w:r>
              <w:t>4</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419" w:type="pct"/>
            <w:shd w:val="clear" w:color="auto" w:fill="auto"/>
            <w:vAlign w:val="center"/>
          </w:tcPr>
          <w:p>
            <w:pPr>
              <w:pStyle w:val="3238"/>
              <w:rPr>
                <w:b/>
              </w:rPr>
            </w:pPr>
            <w:r>
              <w:t>14</w:t>
            </w:r>
          </w:p>
        </w:tc>
        <w:tc>
          <w:tcPr>
            <w:tcW w:w="1369" w:type="pct"/>
            <w:shd w:val="clear" w:color="auto" w:fill="auto"/>
            <w:vAlign w:val="center"/>
          </w:tcPr>
          <w:p>
            <w:pPr>
              <w:pStyle w:val="3238"/>
              <w:rPr>
                <w:b/>
              </w:rPr>
            </w:pPr>
            <w:r>
              <w:t>台阶采高</w:t>
            </w:r>
          </w:p>
        </w:tc>
        <w:tc>
          <w:tcPr>
            <w:tcW w:w="729" w:type="pct"/>
            <w:shd w:val="clear" w:color="auto" w:fill="auto"/>
            <w:vAlign w:val="center"/>
          </w:tcPr>
          <w:p>
            <w:pPr>
              <w:pStyle w:val="3238"/>
            </w:pPr>
            <w:r>
              <w:t>m</w:t>
            </w:r>
          </w:p>
        </w:tc>
        <w:tc>
          <w:tcPr>
            <w:tcW w:w="1333" w:type="pct"/>
            <w:shd w:val="clear" w:color="auto" w:fill="auto"/>
            <w:vAlign w:val="center"/>
          </w:tcPr>
          <w:p>
            <w:pPr>
              <w:pStyle w:val="3238"/>
            </w:pPr>
            <w:r>
              <w:t>8</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 w:hRule="atLeast"/>
          <w:jc w:val="center"/>
        </w:trPr>
        <w:tc>
          <w:tcPr>
            <w:tcW w:w="419" w:type="pct"/>
            <w:shd w:val="clear" w:color="auto" w:fill="auto"/>
            <w:vAlign w:val="center"/>
          </w:tcPr>
          <w:p>
            <w:pPr>
              <w:pStyle w:val="3238"/>
              <w:rPr>
                <w:b/>
              </w:rPr>
            </w:pPr>
            <w:r>
              <w:t>15</w:t>
            </w:r>
          </w:p>
        </w:tc>
        <w:tc>
          <w:tcPr>
            <w:tcW w:w="1369" w:type="pct"/>
            <w:shd w:val="clear" w:color="auto" w:fill="auto"/>
            <w:vAlign w:val="center"/>
          </w:tcPr>
          <w:p>
            <w:pPr>
              <w:pStyle w:val="3238"/>
              <w:rPr>
                <w:b/>
              </w:rPr>
            </w:pPr>
            <w:r>
              <w:t>工作制度</w:t>
            </w:r>
          </w:p>
        </w:tc>
        <w:tc>
          <w:tcPr>
            <w:tcW w:w="729" w:type="pct"/>
            <w:shd w:val="clear" w:color="auto" w:fill="auto"/>
            <w:vAlign w:val="center"/>
          </w:tcPr>
          <w:p>
            <w:pPr>
              <w:pStyle w:val="3238"/>
              <w:rPr>
                <w:b/>
              </w:rPr>
            </w:pPr>
            <w:r>
              <w:t>d/a</w:t>
            </w:r>
          </w:p>
        </w:tc>
        <w:tc>
          <w:tcPr>
            <w:tcW w:w="1333" w:type="pct"/>
            <w:shd w:val="clear" w:color="auto" w:fill="auto"/>
            <w:vAlign w:val="center"/>
          </w:tcPr>
          <w:p>
            <w:pPr>
              <w:pStyle w:val="3238"/>
              <w:rPr>
                <w:b/>
              </w:rPr>
            </w:pPr>
            <w:r>
              <w:t>333</w:t>
            </w:r>
          </w:p>
        </w:tc>
        <w:tc>
          <w:tcPr>
            <w:tcW w:w="1150" w:type="pct"/>
            <w:shd w:val="clear" w:color="auto" w:fill="auto"/>
            <w:vAlign w:val="center"/>
          </w:tcPr>
          <w:p>
            <w:pPr>
              <w:pStyle w:val="3238"/>
              <w:rPr>
                <w:b/>
              </w:rPr>
            </w:pPr>
            <w:r>
              <w:t xml:space="preserve">每天12小时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rPr>
                <w:b/>
              </w:rPr>
            </w:pPr>
            <w:r>
              <w:t>16</w:t>
            </w:r>
          </w:p>
        </w:tc>
        <w:tc>
          <w:tcPr>
            <w:tcW w:w="1369" w:type="pct"/>
            <w:shd w:val="clear" w:color="auto" w:fill="auto"/>
            <w:vAlign w:val="center"/>
          </w:tcPr>
          <w:p>
            <w:pPr>
              <w:pStyle w:val="3238"/>
              <w:rPr>
                <w:b/>
              </w:rPr>
            </w:pPr>
            <w:r>
              <w:t>劳动定员</w:t>
            </w:r>
          </w:p>
        </w:tc>
        <w:tc>
          <w:tcPr>
            <w:tcW w:w="729" w:type="pct"/>
            <w:shd w:val="clear" w:color="auto" w:fill="auto"/>
            <w:vAlign w:val="center"/>
          </w:tcPr>
          <w:p>
            <w:pPr>
              <w:pStyle w:val="3238"/>
            </w:pPr>
            <w:r>
              <w:t>人</w:t>
            </w:r>
          </w:p>
        </w:tc>
        <w:tc>
          <w:tcPr>
            <w:tcW w:w="1333" w:type="pct"/>
            <w:shd w:val="clear" w:color="auto" w:fill="auto"/>
            <w:vAlign w:val="center"/>
          </w:tcPr>
          <w:p>
            <w:pPr>
              <w:pStyle w:val="3238"/>
              <w:rPr>
                <w:b/>
              </w:rPr>
            </w:pPr>
            <w:r>
              <w:t>36</w:t>
            </w:r>
          </w:p>
        </w:tc>
        <w:tc>
          <w:tcPr>
            <w:tcW w:w="1150" w:type="pct"/>
            <w:shd w:val="clear" w:color="auto" w:fill="auto"/>
            <w:vAlign w:val="center"/>
          </w:tcPr>
          <w:p>
            <w:pPr>
              <w:pStyle w:val="3238"/>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19" w:type="pct"/>
            <w:shd w:val="clear" w:color="auto" w:fill="auto"/>
            <w:vAlign w:val="center"/>
          </w:tcPr>
          <w:p>
            <w:pPr>
              <w:pStyle w:val="3238"/>
              <w:rPr>
                <w:b/>
              </w:rPr>
            </w:pPr>
            <w:r>
              <w:t>17</w:t>
            </w:r>
          </w:p>
        </w:tc>
        <w:tc>
          <w:tcPr>
            <w:tcW w:w="1369" w:type="pct"/>
            <w:shd w:val="clear" w:color="auto" w:fill="auto"/>
            <w:vAlign w:val="center"/>
          </w:tcPr>
          <w:p>
            <w:pPr>
              <w:pStyle w:val="3238"/>
              <w:rPr>
                <w:b/>
              </w:rPr>
            </w:pPr>
            <w:r>
              <w:t>项目总投资</w:t>
            </w:r>
          </w:p>
        </w:tc>
        <w:tc>
          <w:tcPr>
            <w:tcW w:w="729" w:type="pct"/>
            <w:shd w:val="clear" w:color="auto" w:fill="auto"/>
            <w:vAlign w:val="center"/>
          </w:tcPr>
          <w:p>
            <w:pPr>
              <w:pStyle w:val="3238"/>
              <w:rPr>
                <w:b/>
              </w:rPr>
            </w:pPr>
            <w:r>
              <w:t>万元</w:t>
            </w:r>
          </w:p>
        </w:tc>
        <w:tc>
          <w:tcPr>
            <w:tcW w:w="1333" w:type="pct"/>
            <w:shd w:val="clear" w:color="auto" w:fill="auto"/>
            <w:vAlign w:val="center"/>
          </w:tcPr>
          <w:p>
            <w:pPr>
              <w:pStyle w:val="3238"/>
              <w:rPr>
                <w:b/>
              </w:rPr>
            </w:pPr>
            <w:r>
              <w:t>500</w:t>
            </w:r>
          </w:p>
        </w:tc>
        <w:tc>
          <w:tcPr>
            <w:tcW w:w="1150" w:type="pct"/>
            <w:shd w:val="clear" w:color="auto" w:fill="auto"/>
            <w:vAlign w:val="center"/>
          </w:tcPr>
          <w:p>
            <w:pPr>
              <w:pStyle w:val="3238"/>
            </w:pPr>
            <w:r>
              <w:t>/</w:t>
            </w:r>
          </w:p>
        </w:tc>
      </w:tr>
    </w:tbl>
    <w:p>
      <w:pPr>
        <w:pStyle w:val="4"/>
      </w:pPr>
      <w:bookmarkStart w:id="134" w:name="_Toc161676102"/>
      <w:r>
        <w:t>3.2项目工艺流程分析</w:t>
      </w:r>
      <w:bookmarkEnd w:id="134"/>
    </w:p>
    <w:p>
      <w:pPr>
        <w:pStyle w:val="5"/>
        <w:rPr>
          <w:color w:val="auto"/>
        </w:rPr>
      </w:pPr>
      <w:r>
        <w:rPr>
          <w:color w:val="auto"/>
        </w:rPr>
        <w:t>3.2.1建设期工艺及产排污环节</w:t>
      </w:r>
    </w:p>
    <w:p>
      <w:pPr>
        <w:pStyle w:val="300"/>
      </w:pPr>
      <w:r>
        <w:t>项目矿山建设期主要包括矿区道路建设、截排水沟、沉淀池、挡土墙等的建设。该过程中主要会产生设备施工噪声，汽车、设备的机械尾气、少量的土石方、生活垃圾等，施工规模（面积）小，生态影响较小。建设期工艺流程见下图：</w:t>
      </w:r>
    </w:p>
    <w:p>
      <w:pPr>
        <w:pStyle w:val="3188"/>
        <w:spacing w:before="24" w:after="24"/>
        <w:ind w:firstLine="0" w:firstLineChars="0"/>
        <w:jc w:val="both"/>
        <w:rPr>
          <w:rFonts w:ascii="Times New Roman" w:hAnsi="Times New Roman"/>
          <w:bCs w:val="0"/>
          <w:szCs w:val="20"/>
        </w:rPr>
      </w:pPr>
    </w:p>
    <w:p>
      <w:pPr>
        <w:pStyle w:val="3188"/>
        <w:spacing w:before="24" w:after="24"/>
        <w:ind w:firstLine="0" w:firstLineChars="0"/>
        <w:jc w:val="both"/>
        <w:rPr>
          <w:rFonts w:ascii="Times New Roman" w:hAnsi="Times New Roman"/>
          <w:sz w:val="26"/>
          <w:szCs w:val="26"/>
        </w:rPr>
      </w:pPr>
      <w:r>
        <w:rPr>
          <w:rFonts w:ascii="Times New Roman" w:hAnsi="Times New Roman"/>
        </w:rPr>
        <w:object>
          <v:shape id="_x0000_i1026" o:spt="75" type="#_x0000_t75" style="height:87.05pt;width:412.65pt;" o:ole="t" filled="f" o:preferrelative="t" stroked="f" coordsize="21600,21600">
            <v:path/>
            <v:fill on="f" focussize="0,0"/>
            <v:stroke on="f" joinstyle="miter"/>
            <v:imagedata r:id="rId53" o:title=""/>
            <o:lock v:ext="edit" aspectratio="t"/>
            <w10:wrap type="none"/>
            <w10:anchorlock/>
          </v:shape>
          <o:OLEObject Type="Embed" ProgID="Visio.Drawing.15" ShapeID="_x0000_i1026" DrawAspect="Content" ObjectID="_1468075726" r:id="rId52">
            <o:LockedField>false</o:LockedField>
          </o:OLEObject>
        </w:object>
      </w:r>
    </w:p>
    <w:p>
      <w:pPr>
        <w:spacing w:line="240" w:lineRule="atLeast"/>
        <w:ind w:firstLine="0" w:firstLineChars="0"/>
        <w:jc w:val="center"/>
      </w:pPr>
    </w:p>
    <w:p>
      <w:pPr>
        <w:spacing w:line="360" w:lineRule="auto"/>
        <w:ind w:firstLine="0" w:firstLineChars="0"/>
        <w:jc w:val="center"/>
        <w:rPr>
          <w:sz w:val="24"/>
        </w:rPr>
      </w:pPr>
      <w:r>
        <w:rPr>
          <w:sz w:val="24"/>
        </w:rPr>
        <w:t>图3-2   建设期施工工艺及产排污环节图</w:t>
      </w:r>
    </w:p>
    <w:p>
      <w:pPr>
        <w:pStyle w:val="300"/>
        <w:adjustRightInd w:val="0"/>
        <w:snapToGrid w:val="0"/>
      </w:pPr>
      <w:r>
        <w:t>工业场地及配套设施依托已建设施，对工业场地内存在的问题进行整改。</w:t>
      </w:r>
    </w:p>
    <w:p>
      <w:pPr>
        <w:pStyle w:val="5"/>
        <w:rPr>
          <w:color w:val="auto"/>
        </w:rPr>
      </w:pPr>
      <w:r>
        <w:rPr>
          <w:color w:val="auto"/>
        </w:rPr>
        <w:t>3.2.2开采区生产工艺及产污环节分析</w:t>
      </w:r>
    </w:p>
    <w:p>
      <w:pPr>
        <w:pStyle w:val="222"/>
      </w:pPr>
      <w:r>
        <w:drawing>
          <wp:anchor distT="0" distB="0" distL="114300" distR="114300" simplePos="0" relativeHeight="251762688" behindDoc="0" locked="0" layoutInCell="1" allowOverlap="1">
            <wp:simplePos x="0" y="0"/>
            <wp:positionH relativeFrom="margin">
              <wp:posOffset>-112395</wp:posOffset>
            </wp:positionH>
            <wp:positionV relativeFrom="margin">
              <wp:posOffset>6298565</wp:posOffset>
            </wp:positionV>
            <wp:extent cx="5544185" cy="1487805"/>
            <wp:effectExtent l="0" t="0" r="0" b="0"/>
            <wp:wrapSquare wrapText="bothSides"/>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noChangeArrowheads="true"/>
                    </pic:cNvPicPr>
                  </pic:nvPicPr>
                  <pic:blipFill>
                    <a:blip r:embed="rId54">
                      <a:extLst>
                        <a:ext uri="{28A0092B-C50C-407E-A947-70E740481C1C}">
                          <a14:useLocalDpi xmlns:a14="http://schemas.microsoft.com/office/drawing/2010/main" val="false"/>
                        </a:ext>
                      </a:extLst>
                    </a:blip>
                    <a:srcRect/>
                    <a:stretch>
                      <a:fillRect/>
                    </a:stretch>
                  </pic:blipFill>
                  <pic:spPr>
                    <a:xfrm>
                      <a:off x="0" y="0"/>
                      <a:ext cx="5544185" cy="1487805"/>
                    </a:xfrm>
                    <a:prstGeom prst="rect">
                      <a:avLst/>
                    </a:prstGeom>
                    <a:noFill/>
                    <a:ln>
                      <a:noFill/>
                    </a:ln>
                  </pic:spPr>
                </pic:pic>
              </a:graphicData>
            </a:graphic>
          </wp:anchor>
        </w:drawing>
      </w:r>
      <w:r>
        <w:t>开采过程主要包括表土剥离、钻孔、爆破、采装、运输等五个工序，开采工艺流程见图3.2-2。</w:t>
      </w:r>
    </w:p>
    <w:p>
      <w:pPr>
        <w:pStyle w:val="222"/>
      </w:pPr>
    </w:p>
    <w:p>
      <w:pPr>
        <w:pStyle w:val="263"/>
        <w:rPr>
          <w:rFonts w:eastAsia="宋体"/>
        </w:rPr>
      </w:pPr>
      <w:r>
        <w:rPr>
          <w:rFonts w:eastAsia="宋体"/>
        </w:rPr>
        <w:t>图3-3   开采工艺流程及产污节点示意图</w:t>
      </w:r>
    </w:p>
    <w:p>
      <w:pPr>
        <w:spacing w:line="460" w:lineRule="exact"/>
        <w:ind w:firstLine="522"/>
        <w:jc w:val="both"/>
        <w:rPr>
          <w:b/>
          <w:szCs w:val="26"/>
        </w:rPr>
      </w:pPr>
      <w:r>
        <w:rPr>
          <w:b/>
          <w:szCs w:val="26"/>
        </w:rPr>
        <w:t>主要工艺简介：</w:t>
      </w:r>
    </w:p>
    <w:p>
      <w:pPr>
        <w:pStyle w:val="300"/>
      </w:pPr>
      <w:r>
        <w:t>（1）表土剥离：在开采作业之前进行表土剥离，剥离的表土暂存在排土场，用于后期复垦和生态修复。表土剥离采用人工加机械开挖方式完成，施工过程中将产生噪声和粉尘。</w:t>
      </w:r>
    </w:p>
    <w:p>
      <w:pPr>
        <w:pStyle w:val="300"/>
      </w:pPr>
      <w:r>
        <w:t>（2）钻孔：采用潜孔钻机在工作平台上钻孔，布置多排孔。潜孔钻自带收尘装置，炮孔布置采用三角形布孔，炮孔为斜孔，钻孔孔径90mm，孔深12m，孔间距4.3m。钻孔过程有少量粉尘和噪声产生。</w:t>
      </w:r>
    </w:p>
    <w:p>
      <w:pPr>
        <w:pStyle w:val="300"/>
      </w:pPr>
      <w:r>
        <w:t>（3）爆破：爆破采用中深孔多排微差爆破方式，爆破频次为3天爆破1次，一次起爆炮孔数为20个，单孔炸药最大用量为65kg，单炮孔装药量不超过0.35kg/m3。矿山爆破作业委托民爆公司负责作业管理。爆破过程有粉尘、爆破废气、偶发噪声及振动产生。</w:t>
      </w:r>
    </w:p>
    <w:p>
      <w:pPr>
        <w:pStyle w:val="300"/>
      </w:pPr>
      <w:r>
        <w:t>（4）锤破：对开采出来较大的矿石现场采用液压破碎锤进行锤破，破碎至粒径在1-2m以内的矿石，便于后续外运及满足下游加工厂的需求。锤破过程中将产生粉尘和噪声。</w:t>
      </w:r>
    </w:p>
    <w:p>
      <w:pPr>
        <w:pStyle w:val="300"/>
      </w:pPr>
      <w:r>
        <w:t>（5）铲装：表土采用挖掘机直接挖装，或用装载机配合挖掘机进行堆集后铲装，被松动后用挖掘机和装载机进行铲装。铲装作业也在挖掘工作面旁进行，开采出的灰岩矿即为产品外售。铲装过程中将产生噪声和粉尘。</w:t>
      </w:r>
    </w:p>
    <w:p>
      <w:pPr>
        <w:pStyle w:val="300"/>
      </w:pPr>
      <w:r>
        <w:t>（5）其他：</w:t>
      </w:r>
    </w:p>
    <w:p>
      <w:pPr>
        <w:pStyle w:val="300"/>
      </w:pPr>
      <w:r>
        <w:t>拟建项目不设置食堂和宿舍，项目员工利用周边乡镇便利设施解决，仅产生少量生活污水和生活垃圾。</w:t>
      </w:r>
    </w:p>
    <w:p>
      <w:pPr>
        <w:pStyle w:val="300"/>
      </w:pPr>
      <w:r>
        <w:t>不设置设备维修间，仅进行简单维修保养，重大维修则送至专门维修厂家，维修保养过程中产生的废润滑油、废含油棉纱属于工厂和专门维修企业范畴。</w:t>
      </w:r>
    </w:p>
    <w:p>
      <w:pPr>
        <w:pStyle w:val="5"/>
        <w:rPr>
          <w:color w:val="auto"/>
        </w:rPr>
      </w:pPr>
      <w:r>
        <w:rPr>
          <w:color w:val="auto"/>
        </w:rPr>
        <w:t>3.2.3矿石加工工艺流程及产污环节分析</w:t>
      </w:r>
    </w:p>
    <w:p>
      <w:pPr>
        <w:pStyle w:val="222"/>
      </w:pPr>
      <w:r>
        <w:t>依托已建碎石加工生产线，现有碎石加工生产规模为70万吨/年，生产规模不变，现有设备也能满足生产负荷。</w:t>
      </w:r>
    </w:p>
    <w:p>
      <w:pPr>
        <w:pStyle w:val="222"/>
        <w:jc w:val="center"/>
      </w:pPr>
      <w:r>
        <w:object>
          <v:shape id="_x0000_i1027" o:spt="75" type="#_x0000_t75" style="height:317pt;width:231.05pt;" o:ole="t" filled="f" o:preferrelative="t" stroked="f" coordsize="21600,21600">
            <v:path/>
            <v:fill on="f" focussize="0,0"/>
            <v:stroke on="f" joinstyle="miter"/>
            <v:imagedata r:id="rId56" o:title=""/>
            <o:lock v:ext="edit" aspectratio="t"/>
            <w10:wrap type="none"/>
            <w10:anchorlock/>
          </v:shape>
          <o:OLEObject Type="Embed" ProgID="Visio.Drawing.15" ShapeID="_x0000_i1027" DrawAspect="Content" ObjectID="_1468075727" r:id="rId55">
            <o:LockedField>false</o:LockedField>
          </o:OLEObject>
        </w:object>
      </w:r>
    </w:p>
    <w:p>
      <w:pPr>
        <w:pStyle w:val="222"/>
        <w:jc w:val="center"/>
      </w:pPr>
      <w:r>
        <w:t>图3-4   矿石加工工艺流程及产污节点示意图</w:t>
      </w:r>
    </w:p>
    <w:p>
      <w:pPr>
        <w:pStyle w:val="222"/>
      </w:pPr>
    </w:p>
    <w:p>
      <w:pPr>
        <w:pStyle w:val="222"/>
      </w:pPr>
      <w:r>
        <w:t>工艺流程简述：</w:t>
      </w:r>
    </w:p>
    <w:p>
      <w:pPr>
        <w:pStyle w:val="222"/>
      </w:pPr>
      <w:r>
        <w:t>上料：对运输来的矿石堆放在上料口附近，采用铲车将物料上料只上料口，进入破碎机进行破碎；该过程会产生粉尘、噪声；</w:t>
      </w:r>
    </w:p>
    <w:p>
      <w:pPr>
        <w:pStyle w:val="222"/>
      </w:pPr>
      <w:r>
        <w:t>颚式破碎：开采的矿石由自卸汽车运输至工业场地上料口附近，再进入颚式破碎机进行初破，将50~1000cm的矿石送入颚式破碎机中进行破碎至10~28 cm的小石块；该过程会产生粉尘、噪声；</w:t>
      </w:r>
    </w:p>
    <w:p>
      <w:pPr>
        <w:spacing w:line="360" w:lineRule="auto"/>
        <w:ind w:firstLine="480"/>
        <w:jc w:val="both"/>
        <w:rPr>
          <w:sz w:val="24"/>
          <w:szCs w:val="26"/>
        </w:rPr>
      </w:pPr>
      <w:r>
        <w:rPr>
          <w:sz w:val="24"/>
          <w:szCs w:val="26"/>
        </w:rPr>
        <w:t>反击式破碎：采用反击式破碎机进行二次破碎，破碎至0~20mm的物料；该过程会产生粉尘、噪声；</w:t>
      </w:r>
    </w:p>
    <w:p>
      <w:pPr>
        <w:spacing w:line="360" w:lineRule="auto"/>
        <w:ind w:firstLine="480"/>
        <w:jc w:val="both"/>
        <w:rPr>
          <w:sz w:val="24"/>
          <w:szCs w:val="26"/>
        </w:rPr>
      </w:pPr>
      <w:r>
        <w:rPr>
          <w:sz w:val="24"/>
          <w:szCs w:val="26"/>
        </w:rPr>
        <w:t>筛分：破碎后的物料通过传输带输送进入筛分机进行筛分，将物料筛分成大于20mm和小于20mm的，其中较大粒径的物料回转到反击式破碎机中进行再次破碎，较小粒径的物料进入筛分进行筛分，通过筛分机分成石粉（0~5mm）、碎石（5~10mm）和碎石（10~20mm）；该过程会产生粉尘、噪声；</w:t>
      </w:r>
    </w:p>
    <w:p>
      <w:pPr>
        <w:spacing w:line="360" w:lineRule="auto"/>
        <w:ind w:firstLine="480"/>
        <w:jc w:val="both"/>
        <w:rPr>
          <w:sz w:val="24"/>
          <w:szCs w:val="26"/>
        </w:rPr>
      </w:pPr>
      <w:r>
        <w:rPr>
          <w:sz w:val="24"/>
          <w:szCs w:val="26"/>
        </w:rPr>
        <w:t>装车外运：筛下合格的碎石直接进入料仓或堆场，装车外运销售。</w:t>
      </w:r>
    </w:p>
    <w:p>
      <w:pPr>
        <w:pStyle w:val="4"/>
      </w:pPr>
      <w:bookmarkStart w:id="135" w:name="_Toc161676103"/>
      <w:r>
        <w:t>3.3污染源源强核算</w:t>
      </w:r>
      <w:bookmarkEnd w:id="135"/>
    </w:p>
    <w:p>
      <w:pPr>
        <w:pStyle w:val="5"/>
        <w:rPr>
          <w:color w:val="auto"/>
        </w:rPr>
      </w:pPr>
      <w:r>
        <w:rPr>
          <w:color w:val="auto"/>
        </w:rPr>
        <w:t>3.3.1平衡分析</w:t>
      </w:r>
    </w:p>
    <w:p>
      <w:pPr>
        <w:pStyle w:val="6"/>
        <w:numPr>
          <w:ilvl w:val="3"/>
          <w:numId w:val="0"/>
        </w:numPr>
      </w:pPr>
      <w:r>
        <w:t>3.3.1.1土石方平衡</w:t>
      </w:r>
    </w:p>
    <w:p>
      <w:pPr>
        <w:ind w:firstLine="480"/>
        <w:jc w:val="both"/>
        <w:rPr>
          <w:sz w:val="24"/>
          <w:szCs w:val="24"/>
        </w:rPr>
      </w:pPr>
      <w:r>
        <w:rPr>
          <w:sz w:val="24"/>
          <w:szCs w:val="24"/>
        </w:rPr>
        <w:t>根据开发利用方案，可利用控制资源量为326.6万吨，回采率为90%，则可采资源量293.94万t，矿山产生弃石量约32.66万t，折合12.15万m</w:t>
      </w:r>
      <w:r>
        <w:rPr>
          <w:sz w:val="24"/>
          <w:szCs w:val="24"/>
          <w:vertAlign w:val="superscript"/>
        </w:rPr>
        <w:t>3</w:t>
      </w:r>
      <w:r>
        <w:rPr>
          <w:sz w:val="24"/>
          <w:szCs w:val="24"/>
        </w:rPr>
        <w:t>，服务年限为3年，则年产生10.89t/a，采用边开采边恢复的开采方式，因此临时暂存量较少；同时，多余的弃石外售给当地其他矿山作为修复使用或市政绿化使用。</w:t>
      </w:r>
    </w:p>
    <w:p>
      <w:pPr>
        <w:ind w:firstLine="480"/>
        <w:jc w:val="both"/>
        <w:rPr>
          <w:sz w:val="24"/>
          <w:szCs w:val="24"/>
        </w:rPr>
      </w:pPr>
      <w:r>
        <w:rPr>
          <w:sz w:val="24"/>
          <w:szCs w:val="24"/>
        </w:rPr>
        <w:t>根据矿山地质环境保护与土地复垦方案，矿区内占地均为林地、旱地、草地等，设计旱地区域剥离表土50cm，林地区域剥离表土30cm，草地区域剥离表土40cm，则项目区可剥离表土量为13736.5m</w:t>
      </w:r>
      <w:r>
        <w:rPr>
          <w:sz w:val="24"/>
          <w:szCs w:val="24"/>
          <w:vertAlign w:val="superscript"/>
        </w:rPr>
        <w:t>3</w:t>
      </w:r>
      <w:r>
        <w:rPr>
          <w:sz w:val="24"/>
          <w:szCs w:val="24"/>
        </w:rPr>
        <w:t>。</w:t>
      </w:r>
    </w:p>
    <w:p>
      <w:pPr>
        <w:ind w:firstLine="480"/>
        <w:jc w:val="both"/>
        <w:rPr>
          <w:sz w:val="24"/>
        </w:rPr>
      </w:pPr>
      <w:r>
        <w:rPr>
          <w:sz w:val="24"/>
          <w:szCs w:val="24"/>
        </w:rPr>
        <w:t>根据矿山地质环境保护与土地复垦方案，</w:t>
      </w:r>
      <w:r>
        <w:rPr>
          <w:sz w:val="24"/>
        </w:rPr>
        <w:t>项目区复垦方向为旱地、灌木林地，旱地0.2461hm</w:t>
      </w:r>
      <w:r>
        <w:rPr>
          <w:sz w:val="24"/>
          <w:vertAlign w:val="superscript"/>
        </w:rPr>
        <w:t>2</w:t>
      </w:r>
      <w:r>
        <w:rPr>
          <w:sz w:val="24"/>
        </w:rPr>
        <w:t>，位于终了底盘整体平场修复单元内，覆土厚度为0.5m，旱地修复区需土量共计1203.5m</w:t>
      </w:r>
      <w:r>
        <w:rPr>
          <w:sz w:val="24"/>
          <w:vertAlign w:val="superscript"/>
        </w:rPr>
        <w:t>3</w:t>
      </w:r>
      <w:r>
        <w:rPr>
          <w:sz w:val="24"/>
        </w:rPr>
        <w:t>。灌木林地修复面积为4.4164hm</w:t>
      </w:r>
      <w:r>
        <w:rPr>
          <w:sz w:val="24"/>
          <w:vertAlign w:val="superscript"/>
        </w:rPr>
        <w:t>2</w:t>
      </w:r>
      <w:r>
        <w:rPr>
          <w:sz w:val="24"/>
        </w:rPr>
        <w:t>，位于边坡、堆场、安全平台、清扫平台等，依据终了地形条件，针对种植灌木林的平台采取每株按顶宽0.6m×0.6m，底宽0.3m×0.3m，深10m凿土坑种植，剩余撒播草籽区域覆土0.3m，经计算林地修复区需土量共计13249.2m</w:t>
      </w:r>
      <w:r>
        <w:rPr>
          <w:sz w:val="24"/>
          <w:vertAlign w:val="superscript"/>
        </w:rPr>
        <w:t>3</w:t>
      </w:r>
      <w:r>
        <w:rPr>
          <w:sz w:val="24"/>
        </w:rPr>
        <w:t>；则修复需土量共计14479.7m</w:t>
      </w:r>
      <w:r>
        <w:rPr>
          <w:sz w:val="24"/>
          <w:vertAlign w:val="superscript"/>
        </w:rPr>
        <w:t>3</w:t>
      </w:r>
      <w:r>
        <w:rPr>
          <w:sz w:val="24"/>
        </w:rPr>
        <w:t>。</w:t>
      </w:r>
    </w:p>
    <w:p>
      <w:pPr>
        <w:pStyle w:val="84"/>
      </w:pPr>
      <w:r>
        <w:t xml:space="preserve">表3.3-1  本项目土石方平衡表 </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3"/>
        <w:gridCol w:w="1816"/>
        <w:gridCol w:w="2450"/>
        <w:gridCol w:w="24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8" w:type="pct"/>
            <w:shd w:val="clear" w:color="auto" w:fill="D8D8D8" w:themeFill="background1" w:themeFillShade="D9"/>
            <w:noWrap/>
            <w:vAlign w:val="center"/>
          </w:tcPr>
          <w:p>
            <w:pPr>
              <w:pStyle w:val="178"/>
              <w:rPr>
                <w:b/>
                <w:color w:val="auto"/>
              </w:rPr>
            </w:pPr>
            <w:r>
              <w:rPr>
                <w:b/>
                <w:color w:val="auto"/>
              </w:rPr>
              <w:t>项目组成</w:t>
            </w:r>
          </w:p>
        </w:tc>
        <w:tc>
          <w:tcPr>
            <w:tcW w:w="1015" w:type="pct"/>
            <w:shd w:val="clear" w:color="auto" w:fill="D8D8D8" w:themeFill="background1" w:themeFillShade="D9"/>
            <w:vAlign w:val="center"/>
          </w:tcPr>
          <w:p>
            <w:pPr>
              <w:pStyle w:val="178"/>
              <w:rPr>
                <w:b/>
                <w:color w:val="auto"/>
              </w:rPr>
            </w:pPr>
            <w:r>
              <w:rPr>
                <w:b/>
                <w:color w:val="auto"/>
              </w:rPr>
              <w:t>挖方</w:t>
            </w:r>
            <w:r>
              <w:rPr>
                <w:color w:val="auto"/>
              </w:rPr>
              <w:t>（m</w:t>
            </w:r>
            <w:r>
              <w:rPr>
                <w:color w:val="auto"/>
                <w:vertAlign w:val="superscript"/>
              </w:rPr>
              <w:t>3</w:t>
            </w:r>
            <w:r>
              <w:rPr>
                <w:color w:val="auto"/>
              </w:rPr>
              <w:t>）</w:t>
            </w:r>
          </w:p>
        </w:tc>
        <w:tc>
          <w:tcPr>
            <w:tcW w:w="1369" w:type="pct"/>
            <w:shd w:val="clear" w:color="auto" w:fill="D8D8D8" w:themeFill="background1" w:themeFillShade="D9"/>
          </w:tcPr>
          <w:p>
            <w:pPr>
              <w:pStyle w:val="178"/>
              <w:rPr>
                <w:b/>
                <w:color w:val="auto"/>
              </w:rPr>
            </w:pPr>
            <w:r>
              <w:rPr>
                <w:b/>
                <w:color w:val="auto"/>
              </w:rPr>
              <w:t>填方</w:t>
            </w:r>
            <w:r>
              <w:rPr>
                <w:color w:val="auto"/>
              </w:rPr>
              <w:t>（m</w:t>
            </w:r>
            <w:r>
              <w:rPr>
                <w:color w:val="auto"/>
                <w:vertAlign w:val="superscript"/>
              </w:rPr>
              <w:t>3</w:t>
            </w:r>
            <w:r>
              <w:rPr>
                <w:color w:val="auto"/>
              </w:rPr>
              <w:t>）</w:t>
            </w:r>
          </w:p>
        </w:tc>
        <w:tc>
          <w:tcPr>
            <w:tcW w:w="1369" w:type="pct"/>
            <w:shd w:val="clear" w:color="auto" w:fill="D8D8D8" w:themeFill="background1" w:themeFillShade="D9"/>
          </w:tcPr>
          <w:p>
            <w:pPr>
              <w:pStyle w:val="178"/>
              <w:rPr>
                <w:b/>
                <w:color w:val="auto"/>
              </w:rPr>
            </w:pPr>
            <w:r>
              <w:rPr>
                <w:b/>
                <w:color w:val="auto"/>
              </w:rPr>
              <w:t>借方</w:t>
            </w:r>
            <w:r>
              <w:rPr>
                <w:color w:val="auto"/>
              </w:rPr>
              <w:t>（m</w:t>
            </w:r>
            <w:r>
              <w:rPr>
                <w:color w:val="auto"/>
                <w:vertAlign w:val="superscript"/>
              </w:rPr>
              <w:t>3</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8" w:type="pct"/>
            <w:noWrap/>
            <w:vAlign w:val="center"/>
          </w:tcPr>
          <w:p>
            <w:pPr>
              <w:pStyle w:val="178"/>
              <w:rPr>
                <w:color w:val="auto"/>
              </w:rPr>
            </w:pPr>
            <w:r>
              <w:rPr>
                <w:color w:val="auto"/>
              </w:rPr>
              <w:t>表土</w:t>
            </w:r>
          </w:p>
        </w:tc>
        <w:tc>
          <w:tcPr>
            <w:tcW w:w="1015" w:type="pct"/>
            <w:vAlign w:val="center"/>
          </w:tcPr>
          <w:p>
            <w:pPr>
              <w:pStyle w:val="178"/>
              <w:rPr>
                <w:color w:val="auto"/>
              </w:rPr>
            </w:pPr>
            <w:r>
              <w:rPr>
                <w:color w:val="auto"/>
              </w:rPr>
              <w:t>13736.5</w:t>
            </w:r>
          </w:p>
        </w:tc>
        <w:tc>
          <w:tcPr>
            <w:tcW w:w="1369" w:type="pct"/>
            <w:vAlign w:val="center"/>
          </w:tcPr>
          <w:p>
            <w:pPr>
              <w:pStyle w:val="178"/>
              <w:rPr>
                <w:color w:val="auto"/>
              </w:rPr>
            </w:pPr>
            <w:r>
              <w:rPr>
                <w:color w:val="auto"/>
              </w:rPr>
              <w:t>14479.7</w:t>
            </w:r>
          </w:p>
        </w:tc>
        <w:tc>
          <w:tcPr>
            <w:tcW w:w="1369" w:type="pct"/>
          </w:tcPr>
          <w:p>
            <w:pPr>
              <w:pStyle w:val="178"/>
              <w:rPr>
                <w:color w:val="auto"/>
              </w:rPr>
            </w:pPr>
            <w:r>
              <w:rPr>
                <w:color w:val="auto"/>
              </w:rPr>
              <w:t>743.2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8" w:type="pct"/>
            <w:vAlign w:val="center"/>
          </w:tcPr>
          <w:p>
            <w:pPr>
              <w:pStyle w:val="178"/>
              <w:rPr>
                <w:color w:val="auto"/>
              </w:rPr>
            </w:pPr>
            <w:r>
              <w:rPr>
                <w:color w:val="auto"/>
              </w:rPr>
              <w:t>弃石</w:t>
            </w:r>
          </w:p>
        </w:tc>
        <w:tc>
          <w:tcPr>
            <w:tcW w:w="1015" w:type="pct"/>
            <w:vAlign w:val="center"/>
          </w:tcPr>
          <w:p>
            <w:pPr>
              <w:pStyle w:val="178"/>
              <w:rPr>
                <w:color w:val="auto"/>
              </w:rPr>
            </w:pPr>
            <w:r>
              <w:rPr>
                <w:color w:val="auto"/>
              </w:rPr>
              <w:t>121500</w:t>
            </w:r>
          </w:p>
        </w:tc>
        <w:tc>
          <w:tcPr>
            <w:tcW w:w="1369" w:type="pct"/>
            <w:vAlign w:val="center"/>
          </w:tcPr>
          <w:p>
            <w:pPr>
              <w:pStyle w:val="178"/>
              <w:rPr>
                <w:color w:val="auto"/>
              </w:rPr>
            </w:pPr>
            <w:r>
              <w:rPr>
                <w:color w:val="auto"/>
              </w:rPr>
              <w:t>121500</w:t>
            </w:r>
          </w:p>
        </w:tc>
        <w:tc>
          <w:tcPr>
            <w:tcW w:w="1369" w:type="pct"/>
          </w:tcPr>
          <w:p>
            <w:pPr>
              <w:pStyle w:val="17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48" w:type="pct"/>
            <w:noWrap/>
            <w:vAlign w:val="center"/>
          </w:tcPr>
          <w:p>
            <w:pPr>
              <w:pStyle w:val="178"/>
              <w:rPr>
                <w:color w:val="auto"/>
              </w:rPr>
            </w:pPr>
            <w:r>
              <w:rPr>
                <w:color w:val="auto"/>
              </w:rPr>
              <w:t>合计</w:t>
            </w:r>
          </w:p>
        </w:tc>
        <w:tc>
          <w:tcPr>
            <w:tcW w:w="1015" w:type="pct"/>
            <w:vAlign w:val="center"/>
          </w:tcPr>
          <w:p>
            <w:pPr>
              <w:pStyle w:val="178"/>
              <w:rPr>
                <w:color w:val="auto"/>
              </w:rPr>
            </w:pPr>
            <w:r>
              <w:rPr>
                <w:color w:val="auto"/>
              </w:rPr>
              <w:t>135236.5</w:t>
            </w:r>
          </w:p>
        </w:tc>
        <w:tc>
          <w:tcPr>
            <w:tcW w:w="1369" w:type="pct"/>
            <w:vAlign w:val="center"/>
          </w:tcPr>
          <w:p>
            <w:pPr>
              <w:pStyle w:val="178"/>
              <w:rPr>
                <w:color w:val="auto"/>
              </w:rPr>
            </w:pPr>
            <w:r>
              <w:rPr>
                <w:color w:val="auto"/>
              </w:rPr>
              <w:t>135979.7</w:t>
            </w:r>
          </w:p>
        </w:tc>
        <w:tc>
          <w:tcPr>
            <w:tcW w:w="1369" w:type="pct"/>
          </w:tcPr>
          <w:p>
            <w:pPr>
              <w:pStyle w:val="178"/>
              <w:rPr>
                <w:color w:val="auto"/>
              </w:rPr>
            </w:pPr>
            <w:r>
              <w:rPr>
                <w:color w:val="auto"/>
              </w:rPr>
              <w:t>743.2</w:t>
            </w:r>
          </w:p>
        </w:tc>
      </w:tr>
    </w:tbl>
    <w:p>
      <w:pPr>
        <w:pStyle w:val="6"/>
        <w:numPr>
          <w:ilvl w:val="3"/>
          <w:numId w:val="0"/>
        </w:numPr>
      </w:pPr>
      <w:r>
        <w:t>3.3.1.2水平衡</w:t>
      </w:r>
    </w:p>
    <w:p>
      <w:pPr>
        <w:pStyle w:val="222"/>
      </w:pPr>
      <w:r>
        <w:t>项目用水主要包括开采区的洒水降尘用水、车辆冲洗用水、道路洒水与生活用水，以及工业场地的喷雾降尘用水、车辆冲洗用水与生活用水；本项目各子项用水量见下表。</w:t>
      </w:r>
    </w:p>
    <w:p>
      <w:pPr>
        <w:pStyle w:val="84"/>
      </w:pPr>
      <w:r>
        <w:t>表3.3-2  项目用水量核算表</w:t>
      </w:r>
    </w:p>
    <w:tbl>
      <w:tblPr>
        <w:tblStyle w:val="88"/>
        <w:tblW w:w="5000" w:type="pct"/>
        <w:tblInd w:w="0" w:type="dxa"/>
        <w:tblLayout w:type="autofit"/>
        <w:tblCellMar>
          <w:top w:w="0" w:type="dxa"/>
          <w:left w:w="108" w:type="dxa"/>
          <w:bottom w:w="0" w:type="dxa"/>
          <w:right w:w="108" w:type="dxa"/>
        </w:tblCellMar>
      </w:tblPr>
      <w:tblGrid>
        <w:gridCol w:w="930"/>
        <w:gridCol w:w="1533"/>
        <w:gridCol w:w="1107"/>
        <w:gridCol w:w="1107"/>
        <w:gridCol w:w="825"/>
        <w:gridCol w:w="755"/>
        <w:gridCol w:w="1107"/>
        <w:gridCol w:w="764"/>
        <w:gridCol w:w="819"/>
      </w:tblGrid>
      <w:tr>
        <w:tblPrEx>
          <w:tblCellMar>
            <w:top w:w="0" w:type="dxa"/>
            <w:left w:w="108" w:type="dxa"/>
            <w:bottom w:w="0" w:type="dxa"/>
            <w:right w:w="108" w:type="dxa"/>
          </w:tblCellMar>
        </w:tblPrEx>
        <w:trPr>
          <w:trHeight w:val="300" w:hRule="atLeast"/>
        </w:trPr>
        <w:tc>
          <w:tcPr>
            <w:tcW w:w="1407" w:type="pct"/>
            <w:gridSpan w:val="2"/>
            <w:vMerge w:val="restart"/>
            <w:tcBorders>
              <w:top w:val="single" w:color="auto" w:sz="8" w:space="0"/>
              <w:left w:val="single" w:color="auto" w:sz="8" w:space="0"/>
              <w:bottom w:val="single" w:color="000000" w:sz="8" w:space="0"/>
              <w:right w:val="single" w:color="000000"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用水项目</w:t>
            </w:r>
          </w:p>
        </w:tc>
        <w:tc>
          <w:tcPr>
            <w:tcW w:w="634" w:type="pct"/>
            <w:vMerge w:val="restart"/>
            <w:tcBorders>
              <w:top w:val="single" w:color="auto" w:sz="8" w:space="0"/>
              <w:left w:val="single" w:color="auto" w:sz="8" w:space="0"/>
              <w:bottom w:val="single" w:color="000000"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规模</w:t>
            </w:r>
          </w:p>
        </w:tc>
        <w:tc>
          <w:tcPr>
            <w:tcW w:w="634" w:type="pct"/>
            <w:vMerge w:val="restart"/>
            <w:tcBorders>
              <w:top w:val="single" w:color="auto" w:sz="8" w:space="0"/>
              <w:left w:val="single" w:color="auto" w:sz="8" w:space="0"/>
              <w:bottom w:val="single" w:color="000000"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用水标准</w:t>
            </w:r>
          </w:p>
        </w:tc>
        <w:tc>
          <w:tcPr>
            <w:tcW w:w="872" w:type="pct"/>
            <w:gridSpan w:val="2"/>
            <w:tcBorders>
              <w:top w:val="single" w:color="auto" w:sz="8" w:space="0"/>
              <w:left w:val="nil"/>
              <w:bottom w:val="single" w:color="auto" w:sz="8" w:space="0"/>
              <w:right w:val="single" w:color="000000"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新鲜用水</w:t>
            </w:r>
          </w:p>
        </w:tc>
        <w:tc>
          <w:tcPr>
            <w:tcW w:w="634" w:type="pct"/>
            <w:tcBorders>
              <w:top w:val="single" w:color="auto" w:sz="8" w:space="0"/>
              <w:left w:val="nil"/>
              <w:bottom w:val="single" w:color="auto"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循环水量</w:t>
            </w:r>
          </w:p>
        </w:tc>
        <w:tc>
          <w:tcPr>
            <w:tcW w:w="820" w:type="pct"/>
            <w:gridSpan w:val="2"/>
            <w:tcBorders>
              <w:top w:val="single" w:color="auto" w:sz="8" w:space="0"/>
              <w:left w:val="nil"/>
              <w:bottom w:val="single" w:color="auto" w:sz="8" w:space="0"/>
              <w:right w:val="single" w:color="000000"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产生量</w:t>
            </w:r>
          </w:p>
        </w:tc>
      </w:tr>
      <w:tr>
        <w:trPr>
          <w:trHeight w:val="330" w:hRule="atLeast"/>
        </w:trPr>
        <w:tc>
          <w:tcPr>
            <w:tcW w:w="1407" w:type="pct"/>
            <w:gridSpan w:val="2"/>
            <w:vMerge w:val="continue"/>
            <w:tcBorders>
              <w:top w:val="single" w:color="auto" w:sz="8" w:space="0"/>
              <w:left w:val="single" w:color="auto" w:sz="8" w:space="0"/>
              <w:bottom w:val="single" w:color="000000" w:sz="8" w:space="0"/>
              <w:right w:val="single" w:color="000000" w:sz="8" w:space="0"/>
            </w:tcBorders>
            <w:vAlign w:val="center"/>
          </w:tcPr>
          <w:p>
            <w:pPr>
              <w:widowControl/>
              <w:spacing w:line="240" w:lineRule="auto"/>
              <w:ind w:firstLine="0" w:firstLineChars="0"/>
              <w:jc w:val="center"/>
              <w:rPr>
                <w:b/>
                <w:bCs/>
                <w:kern w:val="0"/>
                <w:sz w:val="21"/>
                <w:szCs w:val="21"/>
              </w:rPr>
            </w:pPr>
          </w:p>
        </w:tc>
        <w:tc>
          <w:tcPr>
            <w:tcW w:w="634" w:type="pct"/>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b/>
                <w:bCs/>
                <w:kern w:val="0"/>
                <w:sz w:val="21"/>
                <w:szCs w:val="21"/>
              </w:rPr>
            </w:pPr>
          </w:p>
        </w:tc>
        <w:tc>
          <w:tcPr>
            <w:tcW w:w="634" w:type="pct"/>
            <w:vMerge w:val="continue"/>
            <w:tcBorders>
              <w:top w:val="single" w:color="auto" w:sz="8" w:space="0"/>
              <w:left w:val="single" w:color="auto" w:sz="8" w:space="0"/>
              <w:bottom w:val="single" w:color="000000" w:sz="8" w:space="0"/>
              <w:right w:val="single" w:color="auto" w:sz="8" w:space="0"/>
            </w:tcBorders>
            <w:vAlign w:val="center"/>
          </w:tcPr>
          <w:p>
            <w:pPr>
              <w:widowControl/>
              <w:spacing w:line="240" w:lineRule="auto"/>
              <w:ind w:firstLine="0" w:firstLineChars="0"/>
              <w:jc w:val="center"/>
              <w:rPr>
                <w:b/>
                <w:bCs/>
                <w:kern w:val="0"/>
                <w:sz w:val="21"/>
                <w:szCs w:val="21"/>
              </w:rPr>
            </w:pPr>
          </w:p>
        </w:tc>
        <w:tc>
          <w:tcPr>
            <w:tcW w:w="476" w:type="pct"/>
            <w:tcBorders>
              <w:top w:val="nil"/>
              <w:left w:val="nil"/>
              <w:bottom w:val="single" w:color="auto"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m</w:t>
            </w:r>
            <w:r>
              <w:rPr>
                <w:b/>
                <w:bCs/>
                <w:kern w:val="0"/>
                <w:sz w:val="21"/>
                <w:szCs w:val="21"/>
                <w:vertAlign w:val="superscript"/>
              </w:rPr>
              <w:t>3</w:t>
            </w:r>
            <w:r>
              <w:rPr>
                <w:b/>
                <w:bCs/>
                <w:kern w:val="0"/>
                <w:sz w:val="21"/>
                <w:szCs w:val="21"/>
              </w:rPr>
              <w:t>/d</w:t>
            </w:r>
          </w:p>
        </w:tc>
        <w:tc>
          <w:tcPr>
            <w:tcW w:w="396" w:type="pct"/>
            <w:tcBorders>
              <w:top w:val="nil"/>
              <w:left w:val="nil"/>
              <w:bottom w:val="single" w:color="auto"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m</w:t>
            </w:r>
            <w:r>
              <w:rPr>
                <w:b/>
                <w:bCs/>
                <w:kern w:val="0"/>
                <w:sz w:val="21"/>
                <w:szCs w:val="21"/>
                <w:vertAlign w:val="superscript"/>
              </w:rPr>
              <w:t>3</w:t>
            </w:r>
            <w:r>
              <w:rPr>
                <w:b/>
                <w:bCs/>
                <w:kern w:val="0"/>
                <w:sz w:val="21"/>
                <w:szCs w:val="21"/>
              </w:rPr>
              <w:t>/a</w:t>
            </w:r>
          </w:p>
        </w:tc>
        <w:tc>
          <w:tcPr>
            <w:tcW w:w="634" w:type="pct"/>
            <w:tcBorders>
              <w:top w:val="nil"/>
              <w:left w:val="nil"/>
              <w:bottom w:val="single" w:color="auto"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m</w:t>
            </w:r>
            <w:r>
              <w:rPr>
                <w:b/>
                <w:bCs/>
                <w:kern w:val="0"/>
                <w:sz w:val="21"/>
                <w:szCs w:val="21"/>
                <w:vertAlign w:val="superscript"/>
              </w:rPr>
              <w:t>3</w:t>
            </w:r>
            <w:r>
              <w:rPr>
                <w:b/>
                <w:bCs/>
                <w:kern w:val="0"/>
                <w:sz w:val="21"/>
                <w:szCs w:val="21"/>
              </w:rPr>
              <w:t>/d</w:t>
            </w:r>
          </w:p>
        </w:tc>
        <w:tc>
          <w:tcPr>
            <w:tcW w:w="435" w:type="pct"/>
            <w:tcBorders>
              <w:top w:val="nil"/>
              <w:left w:val="nil"/>
              <w:bottom w:val="single" w:color="auto"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m</w:t>
            </w:r>
            <w:r>
              <w:rPr>
                <w:b/>
                <w:bCs/>
                <w:kern w:val="0"/>
                <w:sz w:val="21"/>
                <w:szCs w:val="21"/>
                <w:vertAlign w:val="superscript"/>
              </w:rPr>
              <w:t>3</w:t>
            </w:r>
            <w:r>
              <w:rPr>
                <w:b/>
                <w:bCs/>
                <w:kern w:val="0"/>
                <w:sz w:val="21"/>
                <w:szCs w:val="21"/>
              </w:rPr>
              <w:t>/d</w:t>
            </w:r>
          </w:p>
        </w:tc>
        <w:tc>
          <w:tcPr>
            <w:tcW w:w="385" w:type="pct"/>
            <w:tcBorders>
              <w:top w:val="nil"/>
              <w:left w:val="nil"/>
              <w:bottom w:val="single" w:color="auto" w:sz="8" w:space="0"/>
              <w:right w:val="single" w:color="auto" w:sz="8" w:space="0"/>
            </w:tcBorders>
            <w:shd w:val="clear" w:color="000000" w:fill="D9D9D9"/>
            <w:vAlign w:val="center"/>
          </w:tcPr>
          <w:p>
            <w:pPr>
              <w:widowControl/>
              <w:spacing w:line="240" w:lineRule="auto"/>
              <w:ind w:firstLine="0" w:firstLineChars="0"/>
              <w:jc w:val="center"/>
              <w:rPr>
                <w:b/>
                <w:bCs/>
                <w:kern w:val="0"/>
                <w:sz w:val="21"/>
                <w:szCs w:val="21"/>
              </w:rPr>
            </w:pPr>
            <w:r>
              <w:rPr>
                <w:b/>
                <w:bCs/>
                <w:kern w:val="0"/>
                <w:sz w:val="21"/>
                <w:szCs w:val="21"/>
              </w:rPr>
              <w:t>m</w:t>
            </w:r>
            <w:r>
              <w:rPr>
                <w:b/>
                <w:bCs/>
                <w:kern w:val="0"/>
                <w:sz w:val="21"/>
                <w:szCs w:val="21"/>
                <w:vertAlign w:val="superscript"/>
              </w:rPr>
              <w:t>3</w:t>
            </w:r>
            <w:r>
              <w:rPr>
                <w:b/>
                <w:bCs/>
                <w:kern w:val="0"/>
                <w:sz w:val="21"/>
                <w:szCs w:val="21"/>
              </w:rPr>
              <w:t>/a</w:t>
            </w:r>
          </w:p>
        </w:tc>
      </w:tr>
      <w:tr>
        <w:tblPrEx>
          <w:tblCellMar>
            <w:top w:w="0" w:type="dxa"/>
            <w:left w:w="108" w:type="dxa"/>
            <w:bottom w:w="0" w:type="dxa"/>
            <w:right w:w="108" w:type="dxa"/>
          </w:tblCellMar>
        </w:tblPrEx>
        <w:trPr>
          <w:trHeight w:val="401" w:hRule="atLeast"/>
        </w:trPr>
        <w:tc>
          <w:tcPr>
            <w:tcW w:w="535" w:type="pct"/>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开采区</w:t>
            </w: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洒水降尘用水</w:t>
            </w:r>
          </w:p>
        </w:tc>
        <w:tc>
          <w:tcPr>
            <w:tcW w:w="1267" w:type="pct"/>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根据经验核算</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3330</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r>
      <w:tr>
        <w:trPr>
          <w:trHeight w:val="281"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车辆冲洗补水</w:t>
            </w:r>
          </w:p>
        </w:tc>
        <w:tc>
          <w:tcPr>
            <w:tcW w:w="1267" w:type="pct"/>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根据经验核算</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3</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990</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0.6</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198</w:t>
            </w:r>
          </w:p>
        </w:tc>
      </w:tr>
      <w:tr>
        <w:tblPrEx>
          <w:tblCellMar>
            <w:top w:w="0" w:type="dxa"/>
            <w:left w:w="108" w:type="dxa"/>
            <w:bottom w:w="0" w:type="dxa"/>
            <w:right w:w="108" w:type="dxa"/>
          </w:tblCellMar>
        </w:tblPrEx>
        <w:trPr>
          <w:trHeight w:val="300"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道路洒水</w:t>
            </w:r>
          </w:p>
        </w:tc>
        <w:tc>
          <w:tcPr>
            <w:tcW w:w="1267" w:type="pct"/>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根据经验核算</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1.5</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495</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r>
      <w:tr>
        <w:trPr>
          <w:trHeight w:val="300"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生活用水</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10人</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sz w:val="21"/>
                <w:szCs w:val="21"/>
              </w:rPr>
              <w:t>0.5</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0.5</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165</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0.45</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148.5</w:t>
            </w:r>
          </w:p>
        </w:tc>
      </w:tr>
      <w:tr>
        <w:tblPrEx>
          <w:tblCellMar>
            <w:top w:w="0" w:type="dxa"/>
            <w:left w:w="108" w:type="dxa"/>
            <w:bottom w:w="0" w:type="dxa"/>
            <w:right w:w="108" w:type="dxa"/>
          </w:tblCellMar>
        </w:tblPrEx>
        <w:trPr>
          <w:trHeight w:val="300"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2139" w:type="pct"/>
            <w:gridSpan w:val="3"/>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小计</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5.3</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4980</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1.05</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346.5</w:t>
            </w:r>
          </w:p>
        </w:tc>
      </w:tr>
      <w:tr>
        <w:trPr>
          <w:trHeight w:val="331" w:hRule="atLeast"/>
        </w:trPr>
        <w:tc>
          <w:tcPr>
            <w:tcW w:w="535" w:type="pct"/>
            <w:vMerge w:val="restart"/>
            <w:tcBorders>
              <w:top w:val="nil"/>
              <w:left w:val="single" w:color="auto" w:sz="8" w:space="0"/>
              <w:bottom w:val="single" w:color="000000"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工业场地</w:t>
            </w: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喷雾降尘用水</w:t>
            </w:r>
          </w:p>
        </w:tc>
        <w:tc>
          <w:tcPr>
            <w:tcW w:w="1267" w:type="pct"/>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根据经验核算</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6</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1980</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r>
      <w:tr>
        <w:tblPrEx>
          <w:tblCellMar>
            <w:top w:w="0" w:type="dxa"/>
            <w:left w:w="108" w:type="dxa"/>
            <w:bottom w:w="0" w:type="dxa"/>
            <w:right w:w="108" w:type="dxa"/>
          </w:tblCellMar>
        </w:tblPrEx>
        <w:trPr>
          <w:trHeight w:val="265"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车辆冲洗补水</w:t>
            </w:r>
          </w:p>
        </w:tc>
        <w:tc>
          <w:tcPr>
            <w:tcW w:w="1267" w:type="pct"/>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根据经验核算</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2</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660</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0.6</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198</w:t>
            </w:r>
          </w:p>
        </w:tc>
      </w:tr>
      <w:tr>
        <w:trPr>
          <w:trHeight w:val="300"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872"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生活污水</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26人</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50L/人·d</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1.3</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429</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1.17</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386.1</w:t>
            </w:r>
          </w:p>
        </w:tc>
      </w:tr>
      <w:tr>
        <w:tblPrEx>
          <w:tblCellMar>
            <w:top w:w="0" w:type="dxa"/>
            <w:left w:w="108" w:type="dxa"/>
            <w:bottom w:w="0" w:type="dxa"/>
            <w:right w:w="108" w:type="dxa"/>
          </w:tblCellMar>
        </w:tblPrEx>
        <w:trPr>
          <w:trHeight w:val="300" w:hRule="atLeast"/>
        </w:trPr>
        <w:tc>
          <w:tcPr>
            <w:tcW w:w="535" w:type="pct"/>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kern w:val="0"/>
                <w:sz w:val="21"/>
                <w:szCs w:val="21"/>
              </w:rPr>
            </w:pPr>
          </w:p>
        </w:tc>
        <w:tc>
          <w:tcPr>
            <w:tcW w:w="2139" w:type="pct"/>
            <w:gridSpan w:val="3"/>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小计</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3.9</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3069</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1.77</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584.1</w:t>
            </w:r>
          </w:p>
        </w:tc>
      </w:tr>
      <w:tr>
        <w:trPr>
          <w:trHeight w:val="300" w:hRule="atLeast"/>
        </w:trPr>
        <w:tc>
          <w:tcPr>
            <w:tcW w:w="2674" w:type="pct"/>
            <w:gridSpan w:val="4"/>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合计</w:t>
            </w:r>
          </w:p>
        </w:tc>
        <w:tc>
          <w:tcPr>
            <w:tcW w:w="47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9.2</w:t>
            </w:r>
          </w:p>
        </w:tc>
        <w:tc>
          <w:tcPr>
            <w:tcW w:w="396"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8049</w:t>
            </w:r>
          </w:p>
        </w:tc>
        <w:tc>
          <w:tcPr>
            <w:tcW w:w="634"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20</w:t>
            </w:r>
          </w:p>
        </w:tc>
        <w:tc>
          <w:tcPr>
            <w:tcW w:w="43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2.82</w:t>
            </w:r>
          </w:p>
        </w:tc>
        <w:tc>
          <w:tcPr>
            <w:tcW w:w="385" w:type="pct"/>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kern w:val="0"/>
                <w:sz w:val="21"/>
                <w:szCs w:val="21"/>
              </w:rPr>
            </w:pPr>
            <w:r>
              <w:rPr>
                <w:kern w:val="0"/>
                <w:sz w:val="21"/>
                <w:szCs w:val="21"/>
              </w:rPr>
              <w:t>930.6</w:t>
            </w:r>
          </w:p>
        </w:tc>
      </w:tr>
    </w:tbl>
    <w:p>
      <w:pPr>
        <w:pStyle w:val="5"/>
        <w:rPr>
          <w:color w:val="auto"/>
        </w:rPr>
      </w:pPr>
      <w:r>
        <w:rPr>
          <w:color w:val="auto"/>
        </w:rPr>
        <w:t>3.3.2建设期产排污分析</w:t>
      </w:r>
    </w:p>
    <w:p>
      <w:pPr>
        <w:spacing w:line="460" w:lineRule="exact"/>
        <w:ind w:firstLine="480"/>
        <w:jc w:val="both"/>
        <w:rPr>
          <w:sz w:val="24"/>
          <w:szCs w:val="24"/>
        </w:rPr>
      </w:pPr>
      <w:r>
        <w:rPr>
          <w:sz w:val="24"/>
          <w:szCs w:val="24"/>
        </w:rPr>
        <w:t>本项目建设期包括矿区道路建设、截排水沟、沉淀池、挡土墙等的建设，工业场地依托现有工程，不再介绍建设期产排污情况；矿区各工程建设过程产排污情况如下：</w:t>
      </w:r>
    </w:p>
    <w:p>
      <w:pPr>
        <w:pStyle w:val="6"/>
        <w:numPr>
          <w:ilvl w:val="3"/>
          <w:numId w:val="0"/>
        </w:numPr>
      </w:pPr>
      <w:r>
        <w:t>3.3.2.1废气</w:t>
      </w:r>
    </w:p>
    <w:p>
      <w:pPr>
        <w:tabs>
          <w:tab w:val="left" w:pos="851"/>
        </w:tabs>
        <w:spacing w:line="360" w:lineRule="auto"/>
        <w:ind w:firstLine="480"/>
        <w:jc w:val="both"/>
        <w:rPr>
          <w:sz w:val="24"/>
          <w:szCs w:val="24"/>
        </w:rPr>
      </w:pPr>
      <w:r>
        <w:rPr>
          <w:sz w:val="24"/>
          <w:szCs w:val="24"/>
        </w:rPr>
        <w:t>建设期大气污染主要来自矿区道路建设、截排水沟、沉淀池、挡土墙等作业点产生的粉尘或扬尘，以及施工机具尾气。建设期的大气污染物主要有TSP、NOx、CO、THC等，排放方式为无组织排放。</w:t>
      </w:r>
    </w:p>
    <w:p>
      <w:pPr>
        <w:pStyle w:val="6"/>
        <w:numPr>
          <w:ilvl w:val="3"/>
          <w:numId w:val="0"/>
        </w:numPr>
      </w:pPr>
      <w:r>
        <w:t>3.3.2.2废水</w:t>
      </w:r>
    </w:p>
    <w:p>
      <w:pPr>
        <w:pStyle w:val="222"/>
      </w:pPr>
      <w:r>
        <w:t>建设期间废水主要施工机械冲洗废水、施工人员的生活污水。</w:t>
      </w:r>
    </w:p>
    <w:p>
      <w:pPr>
        <w:pStyle w:val="222"/>
      </w:pPr>
      <w:r>
        <w:t>施工废水主要为施工机械设备冲洗产生的废水，该废水水质比较简单，主要污染物为石油类和SS，其产生量约4m</w:t>
      </w:r>
      <w:r>
        <w:rPr>
          <w:vertAlign w:val="superscript"/>
        </w:rPr>
        <w:t>3</w:t>
      </w:r>
      <w:r>
        <w:t>/d，浓度为石油类12mg/L、SS800mg/L。施工人员约10人，建设期约3个月，施工人员不在厂区住宿就餐，生活用水量按50L/d·人计算，产物系数取0.9，则产生的生活污水量约0.45m</w:t>
      </w:r>
      <w:r>
        <w:rPr>
          <w:vertAlign w:val="superscript"/>
        </w:rPr>
        <w:t>3</w:t>
      </w:r>
      <w:r>
        <w:t>/d，经化粪池收集处理后用作农肥，不外排。</w:t>
      </w:r>
    </w:p>
    <w:p>
      <w:pPr>
        <w:pStyle w:val="6"/>
        <w:numPr>
          <w:ilvl w:val="3"/>
          <w:numId w:val="0"/>
        </w:numPr>
      </w:pPr>
      <w:r>
        <w:t>3.3.2.3噪声</w:t>
      </w:r>
    </w:p>
    <w:p>
      <w:pPr>
        <w:pStyle w:val="222"/>
      </w:pPr>
      <w:r>
        <w:t>施工使用的主要设备有挖掘机、铲车、运输汽车等噪声设备，各施工机械噪声值约在80~90dB（A）之间。</w:t>
      </w:r>
    </w:p>
    <w:p>
      <w:pPr>
        <w:pStyle w:val="84"/>
      </w:pPr>
      <w:r>
        <w:t>表3.3-3 主要施工机械噪声源</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598"/>
        <w:gridCol w:w="726"/>
        <w:gridCol w:w="3634"/>
        <w:gridCol w:w="1308"/>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487"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893"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声源名称</w:t>
            </w:r>
          </w:p>
        </w:tc>
        <w:tc>
          <w:tcPr>
            <w:tcW w:w="406"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型号</w:t>
            </w:r>
          </w:p>
        </w:tc>
        <w:tc>
          <w:tcPr>
            <w:tcW w:w="2031" w:type="pct"/>
            <w:tcBorders>
              <w:bottom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声源源强</w:t>
            </w:r>
          </w:p>
        </w:tc>
        <w:tc>
          <w:tcPr>
            <w:tcW w:w="731"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声源控制措施</w:t>
            </w:r>
          </w:p>
        </w:tc>
        <w:tc>
          <w:tcPr>
            <w:tcW w:w="452"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87"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893"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406"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2031"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（声压级/距声源距离）dB（A）/m</w:t>
            </w:r>
          </w:p>
        </w:tc>
        <w:tc>
          <w:tcPr>
            <w:tcW w:w="731"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452" w:type="pct"/>
            <w:vMerge w:val="continue"/>
            <w:shd w:val="clear" w:color="auto" w:fill="D8D8D8" w:themeFill="background1" w:themeFillShade="D9"/>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1</w:t>
            </w:r>
          </w:p>
        </w:tc>
        <w:tc>
          <w:tcPr>
            <w:tcW w:w="893" w:type="pct"/>
            <w:vAlign w:val="center"/>
          </w:tcPr>
          <w:p>
            <w:pPr>
              <w:spacing w:line="240" w:lineRule="auto"/>
              <w:ind w:firstLine="0" w:firstLineChars="0"/>
              <w:jc w:val="center"/>
              <w:rPr>
                <w:sz w:val="21"/>
                <w:szCs w:val="21"/>
              </w:rPr>
            </w:pPr>
            <w:r>
              <w:rPr>
                <w:sz w:val="21"/>
                <w:szCs w:val="21"/>
              </w:rPr>
              <w:t>挖掘机</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84/5</w:t>
            </w:r>
          </w:p>
        </w:tc>
        <w:tc>
          <w:tcPr>
            <w:tcW w:w="731" w:type="pct"/>
            <w:vMerge w:val="restart"/>
            <w:vAlign w:val="center"/>
          </w:tcPr>
          <w:p>
            <w:pPr>
              <w:spacing w:line="240" w:lineRule="auto"/>
              <w:ind w:firstLine="0" w:firstLineChars="0"/>
              <w:jc w:val="center"/>
              <w:rPr>
                <w:sz w:val="21"/>
                <w:szCs w:val="21"/>
              </w:rPr>
            </w:pPr>
            <w:r>
              <w:rPr>
                <w:sz w:val="21"/>
                <w:szCs w:val="21"/>
              </w:rPr>
              <w:t>合理安排作业时间，使用先进的低噪声施工机具、设备和工艺等。</w:t>
            </w:r>
          </w:p>
        </w:tc>
        <w:tc>
          <w:tcPr>
            <w:tcW w:w="452"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2</w:t>
            </w:r>
          </w:p>
        </w:tc>
        <w:tc>
          <w:tcPr>
            <w:tcW w:w="893" w:type="pct"/>
            <w:vAlign w:val="center"/>
          </w:tcPr>
          <w:p>
            <w:pPr>
              <w:spacing w:line="240" w:lineRule="auto"/>
              <w:ind w:firstLine="0" w:firstLineChars="0"/>
              <w:jc w:val="center"/>
              <w:rPr>
                <w:sz w:val="21"/>
                <w:szCs w:val="21"/>
              </w:rPr>
            </w:pPr>
            <w:r>
              <w:rPr>
                <w:sz w:val="21"/>
                <w:szCs w:val="21"/>
              </w:rPr>
              <w:t>装载机</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90/5</w:t>
            </w:r>
          </w:p>
        </w:tc>
        <w:tc>
          <w:tcPr>
            <w:tcW w:w="731" w:type="pct"/>
            <w:vMerge w:val="continue"/>
            <w:vAlign w:val="center"/>
          </w:tcPr>
          <w:p>
            <w:pPr>
              <w:spacing w:line="240" w:lineRule="auto"/>
              <w:ind w:firstLine="0" w:firstLineChars="0"/>
              <w:jc w:val="center"/>
              <w:rPr>
                <w:sz w:val="21"/>
                <w:szCs w:val="21"/>
              </w:rPr>
            </w:pPr>
          </w:p>
        </w:tc>
        <w:tc>
          <w:tcPr>
            <w:tcW w:w="452"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3</w:t>
            </w:r>
          </w:p>
        </w:tc>
        <w:tc>
          <w:tcPr>
            <w:tcW w:w="893" w:type="pct"/>
            <w:vAlign w:val="center"/>
          </w:tcPr>
          <w:p>
            <w:pPr>
              <w:spacing w:line="240" w:lineRule="auto"/>
              <w:ind w:firstLine="0" w:firstLineChars="0"/>
              <w:jc w:val="center"/>
              <w:rPr>
                <w:sz w:val="21"/>
                <w:szCs w:val="21"/>
              </w:rPr>
            </w:pPr>
            <w:r>
              <w:rPr>
                <w:sz w:val="21"/>
                <w:szCs w:val="21"/>
              </w:rPr>
              <w:t>推土机</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86/5</w:t>
            </w:r>
          </w:p>
        </w:tc>
        <w:tc>
          <w:tcPr>
            <w:tcW w:w="731" w:type="pct"/>
            <w:vMerge w:val="continue"/>
            <w:vAlign w:val="center"/>
          </w:tcPr>
          <w:p>
            <w:pPr>
              <w:spacing w:line="240" w:lineRule="auto"/>
              <w:ind w:firstLine="0" w:firstLineChars="0"/>
              <w:jc w:val="center"/>
              <w:rPr>
                <w:sz w:val="21"/>
                <w:szCs w:val="21"/>
              </w:rPr>
            </w:pPr>
          </w:p>
        </w:tc>
        <w:tc>
          <w:tcPr>
            <w:tcW w:w="452"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4</w:t>
            </w:r>
          </w:p>
        </w:tc>
        <w:tc>
          <w:tcPr>
            <w:tcW w:w="893" w:type="pct"/>
            <w:vAlign w:val="center"/>
          </w:tcPr>
          <w:p>
            <w:pPr>
              <w:spacing w:line="240" w:lineRule="auto"/>
              <w:ind w:firstLine="0" w:firstLineChars="0"/>
              <w:jc w:val="center"/>
              <w:rPr>
                <w:sz w:val="21"/>
                <w:szCs w:val="21"/>
              </w:rPr>
            </w:pPr>
            <w:r>
              <w:rPr>
                <w:sz w:val="21"/>
                <w:szCs w:val="21"/>
              </w:rPr>
              <w:t>平地机</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90/5</w:t>
            </w:r>
          </w:p>
        </w:tc>
        <w:tc>
          <w:tcPr>
            <w:tcW w:w="731" w:type="pct"/>
            <w:vMerge w:val="continue"/>
            <w:vAlign w:val="center"/>
          </w:tcPr>
          <w:p>
            <w:pPr>
              <w:spacing w:line="240" w:lineRule="auto"/>
              <w:ind w:firstLine="0" w:firstLineChars="0"/>
              <w:jc w:val="center"/>
              <w:rPr>
                <w:sz w:val="21"/>
                <w:szCs w:val="21"/>
              </w:rPr>
            </w:pPr>
          </w:p>
        </w:tc>
        <w:tc>
          <w:tcPr>
            <w:tcW w:w="452"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5</w:t>
            </w:r>
          </w:p>
        </w:tc>
        <w:tc>
          <w:tcPr>
            <w:tcW w:w="893" w:type="pct"/>
            <w:vAlign w:val="center"/>
          </w:tcPr>
          <w:p>
            <w:pPr>
              <w:spacing w:line="240" w:lineRule="auto"/>
              <w:ind w:firstLine="0" w:firstLineChars="0"/>
              <w:jc w:val="center"/>
              <w:rPr>
                <w:sz w:val="21"/>
                <w:szCs w:val="21"/>
              </w:rPr>
            </w:pPr>
            <w:r>
              <w:rPr>
                <w:sz w:val="21"/>
                <w:szCs w:val="21"/>
              </w:rPr>
              <w:t>振动式压路机</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86/5</w:t>
            </w:r>
          </w:p>
        </w:tc>
        <w:tc>
          <w:tcPr>
            <w:tcW w:w="731" w:type="pct"/>
            <w:vMerge w:val="continue"/>
            <w:vAlign w:val="center"/>
          </w:tcPr>
          <w:p>
            <w:pPr>
              <w:spacing w:line="240" w:lineRule="auto"/>
              <w:ind w:firstLine="0" w:firstLineChars="0"/>
              <w:jc w:val="center"/>
              <w:rPr>
                <w:sz w:val="21"/>
                <w:szCs w:val="21"/>
              </w:rPr>
            </w:pPr>
          </w:p>
        </w:tc>
        <w:tc>
          <w:tcPr>
            <w:tcW w:w="452"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6</w:t>
            </w:r>
          </w:p>
        </w:tc>
        <w:tc>
          <w:tcPr>
            <w:tcW w:w="893" w:type="pct"/>
            <w:vAlign w:val="center"/>
          </w:tcPr>
          <w:p>
            <w:pPr>
              <w:spacing w:line="240" w:lineRule="auto"/>
              <w:ind w:firstLine="0" w:firstLineChars="0"/>
              <w:jc w:val="center"/>
              <w:rPr>
                <w:sz w:val="21"/>
                <w:szCs w:val="21"/>
              </w:rPr>
            </w:pPr>
            <w:r>
              <w:rPr>
                <w:sz w:val="21"/>
                <w:szCs w:val="21"/>
              </w:rPr>
              <w:t>摊铺机</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80～85/5</w:t>
            </w:r>
          </w:p>
        </w:tc>
        <w:tc>
          <w:tcPr>
            <w:tcW w:w="731" w:type="pct"/>
            <w:vMerge w:val="continue"/>
            <w:vAlign w:val="center"/>
          </w:tcPr>
          <w:p>
            <w:pPr>
              <w:spacing w:line="240" w:lineRule="auto"/>
              <w:ind w:firstLine="0" w:firstLineChars="0"/>
              <w:jc w:val="center"/>
              <w:rPr>
                <w:sz w:val="21"/>
                <w:szCs w:val="21"/>
              </w:rPr>
            </w:pPr>
          </w:p>
        </w:tc>
        <w:tc>
          <w:tcPr>
            <w:tcW w:w="452"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7" w:type="pct"/>
            <w:vAlign w:val="center"/>
          </w:tcPr>
          <w:p>
            <w:pPr>
              <w:spacing w:line="240" w:lineRule="auto"/>
              <w:ind w:firstLine="0" w:firstLineChars="0"/>
              <w:jc w:val="center"/>
              <w:rPr>
                <w:sz w:val="21"/>
                <w:szCs w:val="21"/>
              </w:rPr>
            </w:pPr>
            <w:r>
              <w:rPr>
                <w:sz w:val="21"/>
                <w:szCs w:val="21"/>
              </w:rPr>
              <w:t>7</w:t>
            </w:r>
          </w:p>
        </w:tc>
        <w:tc>
          <w:tcPr>
            <w:tcW w:w="893" w:type="pct"/>
            <w:vAlign w:val="center"/>
          </w:tcPr>
          <w:p>
            <w:pPr>
              <w:spacing w:line="240" w:lineRule="auto"/>
              <w:ind w:firstLine="0" w:firstLineChars="0"/>
              <w:jc w:val="center"/>
              <w:rPr>
                <w:sz w:val="21"/>
                <w:szCs w:val="21"/>
              </w:rPr>
            </w:pPr>
            <w:r>
              <w:rPr>
                <w:sz w:val="21"/>
                <w:szCs w:val="21"/>
              </w:rPr>
              <w:t>液压破碎锤</w:t>
            </w:r>
          </w:p>
        </w:tc>
        <w:tc>
          <w:tcPr>
            <w:tcW w:w="406" w:type="pct"/>
            <w:vAlign w:val="center"/>
          </w:tcPr>
          <w:p>
            <w:pPr>
              <w:spacing w:line="240" w:lineRule="auto"/>
              <w:ind w:firstLine="0" w:firstLineChars="0"/>
              <w:jc w:val="center"/>
              <w:rPr>
                <w:sz w:val="21"/>
                <w:szCs w:val="21"/>
              </w:rPr>
            </w:pPr>
            <w:r>
              <w:rPr>
                <w:sz w:val="21"/>
                <w:szCs w:val="21"/>
              </w:rPr>
              <w:t>/</w:t>
            </w:r>
          </w:p>
        </w:tc>
        <w:tc>
          <w:tcPr>
            <w:tcW w:w="2031" w:type="pct"/>
            <w:vAlign w:val="center"/>
          </w:tcPr>
          <w:p>
            <w:pPr>
              <w:spacing w:line="240" w:lineRule="auto"/>
              <w:ind w:firstLine="0" w:firstLineChars="0"/>
              <w:jc w:val="center"/>
              <w:rPr>
                <w:sz w:val="21"/>
                <w:szCs w:val="21"/>
              </w:rPr>
            </w:pPr>
            <w:r>
              <w:rPr>
                <w:sz w:val="21"/>
                <w:szCs w:val="21"/>
              </w:rPr>
              <w:t>84/5</w:t>
            </w:r>
          </w:p>
        </w:tc>
        <w:tc>
          <w:tcPr>
            <w:tcW w:w="731" w:type="pct"/>
            <w:vMerge w:val="continue"/>
            <w:vAlign w:val="center"/>
          </w:tcPr>
          <w:p>
            <w:pPr>
              <w:spacing w:line="240" w:lineRule="auto"/>
              <w:ind w:firstLine="0" w:firstLineChars="0"/>
              <w:jc w:val="center"/>
              <w:rPr>
                <w:sz w:val="21"/>
                <w:szCs w:val="21"/>
              </w:rPr>
            </w:pPr>
          </w:p>
        </w:tc>
        <w:tc>
          <w:tcPr>
            <w:tcW w:w="452" w:type="pct"/>
            <w:vAlign w:val="center"/>
          </w:tcPr>
          <w:p>
            <w:pPr>
              <w:spacing w:line="240" w:lineRule="auto"/>
              <w:ind w:firstLine="0" w:firstLineChars="0"/>
              <w:jc w:val="center"/>
              <w:rPr>
                <w:sz w:val="21"/>
                <w:szCs w:val="21"/>
              </w:rPr>
            </w:pPr>
            <w:r>
              <w:rPr>
                <w:sz w:val="21"/>
                <w:szCs w:val="21"/>
              </w:rPr>
              <w:t>昼间</w:t>
            </w:r>
          </w:p>
        </w:tc>
      </w:tr>
    </w:tbl>
    <w:p>
      <w:pPr>
        <w:pStyle w:val="222"/>
        <w:ind w:firstLine="0" w:firstLineChars="0"/>
      </w:pPr>
    </w:p>
    <w:p>
      <w:pPr>
        <w:pStyle w:val="6"/>
        <w:numPr>
          <w:ilvl w:val="3"/>
          <w:numId w:val="0"/>
        </w:numPr>
      </w:pPr>
      <w:r>
        <w:t>3.3.2.4固体废物</w:t>
      </w:r>
    </w:p>
    <w:p>
      <w:pPr>
        <w:pStyle w:val="222"/>
      </w:pPr>
      <w:r>
        <w:t>本项目建设期固废主要为建筑垃圾、施工人员生活垃圾。</w:t>
      </w:r>
    </w:p>
    <w:p>
      <w:pPr>
        <w:pStyle w:val="222"/>
      </w:pPr>
      <w:r>
        <w:t>建筑垃圾：主要为开采区建构筑物的建设，产生的建筑垃圾约有0.5t，可利用的建筑材料尽量回收利用，不能利用的售卖给资源回收公司。</w:t>
      </w:r>
    </w:p>
    <w:p>
      <w:pPr>
        <w:pStyle w:val="222"/>
      </w:pPr>
      <w:r>
        <w:t>生活垃圾：建设期生活垃圾产生量约5kg/d，袋装收集后交环卫部门统一收集处置。</w:t>
      </w:r>
    </w:p>
    <w:p>
      <w:pPr>
        <w:pStyle w:val="5"/>
        <w:rPr>
          <w:color w:val="auto"/>
        </w:rPr>
      </w:pPr>
      <w:r>
        <w:rPr>
          <w:color w:val="auto"/>
        </w:rPr>
        <w:t>3.3.3开采期产排污分析</w:t>
      </w:r>
    </w:p>
    <w:p>
      <w:pPr>
        <w:pStyle w:val="6"/>
        <w:numPr>
          <w:ilvl w:val="3"/>
          <w:numId w:val="0"/>
        </w:numPr>
      </w:pPr>
      <w:r>
        <w:t>3.3.3.1废气</w:t>
      </w:r>
    </w:p>
    <w:p>
      <w:pPr>
        <w:pStyle w:val="300"/>
      </w:pPr>
      <w:r>
        <w:t>本项目主要大气污染物为表土植物剥离粉尘、矿石开采产生的含尘废气、装料作业粉尘、矿山风力扬尘、装卸作业起尘、车辆运输扬尘、汽车尾气。工业场地产生粉尘主要包括一级破碎粉尘、二级破碎粉尘、筛分粉尘、卸料粉尘、堆场粉尘、转运粉尘、燃料废气等。</w:t>
      </w:r>
    </w:p>
    <w:p>
      <w:pPr>
        <w:pStyle w:val="300"/>
        <w:outlineLvl w:val="4"/>
      </w:pPr>
      <w:r>
        <w:t>（1）开采区</w:t>
      </w:r>
    </w:p>
    <w:p>
      <w:pPr>
        <w:pStyle w:val="300"/>
      </w:pPr>
      <w:r>
        <w:rPr>
          <w:rFonts w:hint="eastAsia" w:ascii="宋体" w:hAnsi="宋体" w:cs="宋体"/>
        </w:rPr>
        <w:t>①</w:t>
      </w:r>
      <w:r>
        <w:t>剥离粉尘</w:t>
      </w:r>
    </w:p>
    <w:p>
      <w:pPr>
        <w:pStyle w:val="300"/>
      </w:pPr>
      <w:r>
        <w:t>剥离作业是除去覆压在矿床上面物料的一切活动，包括清除地表的植被、表土、下层土和其他不需要的地层。考虑剥离表土过程中表土相对潮湿，且开挖的灰岩矿本身具有一定的粘性而呈团粒状、团块装且含水率较高，且在清表过程中通过软管洒水抑尘，产尘量会随覆盖物的组成、结构、水分等而有些许变化。</w:t>
      </w:r>
    </w:p>
    <w:p>
      <w:pPr>
        <w:pStyle w:val="300"/>
      </w:pPr>
      <w:r>
        <w:t>根据《逸散性工业粉尘控制技术》中“矿物的开采”给出的除去覆盖层作业中的逸散尘排放系数，其中剥离排放系数为0.0365kg/t（覆盖层）；结合《重庆峰磊矿业有限公司建筑用灰岩矿矿山地质环境保护与土地复垦方案》中表土总剥离量为13736.5m</w:t>
      </w:r>
      <w:r>
        <w:rPr>
          <w:vertAlign w:val="superscript"/>
        </w:rPr>
        <w:t>3</w:t>
      </w:r>
      <w:r>
        <w:t>，开发利用期为3年，剥离量为4578.3m</w:t>
      </w:r>
      <w:r>
        <w:rPr>
          <w:vertAlign w:val="superscript"/>
        </w:rPr>
        <w:t>3</w:t>
      </w:r>
      <w:r>
        <w:t>/a，容重考虑为1.5g/cm</w:t>
      </w:r>
      <w:r>
        <w:rPr>
          <w:vertAlign w:val="superscript"/>
        </w:rPr>
        <w:t>3</w:t>
      </w:r>
      <w:r>
        <w:t>，则年剥离量为6868.3t/a，表土及植被的剥离，会含有一定的水分，以及表土具有一定的粘性，会结块，矿山在开采过程中采取洒水抑尘措施，各点位增设雾炮机，增强洒水强度和密度，可以有效抑制粉尘的产生，除尘效率达到75%以上，故本矿剥离覆盖层粉尘排放量约0.063t/a，粉尘排放地接近地面，自然沉降到地面。</w:t>
      </w:r>
    </w:p>
    <w:p>
      <w:pPr>
        <w:pStyle w:val="300"/>
      </w:pPr>
      <w:r>
        <w:t>本项目剥离过程产生的粉尘，通过洒水降尘，使矿石含有一定水分，可建设粉尘的排放，抑尘效率较好，且扬尘点较低，降尘距离近，在起沉点附近；通过上述措施后，本项目废气能够做到达标排饭，对周边环境影响较小。</w:t>
      </w:r>
    </w:p>
    <w:p>
      <w:pPr>
        <w:pStyle w:val="300"/>
      </w:pPr>
      <w:r>
        <w:rPr>
          <w:rFonts w:hint="eastAsia" w:ascii="宋体" w:hAnsi="宋体" w:cs="宋体"/>
        </w:rPr>
        <w:t>②</w:t>
      </w:r>
      <w:r>
        <w:t>钻孔扬尘</w:t>
      </w:r>
    </w:p>
    <w:p>
      <w:pPr>
        <w:pStyle w:val="300"/>
      </w:pPr>
      <w:r>
        <w:t>本项目采用露天开采过程中，钻孔、凿岩会产生粉尘，参考《逸散性工业粉尘控制技术》中“矿物的开采”给出的产污系数为0.0003~0.08kg/t（开采矿石或石料），本项目取值0.004kg/t，按100万t/a开采量计，则颗粒物产生量为4.0t/a，本项目在开采过程中采取持续洒水喷雾抑尘措施，可有效抑制粉尘的产生，除尘效率达到95%以上，则项目矿石开采过程中扬尘排放总量0.200t/a，生产时间4000h/a计，排放速率为0.050kg/h。</w:t>
      </w:r>
    </w:p>
    <w:p>
      <w:pPr>
        <w:pStyle w:val="300"/>
      </w:pPr>
      <w:r>
        <w:t>本项目钻孔、凿岩会产生一定量的粉尘，通过洒水降尘，抑尘效果明显，可控制在厂界内，且不会远距离运输逸散；通过上述措施后，本项目废气能够做到达标排饭，对周边环境影响较小。</w:t>
      </w:r>
    </w:p>
    <w:p>
      <w:pPr>
        <w:pStyle w:val="300"/>
      </w:pPr>
      <w:r>
        <w:rPr>
          <w:rFonts w:hint="eastAsia" w:ascii="宋体" w:hAnsi="宋体" w:cs="宋体"/>
        </w:rPr>
        <w:t>③</w:t>
      </w:r>
      <w:r>
        <w:t>爆破扬尘</w:t>
      </w:r>
    </w:p>
    <w:p>
      <w:pPr>
        <w:adjustRightInd/>
        <w:spacing w:line="360" w:lineRule="auto"/>
        <w:ind w:firstLine="480"/>
        <w:jc w:val="both"/>
        <w:rPr>
          <w:sz w:val="24"/>
          <w:szCs w:val="24"/>
        </w:rPr>
      </w:pPr>
      <w:r>
        <w:rPr>
          <w:sz w:val="24"/>
          <w:szCs w:val="24"/>
        </w:rPr>
        <w:t>爆破产生的粉尘具有高浓度、间歇性、瞬时源的特征，爆破时的粉尘浓度较大，但爆破扬尘具有时段性，随着爆破工序的结束，扬尘逐渐消失，无持续环境影响。扩建后，矿山每次爆破量依然较小，评价要求爆破前用湿棕垫覆盖，爆破采用微差爆破，爆破后洒水抑尘，对周边环境影响较小。</w:t>
      </w:r>
    </w:p>
    <w:p>
      <w:pPr>
        <w:pStyle w:val="300"/>
      </w:pPr>
      <w:r>
        <w:rPr>
          <w:rFonts w:hint="eastAsia" w:ascii="宋体" w:hAnsi="宋体" w:cs="宋体"/>
        </w:rPr>
        <w:t>④</w:t>
      </w:r>
      <w:r>
        <w:t>装料作业起尘</w:t>
      </w:r>
    </w:p>
    <w:p>
      <w:pPr>
        <w:pStyle w:val="300"/>
      </w:pPr>
      <w:r>
        <w:t>本项目采用露天开采开挖方式，挖掘开采后随即采用货车进行装车，在装载过程中铲装、倾倒由于高度落差，会产生逸散尘；根据《逸散性工业粉尘控制技术》，以及结合本项目拟采取的严格措施，装料作业逸散尘排污系数为0.025kg/t（矿石原料），本项目采矿量为100万t/a，则装料产生的粉尘量为25.0t/a。</w:t>
      </w:r>
    </w:p>
    <w:p>
      <w:pPr>
        <w:pStyle w:val="300"/>
      </w:pPr>
      <w:r>
        <w:t>由于开采过程中洒水降尘，灰岩矿本身含有了一定的水分，同时要求，铲车装料时降低料斗和车厢高度差，适当控制放料速度，在此基础上物料抑尘量可达95%，则排放量为1.250t/a、0.313kg/h。</w:t>
      </w:r>
    </w:p>
    <w:p>
      <w:pPr>
        <w:pStyle w:val="300"/>
      </w:pPr>
      <w:r>
        <w:t>本项目铲车装车中由于和运输车辆的高度差，会产生一定量的粉尘，通过雾炮机以及洒水车进行洒水降尘，使矿物含有一定量的水分，降低高度差，控制放料速度等措施后，本项目废气能够做到达标排饭，对周边环境影响较小。</w:t>
      </w:r>
    </w:p>
    <w:p>
      <w:pPr>
        <w:pStyle w:val="300"/>
      </w:pPr>
      <w:r>
        <w:rPr>
          <w:rFonts w:hint="eastAsia" w:ascii="宋体" w:hAnsi="宋体" w:cs="宋体"/>
        </w:rPr>
        <w:t>⑥</w:t>
      </w:r>
      <w:r>
        <w:t>矿山风力扬尘</w:t>
      </w:r>
    </w:p>
    <w:p>
      <w:pPr>
        <w:spacing w:line="360" w:lineRule="auto"/>
        <w:ind w:firstLine="480"/>
        <w:rPr>
          <w:bCs/>
          <w:sz w:val="24"/>
        </w:rPr>
      </w:pPr>
      <w:r>
        <w:rPr>
          <w:bCs/>
          <w:sz w:val="24"/>
        </w:rPr>
        <w:t>主要来自采空区和加工区的裸地，在风力作用下产生一定的扬尘。根据非金属矿石扬尘产生经验系数：平均风速≤4m/s时，起尘量为总产量的0.02‰，扩建后开采规模为100万t/a，则整个矿区风力扬尘产生量约20.0t/a。矿山在开采过程中应严格执行“采剥并进，剥离先行”、边采边复垦的措施，矿区裸露面积小，</w:t>
      </w:r>
      <w:r>
        <w:rPr>
          <w:sz w:val="24"/>
          <w:szCs w:val="24"/>
        </w:rPr>
        <w:t>通过</w:t>
      </w:r>
      <w:r>
        <w:rPr>
          <w:sz w:val="24"/>
        </w:rPr>
        <w:t>雾炮机以及洒水车进行洒水</w:t>
      </w:r>
      <w:r>
        <w:rPr>
          <w:sz w:val="24"/>
          <w:szCs w:val="24"/>
        </w:rPr>
        <w:t>降尘，物料本身的含水率，减少堆场车辆来往对其的影响，抑尘量可达到80%，通过进一步的对矿区周边加强绿化措施，或采用篷布、帆布遮盖遮挡，减少粉尘的逸散扩散至外界。采取上述措施后，</w:t>
      </w:r>
      <w:r>
        <w:rPr>
          <w:bCs/>
          <w:sz w:val="24"/>
        </w:rPr>
        <w:t>风力扬尘可以减少80%，最终扬尘量0.800t/a。</w:t>
      </w:r>
    </w:p>
    <w:p>
      <w:pPr>
        <w:spacing w:line="360" w:lineRule="auto"/>
        <w:ind w:firstLine="480"/>
        <w:jc w:val="both"/>
        <w:rPr>
          <w:sz w:val="24"/>
        </w:rPr>
      </w:pPr>
      <w:r>
        <w:rPr>
          <w:sz w:val="24"/>
          <w:szCs w:val="21"/>
        </w:rPr>
        <w:t>风力扬尘的粒径较大，粉尘大多在短时间内沉降在附近，基本在矿区内，加之矿区内台阶式的阻挡和植物吸附降尘；粒径小的不易沉降的粉尘占比少，排放量较小；项目在开采过程中严格执行变开采变复垦的要求，减少矿区裸露面积，及时对矿石进行转运，减少暂存量，对表土、弃石及时进行复垦利用；</w:t>
      </w:r>
      <w:r>
        <w:rPr>
          <w:sz w:val="24"/>
        </w:rPr>
        <w:t>废气能够做到达标排饭，对周边环境影响较小。</w:t>
      </w:r>
    </w:p>
    <w:p>
      <w:pPr>
        <w:spacing w:line="360" w:lineRule="auto"/>
        <w:ind w:firstLine="520"/>
        <w:jc w:val="both"/>
      </w:pPr>
      <w:r>
        <w:rPr>
          <w:rFonts w:hint="eastAsia" w:ascii="宋体" w:hAnsi="宋体" w:cs="宋体"/>
        </w:rPr>
        <w:t>⑦</w:t>
      </w:r>
      <w:r>
        <w:t>矿区内运输扬尘</w:t>
      </w:r>
    </w:p>
    <w:p>
      <w:pPr>
        <w:spacing w:line="360" w:lineRule="auto"/>
        <w:ind w:firstLine="520"/>
        <w:jc w:val="both"/>
      </w:pPr>
      <w:r>
        <w:t>自卸式载重汽车在采场转运的过程中产生一定的扬尘，其产尘强度与路面结构类型、季节干湿以及汽车行进速度等因素有关。运输道路上所产生的扬尘采用经验公式，即：</w:t>
      </w:r>
    </w:p>
    <w:p>
      <w:pPr>
        <w:pStyle w:val="300"/>
        <w:jc w:val="center"/>
      </w:pPr>
      <w:r>
        <w:t>Q</w:t>
      </w:r>
      <w:r>
        <w:rPr>
          <w:vertAlign w:val="subscript"/>
        </w:rPr>
        <w:t>i</w:t>
      </w:r>
      <w:r>
        <w:t>=0.0079×V×W</w:t>
      </w:r>
      <w:r>
        <w:rPr>
          <w:vertAlign w:val="superscript"/>
        </w:rPr>
        <w:t>0.85</w:t>
      </w:r>
      <w:r>
        <w:t>×P</w:t>
      </w:r>
      <w:r>
        <w:rPr>
          <w:vertAlign w:val="superscript"/>
        </w:rPr>
        <w:t>0.72</w:t>
      </w:r>
    </w:p>
    <w:p>
      <w:pPr>
        <w:pStyle w:val="300"/>
      </w:pPr>
      <w:r>
        <w:t>式中：Q</w:t>
      </w:r>
      <w:r>
        <w:rPr>
          <w:vertAlign w:val="subscript"/>
        </w:rPr>
        <w:t>i</w:t>
      </w:r>
      <w:r>
        <w:t>——每辆汽车行驶扬尘量，kg/km·辆；</w:t>
      </w:r>
    </w:p>
    <w:p>
      <w:pPr>
        <w:pStyle w:val="300"/>
      </w:pPr>
      <w:r>
        <w:t>V——汽车行驶速度，10km/h；</w:t>
      </w:r>
    </w:p>
    <w:p>
      <w:pPr>
        <w:pStyle w:val="300"/>
      </w:pPr>
      <w:r>
        <w:t>W——汽车重量，25t；</w:t>
      </w:r>
    </w:p>
    <w:p>
      <w:pPr>
        <w:pStyle w:val="300"/>
      </w:pPr>
      <w:r>
        <w:t>P——道路表面粉尘量，0.1kg/m</w:t>
      </w:r>
      <w:r>
        <w:rPr>
          <w:vertAlign w:val="superscript"/>
        </w:rPr>
        <w:t>2</w:t>
      </w:r>
    </w:p>
    <w:p>
      <w:pPr>
        <w:pStyle w:val="300"/>
      </w:pPr>
      <w:r>
        <w:t>本项目矿区内运输距离以0.3km计，矿石装载汽车以10km/h速度行进，装载车辆总重25t/辆（其中车辆10t，矿石15t），共运送4万车次，则采矿区内部汽车运输引起的无组织粉尘产生量约为9.26t/a。粉尘大多在短时间内近距离内（矿区内）沉降，其粒径小的不易沉降的粉尘占比较小，其场界外粉尘的排放量比较小，矿山临时堆场在非雨天采取洒水车定期洒水作业降尘，通过洒水作业后，降尘效率按照90%计，则采区内汽车运输粉尘矿区外的排放量约为0.926t/a，排放时间4000h/a计，排放速率为0.232kg/h。</w:t>
      </w:r>
    </w:p>
    <w:p>
      <w:pPr>
        <w:pStyle w:val="300"/>
        <w:rPr>
          <w:szCs w:val="24"/>
        </w:rPr>
      </w:pPr>
      <w:r>
        <w:rPr>
          <w:szCs w:val="24"/>
        </w:rPr>
        <w:t>汽车运输扬尘点高度低，且多为无组织瞬时排放，其产生的粉尘主要对运输道路两侧近距离范围内造成污染。本项目场外运输主要利用场区周边现有道路，项目厂外运输道路平稳，路面较为坚硬，通过采取对运输车辆出场前对车身进行冲洗清洁，运输过程中在采取散装物料加盖篷布、控制装载量，在居民处缓行、干燥天气洒水抑尘等措施后，运输扬尘对附近环境空气影响有限。因此，产品运输对外环境影响较小。</w:t>
      </w:r>
    </w:p>
    <w:p>
      <w:pPr>
        <w:pStyle w:val="300"/>
      </w:pPr>
      <w:r>
        <w:rPr>
          <w:rFonts w:hint="eastAsia" w:ascii="宋体" w:hAnsi="宋体" w:cs="宋体"/>
        </w:rPr>
        <w:t>⑧</w:t>
      </w:r>
      <w:r>
        <w:t>矿区内汽车尾气</w:t>
      </w:r>
    </w:p>
    <w:p>
      <w:pPr>
        <w:pStyle w:val="300"/>
      </w:pPr>
      <w:r>
        <w:t>矿区设备（挖掘机、装卸汽车等）产生的燃油废气，其主要成分为：CO、HC、NOx等，根据矿山的设计生产能力和汽车配置情况，厂区载重汽车每天运输次数较少、运距较短，燃油机械每天作业时间较短，污染物产生量和环境影响有限。建议加强厂区和周边绿化，定期检维修，将汽车尾气影响降低到最小。</w:t>
      </w:r>
    </w:p>
    <w:p>
      <w:pPr>
        <w:pStyle w:val="300"/>
        <w:sectPr>
          <w:headerReference r:id="rId23" w:type="first"/>
          <w:footerReference r:id="rId25" w:type="first"/>
          <w:headerReference r:id="rId22" w:type="even"/>
          <w:footerReference r:id="rId24" w:type="even"/>
          <w:pgSz w:w="11907" w:h="16840"/>
          <w:pgMar w:top="1418" w:right="1588" w:bottom="1418" w:left="1588" w:header="1134" w:footer="1134" w:gutter="0"/>
          <w:cols w:space="425" w:num="1"/>
          <w:docGrid w:linePitch="354" w:charSpace="0"/>
        </w:sectPr>
      </w:pPr>
    </w:p>
    <w:p>
      <w:pPr>
        <w:pStyle w:val="84"/>
      </w:pPr>
      <w:r>
        <w:t>表3.3-4  开采区废气产生、治理及排放汇总表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707"/>
        <w:gridCol w:w="707"/>
        <w:gridCol w:w="707"/>
        <w:gridCol w:w="966"/>
        <w:gridCol w:w="844"/>
        <w:gridCol w:w="818"/>
        <w:gridCol w:w="638"/>
        <w:gridCol w:w="782"/>
        <w:gridCol w:w="716"/>
        <w:gridCol w:w="763"/>
        <w:gridCol w:w="818"/>
        <w:gridCol w:w="819"/>
        <w:gridCol w:w="984"/>
        <w:gridCol w:w="734"/>
        <w:gridCol w:w="984"/>
        <w:gridCol w:w="752"/>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污染源</w:t>
            </w:r>
          </w:p>
        </w:tc>
        <w:tc>
          <w:tcPr>
            <w:tcW w:w="26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废气名称</w:t>
            </w:r>
          </w:p>
        </w:tc>
        <w:tc>
          <w:tcPr>
            <w:tcW w:w="26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w:t>
            </w:r>
          </w:p>
        </w:tc>
        <w:tc>
          <w:tcPr>
            <w:tcW w:w="1143" w:type="pct"/>
            <w:gridSpan w:val="4"/>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污染物产生</w:t>
            </w:r>
          </w:p>
        </w:tc>
        <w:tc>
          <w:tcPr>
            <w:tcW w:w="809"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治理措施</w:t>
            </w:r>
          </w:p>
        </w:tc>
        <w:tc>
          <w:tcPr>
            <w:tcW w:w="1129" w:type="pct"/>
            <w:gridSpan w:val="4"/>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污染物排放</w:t>
            </w:r>
          </w:p>
        </w:tc>
        <w:tc>
          <w:tcPr>
            <w:tcW w:w="552" w:type="pct"/>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执行标准</w:t>
            </w:r>
          </w:p>
        </w:tc>
        <w:tc>
          <w:tcPr>
            <w:tcW w:w="236"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排放时间h</w:t>
            </w:r>
          </w:p>
        </w:tc>
        <w:tc>
          <w:tcPr>
            <w:tcW w:w="327"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6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6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6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核算方法</w:t>
            </w:r>
          </w:p>
        </w:tc>
        <w:tc>
          <w:tcPr>
            <w:tcW w:w="28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产污系数kg/t</w:t>
            </w:r>
          </w:p>
        </w:tc>
        <w:tc>
          <w:tcPr>
            <w:tcW w:w="31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产生量t/a</w:t>
            </w:r>
          </w:p>
        </w:tc>
        <w:tc>
          <w:tcPr>
            <w:tcW w:w="27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产生速率kg/h</w:t>
            </w:r>
          </w:p>
        </w:tc>
        <w:tc>
          <w:tcPr>
            <w:tcW w:w="23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收集效率%</w:t>
            </w:r>
          </w:p>
        </w:tc>
        <w:tc>
          <w:tcPr>
            <w:tcW w:w="30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工艺</w:t>
            </w:r>
          </w:p>
        </w:tc>
        <w:tc>
          <w:tcPr>
            <w:tcW w:w="27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处理效率%</w:t>
            </w:r>
          </w:p>
        </w:tc>
        <w:tc>
          <w:tcPr>
            <w:tcW w:w="27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废气排放量m</w:t>
            </w:r>
            <w:r>
              <w:rPr>
                <w:b/>
                <w:bCs/>
                <w:sz w:val="21"/>
                <w:szCs w:val="21"/>
                <w:vertAlign w:val="superscript"/>
              </w:rPr>
              <w:t>3</w:t>
            </w:r>
            <w:r>
              <w:rPr>
                <w:b/>
                <w:bCs/>
                <w:sz w:val="21"/>
                <w:szCs w:val="21"/>
              </w:rPr>
              <w:t>/h</w:t>
            </w:r>
          </w:p>
        </w:tc>
        <w:tc>
          <w:tcPr>
            <w:tcW w:w="29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排放量t/a</w:t>
            </w:r>
          </w:p>
        </w:tc>
        <w:tc>
          <w:tcPr>
            <w:tcW w:w="27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排放速率kg/h</w:t>
            </w:r>
          </w:p>
        </w:tc>
        <w:tc>
          <w:tcPr>
            <w:tcW w:w="28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排放浓度mg/m</w:t>
            </w:r>
            <w:r>
              <w:rPr>
                <w:b/>
                <w:bCs/>
                <w:sz w:val="21"/>
                <w:szCs w:val="21"/>
                <w:vertAlign w:val="superscript"/>
              </w:rPr>
              <w:t>3</w:t>
            </w:r>
          </w:p>
        </w:tc>
        <w:tc>
          <w:tcPr>
            <w:tcW w:w="26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速率kg/h</w:t>
            </w:r>
          </w:p>
        </w:tc>
        <w:tc>
          <w:tcPr>
            <w:tcW w:w="28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浓度mg/m</w:t>
            </w:r>
            <w:r>
              <w:rPr>
                <w:b/>
                <w:bCs/>
                <w:sz w:val="21"/>
                <w:szCs w:val="21"/>
                <w:vertAlign w:val="superscript"/>
              </w:rPr>
              <w:t>3</w:t>
            </w:r>
          </w:p>
        </w:tc>
        <w:tc>
          <w:tcPr>
            <w:tcW w:w="236"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327" w:type="pct"/>
            <w:vMerge w:val="continue"/>
            <w:shd w:val="clear" w:color="auto" w:fill="D8D8D8" w:themeFill="background1" w:themeFillShade="D9"/>
            <w:vAlign w:val="center"/>
          </w:tcPr>
          <w:p>
            <w:pPr>
              <w:spacing w:line="240" w:lineRule="auto"/>
              <w:ind w:firstLine="0" w:firstLineChars="0"/>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Align w:val="center"/>
          </w:tcPr>
          <w:p>
            <w:pPr>
              <w:spacing w:line="240" w:lineRule="auto"/>
              <w:ind w:firstLine="0" w:firstLineChars="0"/>
              <w:jc w:val="center"/>
              <w:rPr>
                <w:sz w:val="21"/>
                <w:szCs w:val="21"/>
              </w:rPr>
            </w:pPr>
            <w:r>
              <w:rPr>
                <w:sz w:val="21"/>
                <w:szCs w:val="21"/>
              </w:rPr>
              <w:t>剥离</w:t>
            </w:r>
          </w:p>
        </w:tc>
        <w:tc>
          <w:tcPr>
            <w:tcW w:w="268" w:type="pct"/>
            <w:vAlign w:val="center"/>
          </w:tcPr>
          <w:p>
            <w:pPr>
              <w:spacing w:line="240" w:lineRule="auto"/>
              <w:ind w:firstLine="0" w:firstLineChars="0"/>
              <w:jc w:val="center"/>
              <w:rPr>
                <w:sz w:val="21"/>
                <w:szCs w:val="21"/>
              </w:rPr>
            </w:pPr>
            <w:r>
              <w:rPr>
                <w:sz w:val="21"/>
                <w:szCs w:val="21"/>
              </w:rPr>
              <w:t>剥离粉尘</w:t>
            </w:r>
          </w:p>
        </w:tc>
        <w:tc>
          <w:tcPr>
            <w:tcW w:w="268" w:type="pct"/>
            <w:vAlign w:val="center"/>
          </w:tcPr>
          <w:p>
            <w:pPr>
              <w:spacing w:line="240" w:lineRule="auto"/>
              <w:ind w:firstLine="0" w:firstLineChars="0"/>
              <w:jc w:val="center"/>
              <w:rPr>
                <w:sz w:val="21"/>
                <w:szCs w:val="21"/>
              </w:rPr>
            </w:pPr>
            <w:r>
              <w:rPr>
                <w:sz w:val="21"/>
                <w:szCs w:val="21"/>
              </w:rPr>
              <w:t>颗粒物</w:t>
            </w:r>
          </w:p>
        </w:tc>
        <w:tc>
          <w:tcPr>
            <w:tcW w:w="268" w:type="pct"/>
            <w:vAlign w:val="center"/>
          </w:tcPr>
          <w:p>
            <w:pPr>
              <w:spacing w:line="240" w:lineRule="auto"/>
              <w:ind w:firstLine="0" w:firstLineChars="0"/>
              <w:jc w:val="center"/>
              <w:rPr>
                <w:sz w:val="21"/>
                <w:szCs w:val="21"/>
              </w:rPr>
            </w:pPr>
            <w:r>
              <w:rPr>
                <w:sz w:val="21"/>
                <w:szCs w:val="21"/>
              </w:rPr>
              <w:t>产排污系数法</w:t>
            </w:r>
          </w:p>
        </w:tc>
        <w:tc>
          <w:tcPr>
            <w:tcW w:w="288" w:type="pct"/>
            <w:vAlign w:val="center"/>
          </w:tcPr>
          <w:p>
            <w:pPr>
              <w:spacing w:line="240" w:lineRule="auto"/>
              <w:ind w:firstLine="0" w:firstLineChars="0"/>
              <w:jc w:val="center"/>
              <w:rPr>
                <w:sz w:val="21"/>
                <w:szCs w:val="21"/>
              </w:rPr>
            </w:pPr>
            <w:r>
              <w:rPr>
                <w:sz w:val="21"/>
                <w:szCs w:val="21"/>
              </w:rPr>
              <w:t>0.0365</w:t>
            </w:r>
          </w:p>
        </w:tc>
        <w:tc>
          <w:tcPr>
            <w:tcW w:w="316" w:type="pct"/>
            <w:vAlign w:val="center"/>
          </w:tcPr>
          <w:p>
            <w:pPr>
              <w:spacing w:line="240" w:lineRule="auto"/>
              <w:ind w:firstLine="0" w:firstLineChars="0"/>
              <w:jc w:val="center"/>
              <w:rPr>
                <w:sz w:val="21"/>
                <w:szCs w:val="21"/>
              </w:rPr>
            </w:pPr>
            <w:r>
              <w:rPr>
                <w:sz w:val="21"/>
                <w:szCs w:val="21"/>
              </w:rPr>
              <w:t>0.251</w:t>
            </w:r>
          </w:p>
        </w:tc>
        <w:tc>
          <w:tcPr>
            <w:tcW w:w="271" w:type="pct"/>
            <w:vAlign w:val="center"/>
          </w:tcPr>
          <w:p>
            <w:pPr>
              <w:spacing w:line="240" w:lineRule="auto"/>
              <w:ind w:firstLine="0" w:firstLineChars="0"/>
              <w:jc w:val="center"/>
              <w:rPr>
                <w:sz w:val="21"/>
                <w:szCs w:val="21"/>
              </w:rPr>
            </w:pPr>
            <w:r>
              <w:rPr>
                <w:sz w:val="21"/>
                <w:szCs w:val="21"/>
              </w:rPr>
              <w:t xml:space="preserve">0.063 </w:t>
            </w:r>
          </w:p>
        </w:tc>
        <w:tc>
          <w:tcPr>
            <w:tcW w:w="235" w:type="pct"/>
            <w:vAlign w:val="center"/>
          </w:tcPr>
          <w:p>
            <w:pPr>
              <w:spacing w:line="240" w:lineRule="auto"/>
              <w:ind w:firstLine="0" w:firstLineChars="0"/>
              <w:jc w:val="center"/>
              <w:rPr>
                <w:sz w:val="21"/>
                <w:szCs w:val="21"/>
              </w:rPr>
            </w:pPr>
            <w:r>
              <w:rPr>
                <w:sz w:val="21"/>
                <w:szCs w:val="21"/>
              </w:rPr>
              <w:t>/</w:t>
            </w:r>
          </w:p>
        </w:tc>
        <w:tc>
          <w:tcPr>
            <w:tcW w:w="303" w:type="pct"/>
            <w:vMerge w:val="restart"/>
            <w:vAlign w:val="center"/>
          </w:tcPr>
          <w:p>
            <w:pPr>
              <w:spacing w:line="240" w:lineRule="auto"/>
              <w:ind w:firstLine="0" w:firstLineChars="0"/>
              <w:jc w:val="center"/>
              <w:rPr>
                <w:sz w:val="21"/>
                <w:szCs w:val="21"/>
              </w:rPr>
            </w:pPr>
            <w:r>
              <w:rPr>
                <w:sz w:val="21"/>
                <w:szCs w:val="21"/>
              </w:rPr>
              <w:t>洒水降尘</w:t>
            </w:r>
          </w:p>
        </w:tc>
        <w:tc>
          <w:tcPr>
            <w:tcW w:w="271" w:type="pct"/>
            <w:vAlign w:val="center"/>
          </w:tcPr>
          <w:p>
            <w:pPr>
              <w:spacing w:line="240" w:lineRule="auto"/>
              <w:ind w:firstLine="0" w:firstLineChars="0"/>
              <w:jc w:val="center"/>
              <w:rPr>
                <w:sz w:val="21"/>
                <w:szCs w:val="21"/>
              </w:rPr>
            </w:pPr>
            <w:r>
              <w:rPr>
                <w:bCs/>
                <w:sz w:val="21"/>
                <w:szCs w:val="21"/>
              </w:rPr>
              <w:t>75</w:t>
            </w:r>
          </w:p>
        </w:tc>
        <w:tc>
          <w:tcPr>
            <w:tcW w:w="275"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 xml:space="preserve">0.063 </w:t>
            </w:r>
          </w:p>
        </w:tc>
        <w:tc>
          <w:tcPr>
            <w:tcW w:w="279" w:type="pct"/>
            <w:vAlign w:val="center"/>
          </w:tcPr>
          <w:p>
            <w:pPr>
              <w:spacing w:line="240" w:lineRule="auto"/>
              <w:ind w:firstLine="0" w:firstLineChars="0"/>
              <w:jc w:val="center"/>
              <w:rPr>
                <w:sz w:val="21"/>
                <w:szCs w:val="21"/>
              </w:rPr>
            </w:pPr>
            <w:r>
              <w:rPr>
                <w:sz w:val="21"/>
                <w:szCs w:val="21"/>
              </w:rPr>
              <w:t xml:space="preserve">0.016 </w:t>
            </w:r>
          </w:p>
        </w:tc>
        <w:tc>
          <w:tcPr>
            <w:tcW w:w="283" w:type="pct"/>
            <w:vAlign w:val="center"/>
          </w:tcPr>
          <w:p>
            <w:pPr>
              <w:spacing w:line="240" w:lineRule="auto"/>
              <w:ind w:firstLine="0" w:firstLineChars="0"/>
              <w:jc w:val="center"/>
              <w:rPr>
                <w:sz w:val="21"/>
                <w:szCs w:val="21"/>
              </w:rPr>
            </w:pPr>
            <w:r>
              <w:rPr>
                <w:sz w:val="21"/>
                <w:szCs w:val="21"/>
              </w:rPr>
              <w:t>/</w:t>
            </w:r>
          </w:p>
        </w:tc>
        <w:tc>
          <w:tcPr>
            <w:tcW w:w="269" w:type="pct"/>
            <w:vAlign w:val="center"/>
          </w:tcPr>
          <w:p>
            <w:pPr>
              <w:spacing w:line="240" w:lineRule="auto"/>
              <w:ind w:firstLine="0" w:firstLineChars="0"/>
              <w:jc w:val="center"/>
              <w:rPr>
                <w:sz w:val="21"/>
                <w:szCs w:val="21"/>
              </w:rPr>
            </w:pPr>
            <w:r>
              <w:rPr>
                <w:sz w:val="21"/>
                <w:szCs w:val="21"/>
              </w:rPr>
              <w:t>/</w:t>
            </w:r>
          </w:p>
        </w:tc>
        <w:tc>
          <w:tcPr>
            <w:tcW w:w="283" w:type="pct"/>
            <w:vAlign w:val="center"/>
          </w:tcPr>
          <w:p>
            <w:pPr>
              <w:spacing w:line="240" w:lineRule="auto"/>
              <w:ind w:firstLine="0" w:firstLineChars="0"/>
              <w:jc w:val="center"/>
              <w:rPr>
                <w:sz w:val="21"/>
                <w:szCs w:val="21"/>
              </w:rPr>
            </w:pPr>
            <w:r>
              <w:rPr>
                <w:sz w:val="21"/>
                <w:szCs w:val="21"/>
              </w:rPr>
              <w:t>1.0</w:t>
            </w:r>
          </w:p>
        </w:tc>
        <w:tc>
          <w:tcPr>
            <w:tcW w:w="236" w:type="pct"/>
            <w:vAlign w:val="center"/>
          </w:tcPr>
          <w:p>
            <w:pPr>
              <w:spacing w:line="240" w:lineRule="auto"/>
              <w:ind w:firstLine="0" w:firstLineChars="0"/>
              <w:jc w:val="center"/>
              <w:rPr>
                <w:sz w:val="21"/>
                <w:szCs w:val="21"/>
              </w:rPr>
            </w:pPr>
            <w:r>
              <w:rPr>
                <w:sz w:val="21"/>
                <w:szCs w:val="21"/>
              </w:rPr>
              <w:t>4000</w:t>
            </w:r>
          </w:p>
        </w:tc>
        <w:tc>
          <w:tcPr>
            <w:tcW w:w="327" w:type="pct"/>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68" w:type="pct"/>
            <w:vAlign w:val="center"/>
          </w:tcPr>
          <w:p>
            <w:pPr>
              <w:spacing w:line="240" w:lineRule="auto"/>
              <w:ind w:firstLine="0" w:firstLineChars="0"/>
              <w:jc w:val="center"/>
              <w:rPr>
                <w:sz w:val="21"/>
                <w:szCs w:val="21"/>
              </w:rPr>
            </w:pPr>
            <w:r>
              <w:rPr>
                <w:sz w:val="21"/>
                <w:szCs w:val="21"/>
              </w:rPr>
              <w:t>钻孔</w:t>
            </w:r>
          </w:p>
        </w:tc>
        <w:tc>
          <w:tcPr>
            <w:tcW w:w="268" w:type="pct"/>
            <w:vAlign w:val="center"/>
          </w:tcPr>
          <w:p>
            <w:pPr>
              <w:spacing w:line="240" w:lineRule="auto"/>
              <w:ind w:firstLine="0" w:firstLineChars="0"/>
              <w:jc w:val="center"/>
              <w:rPr>
                <w:sz w:val="21"/>
                <w:szCs w:val="21"/>
              </w:rPr>
            </w:pPr>
            <w:r>
              <w:rPr>
                <w:sz w:val="21"/>
                <w:szCs w:val="21"/>
              </w:rPr>
              <w:t>钻孔粉尘</w:t>
            </w:r>
          </w:p>
        </w:tc>
        <w:tc>
          <w:tcPr>
            <w:tcW w:w="268" w:type="pct"/>
            <w:vAlign w:val="center"/>
          </w:tcPr>
          <w:p>
            <w:pPr>
              <w:spacing w:line="240" w:lineRule="auto"/>
              <w:ind w:firstLine="0" w:firstLineChars="0"/>
              <w:jc w:val="center"/>
              <w:rPr>
                <w:sz w:val="21"/>
                <w:szCs w:val="21"/>
              </w:rPr>
            </w:pPr>
            <w:r>
              <w:rPr>
                <w:sz w:val="21"/>
                <w:szCs w:val="21"/>
              </w:rPr>
              <w:t>颗粒物</w:t>
            </w:r>
          </w:p>
        </w:tc>
        <w:tc>
          <w:tcPr>
            <w:tcW w:w="268" w:type="pct"/>
            <w:vAlign w:val="center"/>
          </w:tcPr>
          <w:p>
            <w:pPr>
              <w:spacing w:line="240" w:lineRule="auto"/>
              <w:ind w:firstLine="0" w:firstLineChars="0"/>
              <w:jc w:val="center"/>
              <w:rPr>
                <w:sz w:val="21"/>
                <w:szCs w:val="21"/>
              </w:rPr>
            </w:pPr>
            <w:r>
              <w:rPr>
                <w:sz w:val="21"/>
                <w:szCs w:val="21"/>
              </w:rPr>
              <w:t>产排污系数法</w:t>
            </w:r>
          </w:p>
        </w:tc>
        <w:tc>
          <w:tcPr>
            <w:tcW w:w="288" w:type="pct"/>
            <w:vAlign w:val="center"/>
          </w:tcPr>
          <w:p>
            <w:pPr>
              <w:spacing w:line="240" w:lineRule="auto"/>
              <w:ind w:firstLine="0" w:firstLineChars="0"/>
              <w:jc w:val="center"/>
              <w:rPr>
                <w:sz w:val="21"/>
                <w:szCs w:val="21"/>
              </w:rPr>
            </w:pPr>
            <w:r>
              <w:rPr>
                <w:sz w:val="21"/>
                <w:szCs w:val="21"/>
              </w:rPr>
              <w:t>0.004</w:t>
            </w:r>
          </w:p>
        </w:tc>
        <w:tc>
          <w:tcPr>
            <w:tcW w:w="316" w:type="pct"/>
            <w:vAlign w:val="center"/>
          </w:tcPr>
          <w:p>
            <w:pPr>
              <w:spacing w:line="240" w:lineRule="auto"/>
              <w:ind w:firstLine="0" w:firstLineChars="0"/>
              <w:jc w:val="center"/>
              <w:rPr>
                <w:sz w:val="21"/>
                <w:szCs w:val="21"/>
              </w:rPr>
            </w:pPr>
            <w:r>
              <w:rPr>
                <w:sz w:val="21"/>
                <w:szCs w:val="21"/>
              </w:rPr>
              <w:t>4.00</w:t>
            </w:r>
          </w:p>
        </w:tc>
        <w:tc>
          <w:tcPr>
            <w:tcW w:w="271" w:type="pct"/>
            <w:vAlign w:val="center"/>
          </w:tcPr>
          <w:p>
            <w:pPr>
              <w:spacing w:line="240" w:lineRule="auto"/>
              <w:ind w:firstLine="0" w:firstLineChars="0"/>
              <w:jc w:val="center"/>
              <w:rPr>
                <w:sz w:val="21"/>
                <w:szCs w:val="21"/>
              </w:rPr>
            </w:pPr>
            <w:r>
              <w:rPr>
                <w:sz w:val="21"/>
                <w:szCs w:val="21"/>
              </w:rPr>
              <w:t xml:space="preserve">1.000 </w:t>
            </w:r>
          </w:p>
        </w:tc>
        <w:tc>
          <w:tcPr>
            <w:tcW w:w="235" w:type="pct"/>
            <w:vAlign w:val="center"/>
          </w:tcPr>
          <w:p>
            <w:pPr>
              <w:spacing w:line="240" w:lineRule="auto"/>
              <w:ind w:firstLine="0" w:firstLineChars="0"/>
              <w:jc w:val="center"/>
              <w:rPr>
                <w:sz w:val="21"/>
                <w:szCs w:val="21"/>
              </w:rPr>
            </w:pPr>
            <w:r>
              <w:rPr>
                <w:sz w:val="21"/>
                <w:szCs w:val="21"/>
              </w:rPr>
              <w:t>/</w:t>
            </w:r>
          </w:p>
        </w:tc>
        <w:tc>
          <w:tcPr>
            <w:tcW w:w="303" w:type="pct"/>
            <w:vMerge w:val="continue"/>
            <w:vAlign w:val="center"/>
          </w:tcPr>
          <w:p>
            <w:pPr>
              <w:spacing w:line="240" w:lineRule="auto"/>
              <w:ind w:firstLine="0" w:firstLineChars="0"/>
              <w:jc w:val="center"/>
              <w:rPr>
                <w:sz w:val="21"/>
                <w:szCs w:val="21"/>
              </w:rPr>
            </w:pPr>
          </w:p>
        </w:tc>
        <w:tc>
          <w:tcPr>
            <w:tcW w:w="271" w:type="pct"/>
            <w:vAlign w:val="center"/>
          </w:tcPr>
          <w:p>
            <w:pPr>
              <w:spacing w:line="240" w:lineRule="auto"/>
              <w:ind w:firstLine="0" w:firstLineChars="0"/>
              <w:jc w:val="center"/>
              <w:rPr>
                <w:sz w:val="21"/>
                <w:szCs w:val="21"/>
              </w:rPr>
            </w:pPr>
            <w:r>
              <w:rPr>
                <w:bCs/>
                <w:sz w:val="21"/>
                <w:szCs w:val="21"/>
              </w:rPr>
              <w:t>95</w:t>
            </w:r>
          </w:p>
        </w:tc>
        <w:tc>
          <w:tcPr>
            <w:tcW w:w="275"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 xml:space="preserve">0.200 </w:t>
            </w:r>
          </w:p>
        </w:tc>
        <w:tc>
          <w:tcPr>
            <w:tcW w:w="279" w:type="pct"/>
            <w:vAlign w:val="center"/>
          </w:tcPr>
          <w:p>
            <w:pPr>
              <w:spacing w:line="240" w:lineRule="auto"/>
              <w:ind w:firstLine="0" w:firstLineChars="0"/>
              <w:jc w:val="center"/>
              <w:rPr>
                <w:sz w:val="21"/>
                <w:szCs w:val="21"/>
              </w:rPr>
            </w:pPr>
            <w:r>
              <w:rPr>
                <w:sz w:val="21"/>
                <w:szCs w:val="21"/>
              </w:rPr>
              <w:t xml:space="preserve">0.050 </w:t>
            </w:r>
          </w:p>
        </w:tc>
        <w:tc>
          <w:tcPr>
            <w:tcW w:w="283" w:type="pct"/>
            <w:vAlign w:val="center"/>
          </w:tcPr>
          <w:p>
            <w:pPr>
              <w:spacing w:line="240" w:lineRule="auto"/>
              <w:ind w:firstLine="0" w:firstLineChars="0"/>
              <w:jc w:val="center"/>
              <w:rPr>
                <w:sz w:val="21"/>
                <w:szCs w:val="21"/>
              </w:rPr>
            </w:pPr>
            <w:r>
              <w:rPr>
                <w:sz w:val="21"/>
                <w:szCs w:val="21"/>
              </w:rPr>
              <w:t>/</w:t>
            </w:r>
          </w:p>
        </w:tc>
        <w:tc>
          <w:tcPr>
            <w:tcW w:w="269" w:type="pct"/>
            <w:vAlign w:val="center"/>
          </w:tcPr>
          <w:p>
            <w:pPr>
              <w:spacing w:line="240" w:lineRule="auto"/>
              <w:ind w:firstLine="0" w:firstLineChars="0"/>
              <w:jc w:val="center"/>
              <w:rPr>
                <w:sz w:val="21"/>
                <w:szCs w:val="21"/>
              </w:rPr>
            </w:pPr>
            <w:r>
              <w:rPr>
                <w:sz w:val="21"/>
                <w:szCs w:val="21"/>
              </w:rPr>
              <w:t>/</w:t>
            </w:r>
          </w:p>
        </w:tc>
        <w:tc>
          <w:tcPr>
            <w:tcW w:w="283" w:type="pct"/>
            <w:vAlign w:val="center"/>
          </w:tcPr>
          <w:p>
            <w:pPr>
              <w:spacing w:line="240" w:lineRule="auto"/>
              <w:ind w:firstLine="0" w:firstLineChars="0"/>
              <w:jc w:val="center"/>
              <w:rPr>
                <w:sz w:val="21"/>
                <w:szCs w:val="21"/>
              </w:rPr>
            </w:pPr>
            <w:r>
              <w:rPr>
                <w:sz w:val="21"/>
                <w:szCs w:val="21"/>
              </w:rPr>
              <w:t>1.0</w:t>
            </w:r>
          </w:p>
        </w:tc>
        <w:tc>
          <w:tcPr>
            <w:tcW w:w="236" w:type="pct"/>
            <w:vAlign w:val="center"/>
          </w:tcPr>
          <w:p>
            <w:pPr>
              <w:spacing w:line="240" w:lineRule="auto"/>
              <w:ind w:firstLine="0" w:firstLineChars="0"/>
              <w:jc w:val="center"/>
              <w:rPr>
                <w:sz w:val="21"/>
                <w:szCs w:val="21"/>
              </w:rPr>
            </w:pPr>
            <w:r>
              <w:rPr>
                <w:sz w:val="21"/>
                <w:szCs w:val="21"/>
              </w:rPr>
              <w:t>4000</w:t>
            </w:r>
          </w:p>
        </w:tc>
        <w:tc>
          <w:tcPr>
            <w:tcW w:w="327" w:type="pct"/>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Align w:val="center"/>
          </w:tcPr>
          <w:p>
            <w:pPr>
              <w:spacing w:line="240" w:lineRule="auto"/>
              <w:ind w:firstLine="0" w:firstLineChars="0"/>
              <w:jc w:val="center"/>
              <w:rPr>
                <w:sz w:val="21"/>
                <w:szCs w:val="21"/>
              </w:rPr>
            </w:pPr>
            <w:r>
              <w:rPr>
                <w:sz w:val="21"/>
                <w:szCs w:val="21"/>
              </w:rPr>
              <w:t>装料作业</w:t>
            </w:r>
          </w:p>
        </w:tc>
        <w:tc>
          <w:tcPr>
            <w:tcW w:w="268" w:type="pct"/>
            <w:vAlign w:val="center"/>
          </w:tcPr>
          <w:p>
            <w:pPr>
              <w:spacing w:line="240" w:lineRule="auto"/>
              <w:ind w:firstLine="0" w:firstLineChars="0"/>
              <w:jc w:val="center"/>
              <w:rPr>
                <w:sz w:val="21"/>
                <w:szCs w:val="21"/>
              </w:rPr>
            </w:pPr>
            <w:r>
              <w:rPr>
                <w:sz w:val="21"/>
                <w:szCs w:val="21"/>
              </w:rPr>
              <w:t>装料作业粉尘</w:t>
            </w:r>
          </w:p>
        </w:tc>
        <w:tc>
          <w:tcPr>
            <w:tcW w:w="268" w:type="pct"/>
            <w:vAlign w:val="center"/>
          </w:tcPr>
          <w:p>
            <w:pPr>
              <w:spacing w:line="240" w:lineRule="auto"/>
              <w:ind w:firstLine="0" w:firstLineChars="0"/>
              <w:jc w:val="center"/>
              <w:rPr>
                <w:sz w:val="21"/>
                <w:szCs w:val="21"/>
              </w:rPr>
            </w:pPr>
            <w:r>
              <w:rPr>
                <w:sz w:val="21"/>
                <w:szCs w:val="21"/>
              </w:rPr>
              <w:t>颗粒物</w:t>
            </w:r>
          </w:p>
        </w:tc>
        <w:tc>
          <w:tcPr>
            <w:tcW w:w="268" w:type="pct"/>
            <w:vAlign w:val="center"/>
          </w:tcPr>
          <w:p>
            <w:pPr>
              <w:spacing w:line="240" w:lineRule="auto"/>
              <w:ind w:firstLine="0" w:firstLineChars="0"/>
              <w:jc w:val="center"/>
              <w:rPr>
                <w:sz w:val="21"/>
                <w:szCs w:val="21"/>
              </w:rPr>
            </w:pPr>
            <w:r>
              <w:rPr>
                <w:sz w:val="21"/>
                <w:szCs w:val="21"/>
              </w:rPr>
              <w:t>产排污系数法</w:t>
            </w:r>
          </w:p>
        </w:tc>
        <w:tc>
          <w:tcPr>
            <w:tcW w:w="288" w:type="pct"/>
            <w:vAlign w:val="center"/>
          </w:tcPr>
          <w:p>
            <w:pPr>
              <w:spacing w:line="240" w:lineRule="auto"/>
              <w:ind w:firstLine="0" w:firstLineChars="0"/>
              <w:jc w:val="center"/>
              <w:rPr>
                <w:sz w:val="21"/>
                <w:szCs w:val="21"/>
              </w:rPr>
            </w:pPr>
            <w:r>
              <w:rPr>
                <w:sz w:val="21"/>
                <w:szCs w:val="21"/>
              </w:rPr>
              <w:t>0.025</w:t>
            </w:r>
          </w:p>
        </w:tc>
        <w:tc>
          <w:tcPr>
            <w:tcW w:w="316" w:type="pct"/>
            <w:vAlign w:val="center"/>
          </w:tcPr>
          <w:p>
            <w:pPr>
              <w:spacing w:line="240" w:lineRule="auto"/>
              <w:ind w:firstLine="0" w:firstLineChars="0"/>
              <w:jc w:val="center"/>
              <w:rPr>
                <w:sz w:val="21"/>
                <w:szCs w:val="21"/>
              </w:rPr>
            </w:pPr>
            <w:r>
              <w:rPr>
                <w:sz w:val="21"/>
                <w:szCs w:val="21"/>
              </w:rPr>
              <w:t>25.0</w:t>
            </w:r>
          </w:p>
        </w:tc>
        <w:tc>
          <w:tcPr>
            <w:tcW w:w="271" w:type="pct"/>
            <w:vAlign w:val="center"/>
          </w:tcPr>
          <w:p>
            <w:pPr>
              <w:spacing w:line="240" w:lineRule="auto"/>
              <w:ind w:firstLine="0" w:firstLineChars="0"/>
              <w:jc w:val="center"/>
              <w:rPr>
                <w:sz w:val="21"/>
                <w:szCs w:val="21"/>
              </w:rPr>
            </w:pPr>
            <w:r>
              <w:rPr>
                <w:sz w:val="21"/>
                <w:szCs w:val="21"/>
              </w:rPr>
              <w:t xml:space="preserve">6.250 </w:t>
            </w:r>
          </w:p>
        </w:tc>
        <w:tc>
          <w:tcPr>
            <w:tcW w:w="235" w:type="pct"/>
            <w:vAlign w:val="center"/>
          </w:tcPr>
          <w:p>
            <w:pPr>
              <w:spacing w:line="240" w:lineRule="auto"/>
              <w:ind w:firstLine="0" w:firstLineChars="0"/>
              <w:jc w:val="center"/>
              <w:rPr>
                <w:sz w:val="21"/>
                <w:szCs w:val="21"/>
              </w:rPr>
            </w:pPr>
            <w:r>
              <w:rPr>
                <w:sz w:val="21"/>
                <w:szCs w:val="21"/>
              </w:rPr>
              <w:t>/</w:t>
            </w:r>
          </w:p>
        </w:tc>
        <w:tc>
          <w:tcPr>
            <w:tcW w:w="303" w:type="pct"/>
            <w:vAlign w:val="center"/>
          </w:tcPr>
          <w:p>
            <w:pPr>
              <w:spacing w:line="240" w:lineRule="auto"/>
              <w:ind w:firstLine="0" w:firstLineChars="0"/>
              <w:rPr>
                <w:sz w:val="21"/>
                <w:szCs w:val="21"/>
              </w:rPr>
            </w:pPr>
            <w:r>
              <w:rPr>
                <w:sz w:val="21"/>
                <w:szCs w:val="21"/>
              </w:rPr>
              <w:t>洒水降尘、控制放料速度</w:t>
            </w:r>
          </w:p>
        </w:tc>
        <w:tc>
          <w:tcPr>
            <w:tcW w:w="271" w:type="pct"/>
            <w:vAlign w:val="center"/>
          </w:tcPr>
          <w:p>
            <w:pPr>
              <w:spacing w:line="240" w:lineRule="auto"/>
              <w:ind w:firstLine="0" w:firstLineChars="0"/>
              <w:jc w:val="center"/>
              <w:rPr>
                <w:sz w:val="21"/>
                <w:szCs w:val="21"/>
              </w:rPr>
            </w:pPr>
            <w:r>
              <w:rPr>
                <w:sz w:val="21"/>
                <w:szCs w:val="21"/>
              </w:rPr>
              <w:t>95</w:t>
            </w:r>
          </w:p>
        </w:tc>
        <w:tc>
          <w:tcPr>
            <w:tcW w:w="275"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1.250</w:t>
            </w:r>
          </w:p>
        </w:tc>
        <w:tc>
          <w:tcPr>
            <w:tcW w:w="279" w:type="pct"/>
            <w:vAlign w:val="center"/>
          </w:tcPr>
          <w:p>
            <w:pPr>
              <w:spacing w:line="240" w:lineRule="auto"/>
              <w:ind w:firstLine="0" w:firstLineChars="0"/>
              <w:jc w:val="center"/>
              <w:rPr>
                <w:sz w:val="21"/>
                <w:szCs w:val="21"/>
              </w:rPr>
            </w:pPr>
            <w:r>
              <w:rPr>
                <w:sz w:val="21"/>
                <w:szCs w:val="21"/>
              </w:rPr>
              <w:t>0.313</w:t>
            </w:r>
          </w:p>
        </w:tc>
        <w:tc>
          <w:tcPr>
            <w:tcW w:w="283" w:type="pct"/>
            <w:vAlign w:val="center"/>
          </w:tcPr>
          <w:p>
            <w:pPr>
              <w:spacing w:line="240" w:lineRule="auto"/>
              <w:ind w:firstLine="0" w:firstLineChars="0"/>
              <w:jc w:val="center"/>
              <w:rPr>
                <w:sz w:val="21"/>
                <w:szCs w:val="21"/>
              </w:rPr>
            </w:pPr>
            <w:r>
              <w:rPr>
                <w:sz w:val="21"/>
                <w:szCs w:val="21"/>
              </w:rPr>
              <w:t>/</w:t>
            </w:r>
          </w:p>
        </w:tc>
        <w:tc>
          <w:tcPr>
            <w:tcW w:w="269" w:type="pct"/>
            <w:vAlign w:val="center"/>
          </w:tcPr>
          <w:p>
            <w:pPr>
              <w:spacing w:line="240" w:lineRule="auto"/>
              <w:ind w:firstLine="0" w:firstLineChars="0"/>
              <w:jc w:val="center"/>
              <w:rPr>
                <w:sz w:val="21"/>
                <w:szCs w:val="21"/>
              </w:rPr>
            </w:pPr>
            <w:r>
              <w:rPr>
                <w:sz w:val="21"/>
                <w:szCs w:val="21"/>
              </w:rPr>
              <w:t>/</w:t>
            </w:r>
          </w:p>
        </w:tc>
        <w:tc>
          <w:tcPr>
            <w:tcW w:w="283" w:type="pct"/>
            <w:vAlign w:val="center"/>
          </w:tcPr>
          <w:p>
            <w:pPr>
              <w:spacing w:line="240" w:lineRule="auto"/>
              <w:ind w:firstLine="0" w:firstLineChars="0"/>
              <w:jc w:val="center"/>
              <w:rPr>
                <w:sz w:val="21"/>
                <w:szCs w:val="21"/>
              </w:rPr>
            </w:pPr>
            <w:r>
              <w:rPr>
                <w:sz w:val="21"/>
                <w:szCs w:val="21"/>
              </w:rPr>
              <w:t>1.0</w:t>
            </w:r>
          </w:p>
        </w:tc>
        <w:tc>
          <w:tcPr>
            <w:tcW w:w="236" w:type="pct"/>
            <w:vAlign w:val="center"/>
          </w:tcPr>
          <w:p>
            <w:pPr>
              <w:spacing w:line="240" w:lineRule="auto"/>
              <w:ind w:firstLine="0" w:firstLineChars="0"/>
              <w:jc w:val="center"/>
              <w:rPr>
                <w:sz w:val="21"/>
                <w:szCs w:val="21"/>
              </w:rPr>
            </w:pPr>
            <w:r>
              <w:rPr>
                <w:sz w:val="21"/>
                <w:szCs w:val="21"/>
              </w:rPr>
              <w:t>4000</w:t>
            </w:r>
          </w:p>
        </w:tc>
        <w:tc>
          <w:tcPr>
            <w:tcW w:w="327" w:type="pct"/>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Align w:val="center"/>
          </w:tcPr>
          <w:p>
            <w:pPr>
              <w:spacing w:line="240" w:lineRule="auto"/>
              <w:ind w:firstLine="0" w:firstLineChars="0"/>
              <w:jc w:val="center"/>
              <w:rPr>
                <w:sz w:val="21"/>
                <w:szCs w:val="21"/>
              </w:rPr>
            </w:pPr>
            <w:r>
              <w:rPr>
                <w:sz w:val="21"/>
                <w:szCs w:val="21"/>
              </w:rPr>
              <w:t>矿山风力</w:t>
            </w:r>
          </w:p>
        </w:tc>
        <w:tc>
          <w:tcPr>
            <w:tcW w:w="268" w:type="pct"/>
            <w:vAlign w:val="center"/>
          </w:tcPr>
          <w:p>
            <w:pPr>
              <w:spacing w:line="240" w:lineRule="auto"/>
              <w:ind w:firstLine="0" w:firstLineChars="0"/>
              <w:jc w:val="center"/>
              <w:rPr>
                <w:sz w:val="21"/>
                <w:szCs w:val="21"/>
              </w:rPr>
            </w:pPr>
            <w:r>
              <w:rPr>
                <w:sz w:val="21"/>
                <w:szCs w:val="21"/>
              </w:rPr>
              <w:t>风力扬尘</w:t>
            </w:r>
          </w:p>
        </w:tc>
        <w:tc>
          <w:tcPr>
            <w:tcW w:w="268" w:type="pct"/>
            <w:vAlign w:val="center"/>
          </w:tcPr>
          <w:p>
            <w:pPr>
              <w:spacing w:line="240" w:lineRule="auto"/>
              <w:ind w:firstLine="0" w:firstLineChars="0"/>
              <w:jc w:val="center"/>
              <w:rPr>
                <w:sz w:val="21"/>
                <w:szCs w:val="21"/>
              </w:rPr>
            </w:pPr>
            <w:r>
              <w:rPr>
                <w:sz w:val="21"/>
                <w:szCs w:val="21"/>
              </w:rPr>
              <w:t>颗粒物</w:t>
            </w:r>
          </w:p>
        </w:tc>
        <w:tc>
          <w:tcPr>
            <w:tcW w:w="268" w:type="pct"/>
            <w:vAlign w:val="center"/>
          </w:tcPr>
          <w:p>
            <w:pPr>
              <w:spacing w:line="240" w:lineRule="auto"/>
              <w:ind w:firstLine="0" w:firstLineChars="0"/>
              <w:jc w:val="center"/>
              <w:rPr>
                <w:sz w:val="21"/>
                <w:szCs w:val="21"/>
              </w:rPr>
            </w:pPr>
            <w:r>
              <w:rPr>
                <w:sz w:val="21"/>
                <w:szCs w:val="21"/>
              </w:rPr>
              <w:t>产排污系数法</w:t>
            </w:r>
          </w:p>
        </w:tc>
        <w:tc>
          <w:tcPr>
            <w:tcW w:w="288" w:type="pct"/>
            <w:vAlign w:val="center"/>
          </w:tcPr>
          <w:p>
            <w:pPr>
              <w:spacing w:line="240" w:lineRule="auto"/>
              <w:ind w:firstLine="0" w:firstLineChars="0"/>
              <w:jc w:val="center"/>
              <w:rPr>
                <w:sz w:val="21"/>
                <w:szCs w:val="21"/>
              </w:rPr>
            </w:pPr>
            <w:r>
              <w:rPr>
                <w:sz w:val="21"/>
                <w:szCs w:val="21"/>
              </w:rPr>
              <w:t>0.02‰</w:t>
            </w:r>
          </w:p>
        </w:tc>
        <w:tc>
          <w:tcPr>
            <w:tcW w:w="316" w:type="pct"/>
            <w:vAlign w:val="center"/>
          </w:tcPr>
          <w:p>
            <w:pPr>
              <w:spacing w:line="240" w:lineRule="auto"/>
              <w:ind w:firstLine="0" w:firstLineChars="0"/>
              <w:jc w:val="center"/>
              <w:rPr>
                <w:sz w:val="21"/>
                <w:szCs w:val="21"/>
              </w:rPr>
            </w:pPr>
            <w:r>
              <w:rPr>
                <w:sz w:val="21"/>
                <w:szCs w:val="21"/>
              </w:rPr>
              <w:t>20.0</w:t>
            </w:r>
          </w:p>
        </w:tc>
        <w:tc>
          <w:tcPr>
            <w:tcW w:w="271" w:type="pct"/>
            <w:vAlign w:val="center"/>
          </w:tcPr>
          <w:p>
            <w:pPr>
              <w:spacing w:line="240" w:lineRule="auto"/>
              <w:ind w:firstLine="0" w:firstLineChars="0"/>
              <w:jc w:val="center"/>
              <w:rPr>
                <w:sz w:val="21"/>
                <w:szCs w:val="21"/>
              </w:rPr>
            </w:pPr>
            <w:r>
              <w:rPr>
                <w:sz w:val="21"/>
                <w:szCs w:val="21"/>
              </w:rPr>
              <w:t xml:space="preserve">5.0 </w:t>
            </w:r>
          </w:p>
        </w:tc>
        <w:tc>
          <w:tcPr>
            <w:tcW w:w="235" w:type="pct"/>
            <w:vAlign w:val="center"/>
          </w:tcPr>
          <w:p>
            <w:pPr>
              <w:spacing w:line="240" w:lineRule="auto"/>
              <w:ind w:firstLine="0" w:firstLineChars="0"/>
              <w:jc w:val="center"/>
              <w:rPr>
                <w:sz w:val="21"/>
                <w:szCs w:val="21"/>
              </w:rPr>
            </w:pPr>
            <w:r>
              <w:rPr>
                <w:sz w:val="21"/>
                <w:szCs w:val="21"/>
              </w:rPr>
              <w:t>/</w:t>
            </w:r>
          </w:p>
        </w:tc>
        <w:tc>
          <w:tcPr>
            <w:tcW w:w="303" w:type="pct"/>
            <w:vAlign w:val="center"/>
          </w:tcPr>
          <w:p>
            <w:pPr>
              <w:spacing w:line="240" w:lineRule="auto"/>
              <w:ind w:firstLine="0" w:firstLineChars="0"/>
              <w:jc w:val="center"/>
              <w:rPr>
                <w:sz w:val="21"/>
                <w:szCs w:val="21"/>
              </w:rPr>
            </w:pPr>
            <w:r>
              <w:rPr>
                <w:sz w:val="21"/>
                <w:szCs w:val="21"/>
              </w:rPr>
              <w:t>洒水降尘，篷布遮盖</w:t>
            </w:r>
          </w:p>
        </w:tc>
        <w:tc>
          <w:tcPr>
            <w:tcW w:w="271" w:type="pct"/>
            <w:vAlign w:val="center"/>
          </w:tcPr>
          <w:p>
            <w:pPr>
              <w:spacing w:line="240" w:lineRule="auto"/>
              <w:ind w:firstLine="0" w:firstLineChars="0"/>
              <w:jc w:val="center"/>
              <w:rPr>
                <w:sz w:val="21"/>
                <w:szCs w:val="21"/>
              </w:rPr>
            </w:pPr>
            <w:r>
              <w:rPr>
                <w:sz w:val="21"/>
                <w:szCs w:val="21"/>
              </w:rPr>
              <w:t>80</w:t>
            </w:r>
          </w:p>
        </w:tc>
        <w:tc>
          <w:tcPr>
            <w:tcW w:w="275"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0.80</w:t>
            </w:r>
          </w:p>
        </w:tc>
        <w:tc>
          <w:tcPr>
            <w:tcW w:w="279" w:type="pct"/>
            <w:vAlign w:val="center"/>
          </w:tcPr>
          <w:p>
            <w:pPr>
              <w:spacing w:line="240" w:lineRule="auto"/>
              <w:ind w:firstLine="0" w:firstLineChars="0"/>
              <w:jc w:val="center"/>
              <w:rPr>
                <w:sz w:val="21"/>
                <w:szCs w:val="21"/>
              </w:rPr>
            </w:pPr>
            <w:r>
              <w:rPr>
                <w:sz w:val="21"/>
                <w:szCs w:val="21"/>
              </w:rPr>
              <w:t>0.20</w:t>
            </w:r>
          </w:p>
        </w:tc>
        <w:tc>
          <w:tcPr>
            <w:tcW w:w="283" w:type="pct"/>
            <w:vAlign w:val="center"/>
          </w:tcPr>
          <w:p>
            <w:pPr>
              <w:spacing w:line="240" w:lineRule="auto"/>
              <w:ind w:firstLine="0" w:firstLineChars="0"/>
              <w:jc w:val="center"/>
              <w:rPr>
                <w:sz w:val="21"/>
                <w:szCs w:val="21"/>
              </w:rPr>
            </w:pPr>
            <w:r>
              <w:rPr>
                <w:sz w:val="21"/>
                <w:szCs w:val="21"/>
              </w:rPr>
              <w:t>/</w:t>
            </w:r>
          </w:p>
        </w:tc>
        <w:tc>
          <w:tcPr>
            <w:tcW w:w="269" w:type="pct"/>
            <w:vAlign w:val="center"/>
          </w:tcPr>
          <w:p>
            <w:pPr>
              <w:spacing w:line="240" w:lineRule="auto"/>
              <w:ind w:firstLine="0" w:firstLineChars="0"/>
              <w:jc w:val="center"/>
              <w:rPr>
                <w:sz w:val="21"/>
                <w:szCs w:val="21"/>
              </w:rPr>
            </w:pPr>
            <w:r>
              <w:rPr>
                <w:sz w:val="21"/>
                <w:szCs w:val="21"/>
              </w:rPr>
              <w:t>/</w:t>
            </w:r>
          </w:p>
        </w:tc>
        <w:tc>
          <w:tcPr>
            <w:tcW w:w="283" w:type="pct"/>
            <w:vAlign w:val="center"/>
          </w:tcPr>
          <w:p>
            <w:pPr>
              <w:spacing w:line="240" w:lineRule="auto"/>
              <w:ind w:firstLine="0" w:firstLineChars="0"/>
              <w:jc w:val="center"/>
              <w:rPr>
                <w:sz w:val="21"/>
                <w:szCs w:val="21"/>
              </w:rPr>
            </w:pPr>
            <w:r>
              <w:rPr>
                <w:sz w:val="21"/>
                <w:szCs w:val="21"/>
              </w:rPr>
              <w:t>1.0</w:t>
            </w:r>
          </w:p>
        </w:tc>
        <w:tc>
          <w:tcPr>
            <w:tcW w:w="236" w:type="pct"/>
            <w:vAlign w:val="center"/>
          </w:tcPr>
          <w:p>
            <w:pPr>
              <w:spacing w:line="240" w:lineRule="auto"/>
              <w:ind w:firstLine="0" w:firstLineChars="0"/>
              <w:jc w:val="center"/>
              <w:rPr>
                <w:sz w:val="21"/>
                <w:szCs w:val="21"/>
              </w:rPr>
            </w:pPr>
            <w:r>
              <w:rPr>
                <w:sz w:val="21"/>
                <w:szCs w:val="21"/>
              </w:rPr>
              <w:t>4000</w:t>
            </w:r>
          </w:p>
        </w:tc>
        <w:tc>
          <w:tcPr>
            <w:tcW w:w="327" w:type="pct"/>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Align w:val="center"/>
          </w:tcPr>
          <w:p>
            <w:pPr>
              <w:spacing w:line="240" w:lineRule="auto"/>
              <w:ind w:firstLine="0" w:firstLineChars="0"/>
              <w:jc w:val="center"/>
              <w:rPr>
                <w:sz w:val="21"/>
                <w:szCs w:val="21"/>
              </w:rPr>
            </w:pPr>
            <w:r>
              <w:rPr>
                <w:sz w:val="21"/>
                <w:szCs w:val="21"/>
              </w:rPr>
              <w:t>运输</w:t>
            </w:r>
          </w:p>
        </w:tc>
        <w:tc>
          <w:tcPr>
            <w:tcW w:w="268" w:type="pct"/>
            <w:vAlign w:val="center"/>
          </w:tcPr>
          <w:p>
            <w:pPr>
              <w:spacing w:line="240" w:lineRule="auto"/>
              <w:ind w:firstLine="0" w:firstLineChars="0"/>
              <w:jc w:val="center"/>
              <w:rPr>
                <w:sz w:val="21"/>
                <w:szCs w:val="21"/>
              </w:rPr>
            </w:pPr>
            <w:r>
              <w:rPr>
                <w:sz w:val="21"/>
                <w:szCs w:val="21"/>
              </w:rPr>
              <w:t>运输扬尘</w:t>
            </w:r>
          </w:p>
        </w:tc>
        <w:tc>
          <w:tcPr>
            <w:tcW w:w="268" w:type="pct"/>
            <w:vAlign w:val="center"/>
          </w:tcPr>
          <w:p>
            <w:pPr>
              <w:spacing w:line="240" w:lineRule="auto"/>
              <w:ind w:firstLine="0" w:firstLineChars="0"/>
              <w:jc w:val="center"/>
              <w:rPr>
                <w:sz w:val="21"/>
                <w:szCs w:val="21"/>
              </w:rPr>
            </w:pPr>
            <w:r>
              <w:rPr>
                <w:sz w:val="21"/>
                <w:szCs w:val="21"/>
              </w:rPr>
              <w:t>颗粒物</w:t>
            </w:r>
          </w:p>
        </w:tc>
        <w:tc>
          <w:tcPr>
            <w:tcW w:w="268" w:type="pct"/>
            <w:vAlign w:val="center"/>
          </w:tcPr>
          <w:p>
            <w:pPr>
              <w:spacing w:line="240" w:lineRule="auto"/>
              <w:ind w:firstLine="0" w:firstLineChars="0"/>
              <w:jc w:val="center"/>
              <w:rPr>
                <w:sz w:val="21"/>
                <w:szCs w:val="21"/>
              </w:rPr>
            </w:pPr>
            <w:r>
              <w:rPr>
                <w:sz w:val="21"/>
                <w:szCs w:val="21"/>
              </w:rPr>
              <w:t>/</w:t>
            </w:r>
          </w:p>
        </w:tc>
        <w:tc>
          <w:tcPr>
            <w:tcW w:w="288" w:type="pct"/>
            <w:vAlign w:val="center"/>
          </w:tcPr>
          <w:p>
            <w:pPr>
              <w:spacing w:line="240" w:lineRule="auto"/>
              <w:ind w:firstLine="0" w:firstLineChars="0"/>
              <w:jc w:val="center"/>
              <w:rPr>
                <w:sz w:val="21"/>
                <w:szCs w:val="21"/>
              </w:rPr>
            </w:pPr>
            <w:r>
              <w:rPr>
                <w:sz w:val="21"/>
                <w:szCs w:val="21"/>
              </w:rPr>
              <w:t>见公式</w:t>
            </w:r>
          </w:p>
        </w:tc>
        <w:tc>
          <w:tcPr>
            <w:tcW w:w="316" w:type="pct"/>
            <w:vAlign w:val="center"/>
          </w:tcPr>
          <w:p>
            <w:pPr>
              <w:spacing w:line="240" w:lineRule="auto"/>
              <w:ind w:firstLine="0" w:firstLineChars="0"/>
              <w:jc w:val="center"/>
              <w:rPr>
                <w:sz w:val="21"/>
                <w:szCs w:val="21"/>
              </w:rPr>
            </w:pPr>
            <w:r>
              <w:rPr>
                <w:sz w:val="21"/>
                <w:szCs w:val="21"/>
              </w:rPr>
              <w:t>9.26</w:t>
            </w:r>
          </w:p>
        </w:tc>
        <w:tc>
          <w:tcPr>
            <w:tcW w:w="271" w:type="pct"/>
            <w:vAlign w:val="center"/>
          </w:tcPr>
          <w:p>
            <w:pPr>
              <w:spacing w:line="240" w:lineRule="auto"/>
              <w:ind w:firstLine="0" w:firstLineChars="0"/>
              <w:jc w:val="center"/>
              <w:rPr>
                <w:sz w:val="21"/>
                <w:szCs w:val="21"/>
              </w:rPr>
            </w:pPr>
            <w:r>
              <w:rPr>
                <w:sz w:val="21"/>
                <w:szCs w:val="21"/>
              </w:rPr>
              <w:t xml:space="preserve">2.315 </w:t>
            </w:r>
          </w:p>
        </w:tc>
        <w:tc>
          <w:tcPr>
            <w:tcW w:w="235" w:type="pct"/>
            <w:vAlign w:val="center"/>
          </w:tcPr>
          <w:p>
            <w:pPr>
              <w:spacing w:line="240" w:lineRule="auto"/>
              <w:ind w:firstLine="0" w:firstLineChars="0"/>
              <w:jc w:val="center"/>
              <w:rPr>
                <w:sz w:val="21"/>
                <w:szCs w:val="21"/>
              </w:rPr>
            </w:pPr>
            <w:r>
              <w:rPr>
                <w:sz w:val="21"/>
                <w:szCs w:val="21"/>
              </w:rPr>
              <w:t>/</w:t>
            </w:r>
          </w:p>
        </w:tc>
        <w:tc>
          <w:tcPr>
            <w:tcW w:w="303" w:type="pct"/>
            <w:vAlign w:val="center"/>
          </w:tcPr>
          <w:p>
            <w:pPr>
              <w:spacing w:line="240" w:lineRule="auto"/>
              <w:ind w:firstLine="0" w:firstLineChars="0"/>
              <w:jc w:val="center"/>
              <w:rPr>
                <w:sz w:val="21"/>
                <w:szCs w:val="21"/>
              </w:rPr>
            </w:pPr>
            <w:r>
              <w:rPr>
                <w:sz w:val="21"/>
                <w:szCs w:val="21"/>
              </w:rPr>
              <w:t>洒水降尘，车辆清洗</w:t>
            </w:r>
          </w:p>
        </w:tc>
        <w:tc>
          <w:tcPr>
            <w:tcW w:w="271" w:type="pct"/>
            <w:vAlign w:val="center"/>
          </w:tcPr>
          <w:p>
            <w:pPr>
              <w:spacing w:line="240" w:lineRule="auto"/>
              <w:ind w:firstLine="0" w:firstLineChars="0"/>
              <w:jc w:val="center"/>
              <w:rPr>
                <w:sz w:val="21"/>
                <w:szCs w:val="21"/>
              </w:rPr>
            </w:pPr>
            <w:r>
              <w:rPr>
                <w:bCs/>
                <w:sz w:val="21"/>
                <w:szCs w:val="21"/>
              </w:rPr>
              <w:t>90</w:t>
            </w:r>
          </w:p>
        </w:tc>
        <w:tc>
          <w:tcPr>
            <w:tcW w:w="275"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 xml:space="preserve">0.926 </w:t>
            </w:r>
          </w:p>
        </w:tc>
        <w:tc>
          <w:tcPr>
            <w:tcW w:w="279" w:type="pct"/>
            <w:vAlign w:val="center"/>
          </w:tcPr>
          <w:p>
            <w:pPr>
              <w:spacing w:line="240" w:lineRule="auto"/>
              <w:ind w:firstLine="0" w:firstLineChars="0"/>
              <w:jc w:val="center"/>
              <w:rPr>
                <w:sz w:val="21"/>
                <w:szCs w:val="21"/>
              </w:rPr>
            </w:pPr>
            <w:r>
              <w:rPr>
                <w:sz w:val="21"/>
                <w:szCs w:val="21"/>
              </w:rPr>
              <w:t>0.232</w:t>
            </w:r>
          </w:p>
        </w:tc>
        <w:tc>
          <w:tcPr>
            <w:tcW w:w="283" w:type="pct"/>
            <w:vAlign w:val="center"/>
          </w:tcPr>
          <w:p>
            <w:pPr>
              <w:spacing w:line="240" w:lineRule="auto"/>
              <w:ind w:firstLine="0" w:firstLineChars="0"/>
              <w:jc w:val="center"/>
              <w:rPr>
                <w:sz w:val="21"/>
                <w:szCs w:val="21"/>
              </w:rPr>
            </w:pPr>
            <w:r>
              <w:rPr>
                <w:sz w:val="21"/>
                <w:szCs w:val="21"/>
              </w:rPr>
              <w:t>/</w:t>
            </w:r>
          </w:p>
        </w:tc>
        <w:tc>
          <w:tcPr>
            <w:tcW w:w="269" w:type="pct"/>
            <w:vAlign w:val="center"/>
          </w:tcPr>
          <w:p>
            <w:pPr>
              <w:spacing w:line="240" w:lineRule="auto"/>
              <w:ind w:firstLine="0" w:firstLineChars="0"/>
              <w:jc w:val="center"/>
              <w:rPr>
                <w:sz w:val="21"/>
                <w:szCs w:val="21"/>
              </w:rPr>
            </w:pPr>
            <w:r>
              <w:rPr>
                <w:sz w:val="21"/>
                <w:szCs w:val="21"/>
              </w:rPr>
              <w:t>/</w:t>
            </w:r>
          </w:p>
        </w:tc>
        <w:tc>
          <w:tcPr>
            <w:tcW w:w="283" w:type="pct"/>
            <w:vAlign w:val="center"/>
          </w:tcPr>
          <w:p>
            <w:pPr>
              <w:spacing w:line="240" w:lineRule="auto"/>
              <w:ind w:firstLine="0" w:firstLineChars="0"/>
              <w:jc w:val="center"/>
              <w:rPr>
                <w:sz w:val="21"/>
                <w:szCs w:val="21"/>
              </w:rPr>
            </w:pPr>
            <w:r>
              <w:rPr>
                <w:sz w:val="21"/>
                <w:szCs w:val="21"/>
              </w:rPr>
              <w:t>1.0</w:t>
            </w:r>
          </w:p>
        </w:tc>
        <w:tc>
          <w:tcPr>
            <w:tcW w:w="236" w:type="pct"/>
            <w:vAlign w:val="center"/>
          </w:tcPr>
          <w:p>
            <w:pPr>
              <w:spacing w:line="240" w:lineRule="auto"/>
              <w:ind w:firstLine="0" w:firstLineChars="0"/>
              <w:jc w:val="center"/>
              <w:rPr>
                <w:sz w:val="21"/>
                <w:szCs w:val="21"/>
              </w:rPr>
            </w:pPr>
            <w:r>
              <w:rPr>
                <w:sz w:val="21"/>
                <w:szCs w:val="21"/>
              </w:rPr>
              <w:t>4000</w:t>
            </w:r>
          </w:p>
        </w:tc>
        <w:tc>
          <w:tcPr>
            <w:tcW w:w="327" w:type="pct"/>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60" w:type="pct"/>
            <w:gridSpan w:val="5"/>
            <w:vAlign w:val="center"/>
          </w:tcPr>
          <w:p>
            <w:pPr>
              <w:spacing w:line="240" w:lineRule="auto"/>
              <w:ind w:firstLine="0" w:firstLineChars="0"/>
              <w:jc w:val="center"/>
              <w:rPr>
                <w:sz w:val="21"/>
                <w:szCs w:val="21"/>
              </w:rPr>
            </w:pPr>
            <w:r>
              <w:rPr>
                <w:sz w:val="21"/>
                <w:szCs w:val="21"/>
              </w:rPr>
              <w:t>合计</w:t>
            </w:r>
          </w:p>
        </w:tc>
        <w:tc>
          <w:tcPr>
            <w:tcW w:w="316" w:type="pct"/>
            <w:vAlign w:val="center"/>
          </w:tcPr>
          <w:p>
            <w:pPr>
              <w:spacing w:line="240" w:lineRule="auto"/>
              <w:ind w:firstLine="0" w:firstLineChars="0"/>
              <w:jc w:val="center"/>
              <w:rPr>
                <w:sz w:val="21"/>
                <w:szCs w:val="21"/>
              </w:rPr>
            </w:pPr>
            <w:r>
              <w:rPr>
                <w:sz w:val="21"/>
                <w:szCs w:val="21"/>
              </w:rPr>
              <w:t>/</w:t>
            </w:r>
          </w:p>
        </w:tc>
        <w:tc>
          <w:tcPr>
            <w:tcW w:w="271" w:type="pct"/>
            <w:vAlign w:val="center"/>
          </w:tcPr>
          <w:p>
            <w:pPr>
              <w:spacing w:line="240" w:lineRule="auto"/>
              <w:ind w:firstLine="0" w:firstLineChars="0"/>
              <w:jc w:val="center"/>
              <w:rPr>
                <w:sz w:val="21"/>
                <w:szCs w:val="21"/>
              </w:rPr>
            </w:pPr>
            <w:r>
              <w:rPr>
                <w:sz w:val="21"/>
                <w:szCs w:val="21"/>
              </w:rPr>
              <w:t>/</w:t>
            </w:r>
          </w:p>
        </w:tc>
        <w:tc>
          <w:tcPr>
            <w:tcW w:w="235" w:type="pct"/>
            <w:vAlign w:val="center"/>
          </w:tcPr>
          <w:p>
            <w:pPr>
              <w:spacing w:line="240" w:lineRule="auto"/>
              <w:ind w:firstLine="0" w:firstLineChars="0"/>
              <w:jc w:val="center"/>
              <w:rPr>
                <w:sz w:val="21"/>
                <w:szCs w:val="21"/>
              </w:rPr>
            </w:pPr>
            <w:r>
              <w:rPr>
                <w:sz w:val="21"/>
                <w:szCs w:val="21"/>
              </w:rPr>
              <w:t>/</w:t>
            </w:r>
          </w:p>
        </w:tc>
        <w:tc>
          <w:tcPr>
            <w:tcW w:w="303" w:type="pct"/>
            <w:vAlign w:val="center"/>
          </w:tcPr>
          <w:p>
            <w:pPr>
              <w:spacing w:line="240" w:lineRule="auto"/>
              <w:ind w:firstLine="0" w:firstLineChars="0"/>
              <w:jc w:val="center"/>
              <w:rPr>
                <w:sz w:val="21"/>
                <w:szCs w:val="21"/>
              </w:rPr>
            </w:pPr>
            <w:r>
              <w:rPr>
                <w:sz w:val="21"/>
                <w:szCs w:val="21"/>
              </w:rPr>
              <w:t>/</w:t>
            </w:r>
          </w:p>
        </w:tc>
        <w:tc>
          <w:tcPr>
            <w:tcW w:w="271" w:type="pct"/>
            <w:vAlign w:val="center"/>
          </w:tcPr>
          <w:p>
            <w:pPr>
              <w:spacing w:line="240" w:lineRule="auto"/>
              <w:ind w:firstLine="0" w:firstLineChars="0"/>
              <w:jc w:val="center"/>
              <w:rPr>
                <w:bCs/>
                <w:sz w:val="21"/>
                <w:szCs w:val="21"/>
              </w:rPr>
            </w:pPr>
            <w:r>
              <w:rPr>
                <w:sz w:val="21"/>
                <w:szCs w:val="21"/>
              </w:rPr>
              <w:t>/</w:t>
            </w:r>
          </w:p>
        </w:tc>
        <w:tc>
          <w:tcPr>
            <w:tcW w:w="275"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3.239</w:t>
            </w:r>
          </w:p>
        </w:tc>
        <w:tc>
          <w:tcPr>
            <w:tcW w:w="279" w:type="pct"/>
            <w:vAlign w:val="center"/>
          </w:tcPr>
          <w:p>
            <w:pPr>
              <w:spacing w:line="240" w:lineRule="auto"/>
              <w:ind w:firstLine="0" w:firstLineChars="0"/>
              <w:jc w:val="center"/>
              <w:rPr>
                <w:bCs/>
                <w:sz w:val="21"/>
                <w:szCs w:val="21"/>
              </w:rPr>
            </w:pPr>
            <w:r>
              <w:rPr>
                <w:bCs/>
                <w:sz w:val="21"/>
                <w:szCs w:val="21"/>
              </w:rPr>
              <w:t>0.81</w:t>
            </w:r>
          </w:p>
        </w:tc>
        <w:tc>
          <w:tcPr>
            <w:tcW w:w="283" w:type="pct"/>
            <w:vAlign w:val="center"/>
          </w:tcPr>
          <w:p>
            <w:pPr>
              <w:spacing w:line="240" w:lineRule="auto"/>
              <w:ind w:firstLine="0" w:firstLineChars="0"/>
              <w:jc w:val="center"/>
              <w:rPr>
                <w:sz w:val="21"/>
                <w:szCs w:val="21"/>
              </w:rPr>
            </w:pPr>
            <w:r>
              <w:rPr>
                <w:sz w:val="21"/>
                <w:szCs w:val="21"/>
              </w:rPr>
              <w:t>/</w:t>
            </w:r>
          </w:p>
        </w:tc>
        <w:tc>
          <w:tcPr>
            <w:tcW w:w="269" w:type="pct"/>
            <w:vAlign w:val="center"/>
          </w:tcPr>
          <w:p>
            <w:pPr>
              <w:spacing w:line="240" w:lineRule="auto"/>
              <w:ind w:firstLine="0" w:firstLineChars="0"/>
              <w:jc w:val="center"/>
              <w:rPr>
                <w:sz w:val="21"/>
                <w:szCs w:val="21"/>
              </w:rPr>
            </w:pPr>
            <w:r>
              <w:rPr>
                <w:sz w:val="21"/>
                <w:szCs w:val="21"/>
              </w:rPr>
              <w:t>/</w:t>
            </w:r>
          </w:p>
        </w:tc>
        <w:tc>
          <w:tcPr>
            <w:tcW w:w="283" w:type="pct"/>
            <w:vAlign w:val="center"/>
          </w:tcPr>
          <w:p>
            <w:pPr>
              <w:spacing w:line="240" w:lineRule="auto"/>
              <w:ind w:firstLine="0" w:firstLineChars="0"/>
              <w:jc w:val="center"/>
              <w:rPr>
                <w:sz w:val="21"/>
                <w:szCs w:val="21"/>
              </w:rPr>
            </w:pPr>
            <w:r>
              <w:rPr>
                <w:sz w:val="21"/>
                <w:szCs w:val="21"/>
              </w:rPr>
              <w:t>/</w:t>
            </w:r>
          </w:p>
        </w:tc>
        <w:tc>
          <w:tcPr>
            <w:tcW w:w="236" w:type="pct"/>
            <w:vAlign w:val="center"/>
          </w:tcPr>
          <w:p>
            <w:pPr>
              <w:spacing w:line="240" w:lineRule="auto"/>
              <w:ind w:firstLine="0" w:firstLineChars="0"/>
              <w:jc w:val="center"/>
              <w:rPr>
                <w:sz w:val="21"/>
                <w:szCs w:val="21"/>
              </w:rPr>
            </w:pPr>
            <w:r>
              <w:rPr>
                <w:sz w:val="21"/>
                <w:szCs w:val="21"/>
              </w:rPr>
              <w:t>/</w:t>
            </w:r>
          </w:p>
        </w:tc>
        <w:tc>
          <w:tcPr>
            <w:tcW w:w="327" w:type="pct"/>
            <w:vAlign w:val="center"/>
          </w:tcPr>
          <w:p>
            <w:pPr>
              <w:spacing w:line="240" w:lineRule="auto"/>
              <w:ind w:firstLine="0" w:firstLineChars="0"/>
              <w:jc w:val="center"/>
              <w:rPr>
                <w:sz w:val="21"/>
                <w:szCs w:val="21"/>
              </w:rPr>
            </w:pPr>
            <w:r>
              <w:rPr>
                <w:sz w:val="21"/>
                <w:szCs w:val="21"/>
              </w:rPr>
              <w:t>无组织</w:t>
            </w:r>
          </w:p>
        </w:tc>
      </w:tr>
    </w:tbl>
    <w:p>
      <w:pPr>
        <w:pStyle w:val="300"/>
      </w:pPr>
    </w:p>
    <w:p>
      <w:pPr>
        <w:pStyle w:val="300"/>
        <w:sectPr>
          <w:pgSz w:w="16840" w:h="11907" w:orient="landscape"/>
          <w:pgMar w:top="1588" w:right="1418" w:bottom="1588" w:left="1418" w:header="1134" w:footer="1134" w:gutter="0"/>
          <w:cols w:space="425" w:num="1"/>
          <w:docGrid w:linePitch="354" w:charSpace="0"/>
        </w:sectPr>
      </w:pPr>
    </w:p>
    <w:p>
      <w:pPr>
        <w:pStyle w:val="300"/>
      </w:pPr>
      <w:r>
        <w:t>（2）工业场地</w:t>
      </w:r>
    </w:p>
    <w:p>
      <w:pPr>
        <w:pStyle w:val="300"/>
      </w:pPr>
      <w:r>
        <w:t>本项目开采规模为100万吨/年，开采后70万吨/年运至工业场地进行碎石加工，剩余30万吨/年原矿进行外售。</w:t>
      </w:r>
    </w:p>
    <w:p>
      <w:pPr>
        <w:pStyle w:val="300"/>
      </w:pPr>
      <w:r>
        <w:rPr>
          <w:rFonts w:hint="eastAsia" w:ascii="宋体" w:hAnsi="宋体" w:cs="宋体"/>
        </w:rPr>
        <w:t>①</w:t>
      </w:r>
      <w:r>
        <w:t>卸料上料粉尘</w:t>
      </w:r>
    </w:p>
    <w:p>
      <w:pPr>
        <w:pStyle w:val="300"/>
      </w:pPr>
      <w:r>
        <w:t>原矿由开采区运至工业场地进行卸货，由于原矿都是大块石，粒径较大，并且表面含有一定的水分，不易起尘，因此在卸货与上料过程产生很少量的粉尘，可忽略不计。</w:t>
      </w:r>
    </w:p>
    <w:p>
      <w:pPr>
        <w:pStyle w:val="300"/>
      </w:pPr>
      <w:r>
        <w:rPr>
          <w:rFonts w:hint="eastAsia" w:ascii="宋体" w:hAnsi="宋体" w:cs="宋体"/>
          <w:kern w:val="0"/>
          <w:szCs w:val="24"/>
        </w:rPr>
        <w:t>②</w:t>
      </w:r>
      <w:r>
        <w:t>一级破碎粉尘</w:t>
      </w:r>
    </w:p>
    <w:p>
      <w:pPr>
        <w:pStyle w:val="300"/>
      </w:pPr>
      <w:r>
        <w:t>对运进厂区的矿石进入1#、2#生产线进行颚式破碎，设置有2台颚式破碎机，破碎能力相同，属一级破碎，根据《逸散性工业粉尘控制技术》（中国环境科学出版社）和类比同类型企业调查，在无控制措施情况产率为：一级破碎0.15kg/t，加工量为70万吨/年，在加工厂房颚式破碎机周边安装有喷雾洒水装置，粉尘的产生量能得到一定程度的减少；经过厂房内的喷雾洒水降尘、物料保持一定的含水率，并且进入颚式破碎机的矿石粒径大，出料粒径也较大，自身产尘量较少，通过上述措施后，粉尘产生量可进一步降低约80%，则一级破碎粉尘产生量为5.25t/a。2台颚式破碎机产生的粉尘经集气罩收集后进入1#布袋除尘器（风量5000m3/h）内进行处理，除尘效率为99.5%，处理后沿15m排气筒（DA001）高空排放。</w:t>
      </w:r>
    </w:p>
    <w:p>
      <w:pPr>
        <w:pStyle w:val="300"/>
      </w:pPr>
      <w:r>
        <w:rPr>
          <w:rFonts w:hint="eastAsia" w:ascii="宋体" w:hAnsi="宋体" w:cs="宋体"/>
        </w:rPr>
        <w:t>③</w:t>
      </w:r>
      <w:r>
        <w:t>二级破碎粉尘</w:t>
      </w:r>
    </w:p>
    <w:p>
      <w:pPr>
        <w:pStyle w:val="300"/>
      </w:pPr>
      <w:r>
        <w:t>矿石进入1#、2#生产线2台反击式破碎机进行破碎时，会产生粉尘；根据《逸散性工业粉尘控制技术》和类比同类型企业调查，在无控制措施情况产率为：二级破碎0.40kg/t，2台反击式破碎机，每台破碎量为35万吨/年，在加工厂房反击式破碎机周边设置有喷雾洒水装置，粉尘的产生量能得到一定程度的减少（降低80%左右），则二级破碎粉尘产生量均为28.0t/a，产生速率均为7.0kg/h。加工区厂房密闭，2台反击式破碎机配备1#、2#布袋除尘器（风量5000m</w:t>
      </w:r>
      <w:r>
        <w:rPr>
          <w:vertAlign w:val="superscript"/>
        </w:rPr>
        <w:t>3</w:t>
      </w:r>
      <w:r>
        <w:t>/h），除尘效率为99.5%。</w:t>
      </w:r>
    </w:p>
    <w:p>
      <w:pPr>
        <w:pStyle w:val="300"/>
      </w:pPr>
      <w:r>
        <w:t>经核算，一级破碎产生的粉尘和二级破碎一台破碎机产生的粉尘经集气罩收集进入1#布袋除尘器进行处理，粉尘产生量为两者之和，经处理后，排放量为0.245t/a，排放速率为0.061kg/h，排放浓度为12.25mg/m</w:t>
      </w:r>
      <w:r>
        <w:rPr>
          <w:vertAlign w:val="superscript"/>
        </w:rPr>
        <w:t>3</w:t>
      </w:r>
      <w:r>
        <w:t>，处理后沿15m排气筒（DA001）高空排放。</w:t>
      </w:r>
    </w:p>
    <w:p>
      <w:pPr>
        <w:pStyle w:val="300"/>
      </w:pPr>
      <w:r>
        <w:t>二级破碎另一台破碎机产生的粉尘经集气罩收集进入2#布袋除尘器进行处理后，排放量为0.140t/a，排放速率为0.035kg/h，排放浓度为7.0mg/m</w:t>
      </w:r>
      <w:r>
        <w:rPr>
          <w:vertAlign w:val="superscript"/>
        </w:rPr>
        <w:t>3</w:t>
      </w:r>
      <w:r>
        <w:t>，处理后沿15m排气筒（DA002）高空排放。</w:t>
      </w:r>
    </w:p>
    <w:p>
      <w:pPr>
        <w:pStyle w:val="300"/>
      </w:pPr>
      <w:r>
        <w:rPr>
          <w:rFonts w:hint="eastAsia" w:ascii="宋体" w:hAnsi="宋体" w:cs="宋体"/>
        </w:rPr>
        <w:t>④</w:t>
      </w:r>
      <w:r>
        <w:t>筛分粉尘</w:t>
      </w:r>
    </w:p>
    <w:p>
      <w:pPr>
        <w:pStyle w:val="300"/>
        <w:rPr>
          <w:bCs/>
        </w:rPr>
      </w:pPr>
      <w:r>
        <w:t>经破碎后的物料通过传输带进入筛分机内进行筛分，筛分过程会产生粉尘；根据《逸散性工业粉尘控制技术》和类比同类型企业调查，在无控制措施情况产率为：筛分0.35kg/t，在加工厂房内设置有喷雾洒水装置，粉尘的产生量能得到一定程度的减少（降低80%左右），则筛分粉尘产生量为49.0t/a。</w:t>
      </w:r>
      <w:r>
        <w:rPr>
          <w:bCs/>
        </w:rPr>
        <w:t>两台筛分机共配备一台布袋除尘器（风量25000m</w:t>
      </w:r>
      <w:r>
        <w:rPr>
          <w:bCs/>
          <w:vertAlign w:val="superscript"/>
        </w:rPr>
        <w:t>3</w:t>
      </w:r>
      <w:r>
        <w:rPr>
          <w:bCs/>
        </w:rPr>
        <w:t>/h），除尘效率为99.5%，排放量为0.245t/a，排放速率0.061kg/h，排放浓度为2.45mg/m</w:t>
      </w:r>
      <w:r>
        <w:rPr>
          <w:bCs/>
          <w:vertAlign w:val="superscript"/>
        </w:rPr>
        <w:t>3</w:t>
      </w:r>
      <w:r>
        <w:rPr>
          <w:bCs/>
        </w:rPr>
        <w:t>，处理后经15m排气筒（DA003）高空排放。</w:t>
      </w:r>
    </w:p>
    <w:p>
      <w:pPr>
        <w:pStyle w:val="300"/>
      </w:pPr>
      <w:r>
        <w:rPr>
          <w:rFonts w:hint="eastAsia" w:ascii="宋体" w:hAnsi="宋体" w:cs="宋体"/>
        </w:rPr>
        <w:t>⑤</w:t>
      </w:r>
      <w:r>
        <w:t>堆场扬尘</w:t>
      </w:r>
    </w:p>
    <w:p>
      <w:pPr>
        <w:pStyle w:val="300"/>
        <w:rPr>
          <w:kern w:val="0"/>
          <w:szCs w:val="24"/>
        </w:rPr>
      </w:pPr>
      <w:r>
        <w:rPr>
          <w:kern w:val="0"/>
          <w:szCs w:val="24"/>
        </w:rPr>
        <w:t>工业场地内产品堆场堆存产品碎石，产品堆场起尘主要包括堆放时随风扬尘和装车时产生的扬尘，属无组织排放，主要污染物为颗粒物，排放浓度及排放量与工程设计与环境因素有关，对环境空气有一定的影响。按相同规模露天堆场计算扬尘量计算：</w:t>
      </w:r>
    </w:p>
    <w:p>
      <w:pPr>
        <w:spacing w:line="360" w:lineRule="auto"/>
        <w:ind w:firstLine="480"/>
        <w:jc w:val="center"/>
        <w:rPr>
          <w:sz w:val="24"/>
          <w:szCs w:val="24"/>
        </w:rPr>
      </w:pPr>
      <w:r>
        <w:rPr>
          <w:sz w:val="24"/>
          <w:szCs w:val="24"/>
        </w:rPr>
        <w:t>堆场起尘：</w:t>
      </w:r>
      <w:r>
        <w:rPr>
          <w:position w:val="-12"/>
          <w:sz w:val="24"/>
          <w:szCs w:val="24"/>
        </w:rPr>
        <w:object>
          <v:shape id="_x0000_i1028" o:spt="75" type="#_x0000_t75" style="height:15.05pt;width:193.45pt;" o:ole="t" filled="f" o:preferrelative="t" stroked="f" coordsize="21600,21600">
            <v:path/>
            <v:fill on="f" focussize="0,0"/>
            <v:stroke on="f" joinstyle="miter"/>
            <v:imagedata r:id="rId58" o:title=""/>
            <o:lock v:ext="edit" aspectratio="t"/>
            <w10:wrap type="none"/>
            <w10:anchorlock/>
          </v:shape>
          <o:OLEObject Type="Embed" ProgID="Equation.DSMT4" ShapeID="_x0000_i1028" DrawAspect="Content" ObjectID="_1468075728" r:id="rId57">
            <o:LockedField>false</o:LockedField>
          </o:OLEObject>
        </w:object>
      </w:r>
    </w:p>
    <w:p>
      <w:pPr>
        <w:spacing w:line="360" w:lineRule="auto"/>
        <w:ind w:firstLine="480"/>
        <w:jc w:val="center"/>
        <w:rPr>
          <w:sz w:val="24"/>
          <w:szCs w:val="24"/>
        </w:rPr>
      </w:pPr>
      <w:r>
        <w:rPr>
          <w:sz w:val="24"/>
          <w:szCs w:val="24"/>
        </w:rPr>
        <w:t>装车起尘：</w:t>
      </w:r>
      <w:r>
        <w:rPr>
          <w:position w:val="-12"/>
          <w:sz w:val="24"/>
          <w:szCs w:val="24"/>
        </w:rPr>
        <w:object>
          <v:shape id="_x0000_i1029" o:spt="75" type="#_x0000_t75" style="height:15.05pt;width:157.95pt;" o:ole="t" filled="f" o:preferrelative="t" stroked="f" coordsize="21600,21600">
            <v:path/>
            <v:fill on="f" focussize="0,0"/>
            <v:stroke on="f" joinstyle="miter"/>
            <v:imagedata r:id="rId60" o:title=""/>
            <o:lock v:ext="edit" aspectratio="t"/>
            <w10:wrap type="none"/>
            <w10:anchorlock/>
          </v:shape>
          <o:OLEObject Type="Embed" ProgID="Equation.DSMT4" ShapeID="_x0000_i1029" DrawAspect="Content" ObjectID="_1468075729" r:id="rId59">
            <o:LockedField>false</o:LockedField>
          </o:OLEObject>
        </w:object>
      </w:r>
    </w:p>
    <w:p>
      <w:pPr>
        <w:spacing w:line="440" w:lineRule="exact"/>
        <w:ind w:firstLine="480"/>
        <w:rPr>
          <w:sz w:val="24"/>
          <w:szCs w:val="24"/>
        </w:rPr>
      </w:pPr>
      <w:r>
        <w:rPr>
          <w:sz w:val="24"/>
          <w:szCs w:val="24"/>
        </w:rPr>
        <w:t>式中：Q</w:t>
      </w:r>
      <w:r>
        <w:rPr>
          <w:sz w:val="24"/>
          <w:szCs w:val="24"/>
          <w:vertAlign w:val="subscript"/>
        </w:rPr>
        <w:t>1</w:t>
      </w:r>
      <w:r>
        <w:rPr>
          <w:sz w:val="24"/>
          <w:szCs w:val="24"/>
        </w:rPr>
        <w:t>——堆场起尘量（mg/s）；</w:t>
      </w:r>
    </w:p>
    <w:p>
      <w:pPr>
        <w:spacing w:line="440" w:lineRule="exact"/>
        <w:ind w:firstLine="480"/>
        <w:rPr>
          <w:sz w:val="24"/>
          <w:szCs w:val="24"/>
        </w:rPr>
      </w:pPr>
      <w:r>
        <w:rPr>
          <w:sz w:val="24"/>
          <w:szCs w:val="24"/>
        </w:rPr>
        <w:t>Q</w:t>
      </w:r>
      <w:r>
        <w:rPr>
          <w:sz w:val="24"/>
          <w:szCs w:val="24"/>
          <w:vertAlign w:val="subscript"/>
        </w:rPr>
        <w:t>2</w:t>
      </w:r>
      <w:r>
        <w:rPr>
          <w:sz w:val="24"/>
          <w:szCs w:val="24"/>
        </w:rPr>
        <w:t>——装车起尘量（g/s）；</w:t>
      </w:r>
    </w:p>
    <w:p>
      <w:pPr>
        <w:spacing w:line="440" w:lineRule="exact"/>
        <w:ind w:firstLine="480"/>
        <w:rPr>
          <w:sz w:val="24"/>
          <w:szCs w:val="24"/>
        </w:rPr>
      </w:pPr>
      <w:r>
        <w:rPr>
          <w:sz w:val="24"/>
          <w:szCs w:val="24"/>
        </w:rPr>
        <w:t>U——风速（m/s），1.1m/s；</w:t>
      </w:r>
    </w:p>
    <w:p>
      <w:pPr>
        <w:spacing w:line="440" w:lineRule="exact"/>
        <w:ind w:firstLine="480"/>
        <w:rPr>
          <w:sz w:val="24"/>
          <w:szCs w:val="24"/>
        </w:rPr>
      </w:pPr>
      <w:r>
        <w:rPr>
          <w:sz w:val="24"/>
          <w:szCs w:val="24"/>
        </w:rPr>
        <w:t>S——堆场面积（m</w:t>
      </w:r>
      <w:r>
        <w:rPr>
          <w:sz w:val="24"/>
          <w:szCs w:val="24"/>
          <w:vertAlign w:val="superscript"/>
        </w:rPr>
        <w:t>2</w:t>
      </w:r>
      <w:r>
        <w:rPr>
          <w:sz w:val="24"/>
          <w:szCs w:val="24"/>
        </w:rPr>
        <w:t>），450m</w:t>
      </w:r>
      <w:r>
        <w:rPr>
          <w:sz w:val="24"/>
          <w:szCs w:val="24"/>
          <w:vertAlign w:val="superscript"/>
        </w:rPr>
        <w:t>2</w:t>
      </w:r>
      <w:r>
        <w:rPr>
          <w:sz w:val="24"/>
          <w:szCs w:val="24"/>
        </w:rPr>
        <w:t>；</w:t>
      </w:r>
    </w:p>
    <w:p>
      <w:pPr>
        <w:spacing w:line="440" w:lineRule="exact"/>
        <w:ind w:firstLine="480"/>
        <w:rPr>
          <w:sz w:val="24"/>
          <w:szCs w:val="24"/>
        </w:rPr>
      </w:pPr>
      <w:r>
        <w:rPr>
          <w:sz w:val="24"/>
          <w:szCs w:val="24"/>
        </w:rPr>
        <w:t>ω——空气相对湿度（%），81%；</w:t>
      </w:r>
    </w:p>
    <w:p>
      <w:pPr>
        <w:spacing w:line="440" w:lineRule="exact"/>
        <w:ind w:firstLine="480"/>
        <w:rPr>
          <w:sz w:val="24"/>
          <w:szCs w:val="24"/>
        </w:rPr>
      </w:pPr>
      <w:r>
        <w:rPr>
          <w:sz w:val="24"/>
          <w:szCs w:val="24"/>
        </w:rPr>
        <w:t>W——物料含水率（%），5%；</w:t>
      </w:r>
    </w:p>
    <w:p>
      <w:pPr>
        <w:spacing w:line="440" w:lineRule="exact"/>
        <w:ind w:firstLine="480"/>
        <w:rPr>
          <w:sz w:val="24"/>
          <w:szCs w:val="24"/>
        </w:rPr>
      </w:pPr>
      <w:r>
        <w:rPr>
          <w:sz w:val="24"/>
          <w:szCs w:val="24"/>
        </w:rPr>
        <w:t>H——物料落差（m），1m，</w:t>
      </w:r>
    </w:p>
    <w:p>
      <w:pPr>
        <w:spacing w:line="440" w:lineRule="exact"/>
        <w:ind w:firstLine="480"/>
        <w:rPr>
          <w:sz w:val="24"/>
          <w:szCs w:val="24"/>
        </w:rPr>
      </w:pPr>
      <w:r>
        <w:rPr>
          <w:sz w:val="24"/>
          <w:szCs w:val="24"/>
        </w:rPr>
        <w:t>t——物料装车所用时间（s/t）</w:t>
      </w:r>
    </w:p>
    <w:p>
      <w:pPr>
        <w:adjustRightInd/>
        <w:snapToGrid/>
        <w:spacing w:line="360" w:lineRule="auto"/>
        <w:ind w:firstLine="480"/>
        <w:jc w:val="both"/>
        <w:rPr>
          <w:sz w:val="24"/>
          <w:szCs w:val="24"/>
        </w:rPr>
      </w:pPr>
      <w:r>
        <w:rPr>
          <w:sz w:val="24"/>
          <w:szCs w:val="24"/>
        </w:rPr>
        <w:t>根据以上公式计算可知堆场起尘量为1.26t/a，装车起尘量为6.37t/a，合计7.63t/a。建成后</w:t>
      </w:r>
      <w:r>
        <w:rPr>
          <w:bCs/>
          <w:sz w:val="24"/>
          <w:szCs w:val="24"/>
        </w:rPr>
        <w:t>产品仓的产品经仓下漏斗直接装车外运，临时储存场的产品由铲车装车外运。产品仓下方漏斗处设喷雾式洒水装置，封闭的临时储存场顶棚设置喷雾式洒水装置和移动洒水软管。装车时降低物料与车斗高差，减少只有落差产生的粉尘，提高人员的素质，文明作业，降低粉尘的逸散，不装车时对物料进行覆盖。</w:t>
      </w:r>
      <w:r>
        <w:rPr>
          <w:sz w:val="24"/>
          <w:szCs w:val="24"/>
        </w:rPr>
        <w:t>在采取以上措施后，较相同规模的露天堆场，其抑尘率可达95%以上，则项目产品堆场扬尘排放量为0.382t/a。</w:t>
      </w:r>
    </w:p>
    <w:p>
      <w:pPr>
        <w:adjustRightInd/>
        <w:snapToGrid/>
        <w:spacing w:line="360" w:lineRule="auto"/>
        <w:ind w:firstLine="480"/>
        <w:jc w:val="both"/>
        <w:rPr>
          <w:sz w:val="24"/>
          <w:szCs w:val="24"/>
        </w:rPr>
      </w:pPr>
      <w:r>
        <w:rPr>
          <w:rFonts w:hint="eastAsia" w:ascii="宋体" w:hAnsi="宋体" w:cs="宋体"/>
          <w:sz w:val="24"/>
          <w:szCs w:val="24"/>
        </w:rPr>
        <w:t>⑥</w:t>
      </w:r>
      <w:r>
        <w:rPr>
          <w:sz w:val="24"/>
          <w:szCs w:val="24"/>
        </w:rPr>
        <w:t>转运粉尘</w:t>
      </w:r>
    </w:p>
    <w:p>
      <w:pPr>
        <w:spacing w:line="360" w:lineRule="auto"/>
        <w:ind w:firstLine="480"/>
        <w:rPr>
          <w:bCs/>
          <w:sz w:val="24"/>
          <w:szCs w:val="24"/>
        </w:rPr>
      </w:pPr>
      <w:r>
        <w:rPr>
          <w:bCs/>
          <w:sz w:val="24"/>
          <w:szCs w:val="24"/>
        </w:rPr>
        <w:t>扩建项目采用封闭的皮带输送廊道进行原矿及产品的转运。皮带输送廊道将改为密闭式设计，有效减少转运扬尘。</w:t>
      </w:r>
    </w:p>
    <w:p>
      <w:pPr>
        <w:spacing w:line="360" w:lineRule="auto"/>
        <w:ind w:firstLine="480"/>
        <w:rPr>
          <w:sz w:val="24"/>
          <w:szCs w:val="24"/>
        </w:rPr>
      </w:pPr>
      <w:r>
        <w:rPr>
          <w:rFonts w:hint="eastAsia" w:ascii="宋体" w:hAnsi="宋体" w:cs="宋体"/>
          <w:sz w:val="24"/>
          <w:szCs w:val="24"/>
        </w:rPr>
        <w:t>⑦</w:t>
      </w:r>
      <w:r>
        <w:rPr>
          <w:sz w:val="24"/>
          <w:szCs w:val="24"/>
        </w:rPr>
        <w:t>燃料废气</w:t>
      </w:r>
    </w:p>
    <w:p>
      <w:pPr>
        <w:spacing w:line="360" w:lineRule="auto"/>
        <w:ind w:firstLine="480"/>
        <w:rPr>
          <w:bCs/>
          <w:sz w:val="24"/>
        </w:rPr>
      </w:pPr>
      <w:r>
        <w:rPr>
          <w:bCs/>
          <w:sz w:val="24"/>
          <w:szCs w:val="24"/>
        </w:rPr>
        <w:t>挖掘机、载重汽</w:t>
      </w:r>
      <w:r>
        <w:rPr>
          <w:bCs/>
          <w:sz w:val="24"/>
        </w:rPr>
        <w:t>车等机械设备、运输工具采用柴油作为能源，有少量燃油废气产生。</w:t>
      </w:r>
    </w:p>
    <w:p>
      <w:pPr>
        <w:spacing w:line="360" w:lineRule="auto"/>
        <w:ind w:firstLine="480"/>
        <w:rPr>
          <w:sz w:val="24"/>
          <w:szCs w:val="26"/>
        </w:rPr>
      </w:pPr>
      <w:r>
        <w:rPr>
          <w:rFonts w:hint="eastAsia" w:ascii="宋体" w:hAnsi="宋体" w:cs="宋体"/>
          <w:sz w:val="24"/>
          <w:szCs w:val="26"/>
        </w:rPr>
        <w:t>⑧</w:t>
      </w:r>
      <w:r>
        <w:rPr>
          <w:sz w:val="24"/>
          <w:szCs w:val="26"/>
        </w:rPr>
        <w:t>汽车运输尾气</w:t>
      </w:r>
    </w:p>
    <w:p>
      <w:pPr>
        <w:spacing w:line="360" w:lineRule="auto"/>
        <w:ind w:firstLine="480"/>
        <w:jc w:val="both"/>
        <w:rPr>
          <w:sz w:val="24"/>
          <w:szCs w:val="24"/>
        </w:rPr>
      </w:pPr>
      <w:r>
        <w:rPr>
          <w:sz w:val="24"/>
          <w:szCs w:val="24"/>
        </w:rPr>
        <w:t>项目运营期环境空气污染源主要是原矿运输车辆尾气，从开采区到工业场地距离约1km。汽车废气污染物主要来自曲轴箱漏气、燃油系统挥发和排气管的排放，主要有CO、NO</w:t>
      </w:r>
      <w:r>
        <w:rPr>
          <w:sz w:val="24"/>
          <w:szCs w:val="24"/>
          <w:vertAlign w:val="subscript"/>
        </w:rPr>
        <w:t>2</w:t>
      </w:r>
      <w:r>
        <w:rPr>
          <w:sz w:val="24"/>
          <w:szCs w:val="24"/>
        </w:rPr>
        <w:t>、THC。CO是燃料在发动机内不完全燃烧的产物，主要取决于空燃比和各种汽缸燃料分配的均匀性。NO</w:t>
      </w:r>
      <w:r>
        <w:rPr>
          <w:sz w:val="24"/>
          <w:szCs w:val="24"/>
          <w:vertAlign w:val="subscript"/>
        </w:rPr>
        <w:t>2</w:t>
      </w:r>
      <w:r>
        <w:rPr>
          <w:sz w:val="24"/>
          <w:szCs w:val="24"/>
        </w:rPr>
        <w:t>是汽缸内过量空气中的氧气和氮气在高温下形成的产物。THC产生于汽缸壁面淬效应和混合缸不完全燃烧。产生的汽车尾气随即进行排放，加强汽车保养，确保不带病上路，并且定期对驾驶人员进行培训汽车保养知识。</w:t>
      </w:r>
    </w:p>
    <w:p>
      <w:pPr>
        <w:spacing w:line="460" w:lineRule="exact"/>
        <w:ind w:firstLine="520"/>
        <w:jc w:val="both"/>
        <w:rPr>
          <w:szCs w:val="26"/>
        </w:rPr>
      </w:pPr>
    </w:p>
    <w:p>
      <w:pPr>
        <w:widowControl/>
        <w:spacing w:line="460" w:lineRule="exact"/>
        <w:ind w:firstLine="566" w:firstLineChars="218"/>
        <w:rPr>
          <w:kern w:val="0"/>
          <w:szCs w:val="26"/>
        </w:rPr>
      </w:pPr>
    </w:p>
    <w:p>
      <w:pPr>
        <w:spacing w:line="460" w:lineRule="exact"/>
        <w:ind w:firstLine="520"/>
        <w:jc w:val="both"/>
        <w:rPr>
          <w:szCs w:val="26"/>
        </w:rPr>
        <w:sectPr>
          <w:pgSz w:w="11907" w:h="16840"/>
          <w:pgMar w:top="1418" w:right="1588" w:bottom="1418" w:left="1588" w:header="1134" w:footer="1134" w:gutter="0"/>
          <w:cols w:space="425" w:num="1"/>
          <w:docGrid w:linePitch="354" w:charSpace="0"/>
        </w:sectPr>
      </w:pPr>
    </w:p>
    <w:p>
      <w:pPr>
        <w:pStyle w:val="84"/>
      </w:pPr>
      <w:r>
        <w:t>表3.3-4  工业场地粉尘产生、排放核算结果一览表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673"/>
        <w:gridCol w:w="674"/>
        <w:gridCol w:w="674"/>
        <w:gridCol w:w="684"/>
        <w:gridCol w:w="684"/>
        <w:gridCol w:w="818"/>
        <w:gridCol w:w="671"/>
        <w:gridCol w:w="674"/>
        <w:gridCol w:w="685"/>
        <w:gridCol w:w="885"/>
        <w:gridCol w:w="818"/>
        <w:gridCol w:w="818"/>
        <w:gridCol w:w="983"/>
        <w:gridCol w:w="733"/>
        <w:gridCol w:w="983"/>
        <w:gridCol w:w="751"/>
        <w:gridCol w:w="1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污染源</w:t>
            </w:r>
          </w:p>
        </w:tc>
        <w:tc>
          <w:tcPr>
            <w:tcW w:w="25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废气名称</w:t>
            </w:r>
          </w:p>
        </w:tc>
        <w:tc>
          <w:tcPr>
            <w:tcW w:w="25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w:t>
            </w:r>
          </w:p>
        </w:tc>
        <w:tc>
          <w:tcPr>
            <w:tcW w:w="1040" w:type="pct"/>
            <w:gridSpan w:val="4"/>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污染物产生</w:t>
            </w:r>
          </w:p>
        </w:tc>
        <w:tc>
          <w:tcPr>
            <w:tcW w:w="780"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治理措施</w:t>
            </w:r>
          </w:p>
        </w:tc>
        <w:tc>
          <w:tcPr>
            <w:tcW w:w="1162" w:type="pct"/>
            <w:gridSpan w:val="4"/>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污染物排放</w:t>
            </w:r>
          </w:p>
        </w:tc>
        <w:tc>
          <w:tcPr>
            <w:tcW w:w="541" w:type="pct"/>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执行标准</w:t>
            </w:r>
          </w:p>
        </w:tc>
        <w:tc>
          <w:tcPr>
            <w:tcW w:w="256"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排放时间h</w:t>
            </w:r>
          </w:p>
        </w:tc>
        <w:tc>
          <w:tcPr>
            <w:tcW w:w="44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5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5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25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核算方法</w:t>
            </w:r>
          </w:p>
        </w:tc>
        <w:tc>
          <w:tcPr>
            <w:tcW w:w="26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产污系数kg/t</w:t>
            </w:r>
          </w:p>
        </w:tc>
        <w:tc>
          <w:tcPr>
            <w:tcW w:w="25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产生量t/a</w:t>
            </w:r>
          </w:p>
        </w:tc>
        <w:tc>
          <w:tcPr>
            <w:tcW w:w="264"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产生速率kg/h</w:t>
            </w:r>
          </w:p>
        </w:tc>
        <w:tc>
          <w:tcPr>
            <w:tcW w:w="26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收集效率%</w:t>
            </w:r>
          </w:p>
        </w:tc>
        <w:tc>
          <w:tcPr>
            <w:tcW w:w="25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工艺</w:t>
            </w:r>
          </w:p>
        </w:tc>
        <w:tc>
          <w:tcPr>
            <w:tcW w:w="26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处理效率%</w:t>
            </w:r>
          </w:p>
        </w:tc>
        <w:tc>
          <w:tcPr>
            <w:tcW w:w="324"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废气排放量m</w:t>
            </w:r>
            <w:r>
              <w:rPr>
                <w:b/>
                <w:bCs/>
                <w:sz w:val="21"/>
                <w:szCs w:val="21"/>
                <w:vertAlign w:val="superscript"/>
              </w:rPr>
              <w:t>3</w:t>
            </w:r>
            <w:r>
              <w:rPr>
                <w:b/>
                <w:bCs/>
                <w:sz w:val="21"/>
                <w:szCs w:val="21"/>
              </w:rPr>
              <w:t>/h</w:t>
            </w:r>
          </w:p>
        </w:tc>
        <w:tc>
          <w:tcPr>
            <w:tcW w:w="29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排放量t/a</w:t>
            </w:r>
          </w:p>
        </w:tc>
        <w:tc>
          <w:tcPr>
            <w:tcW w:w="26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排放速率kg/h</w:t>
            </w:r>
          </w:p>
        </w:tc>
        <w:tc>
          <w:tcPr>
            <w:tcW w:w="28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排放浓度mg/m</w:t>
            </w:r>
            <w:r>
              <w:rPr>
                <w:b/>
                <w:bCs/>
                <w:sz w:val="21"/>
                <w:szCs w:val="21"/>
                <w:vertAlign w:val="superscript"/>
              </w:rPr>
              <w:t>3</w:t>
            </w:r>
          </w:p>
        </w:tc>
        <w:tc>
          <w:tcPr>
            <w:tcW w:w="25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速率kg/h</w:t>
            </w:r>
          </w:p>
        </w:tc>
        <w:tc>
          <w:tcPr>
            <w:tcW w:w="28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浓度mg/m</w:t>
            </w:r>
            <w:r>
              <w:rPr>
                <w:b/>
                <w:bCs/>
                <w:sz w:val="21"/>
                <w:szCs w:val="21"/>
                <w:vertAlign w:val="superscript"/>
              </w:rPr>
              <w:t>3</w:t>
            </w:r>
          </w:p>
        </w:tc>
        <w:tc>
          <w:tcPr>
            <w:tcW w:w="256"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448" w:type="pct"/>
            <w:vMerge w:val="continue"/>
            <w:shd w:val="clear" w:color="auto" w:fill="D8D8D8" w:themeFill="background1" w:themeFillShade="D9"/>
            <w:vAlign w:val="center"/>
          </w:tcPr>
          <w:p>
            <w:pPr>
              <w:spacing w:line="240" w:lineRule="auto"/>
              <w:ind w:firstLine="0" w:firstLineChars="0"/>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8" w:type="pct"/>
            <w:shd w:val="clear" w:color="auto" w:fill="auto"/>
            <w:vAlign w:val="center"/>
          </w:tcPr>
          <w:p>
            <w:pPr>
              <w:spacing w:line="240" w:lineRule="auto"/>
              <w:ind w:firstLine="0" w:firstLineChars="0"/>
              <w:jc w:val="center"/>
              <w:rPr>
                <w:sz w:val="21"/>
                <w:szCs w:val="21"/>
              </w:rPr>
            </w:pPr>
            <w:r>
              <w:rPr>
                <w:sz w:val="21"/>
                <w:szCs w:val="21"/>
              </w:rPr>
              <w:t>卸料上料</w:t>
            </w:r>
          </w:p>
        </w:tc>
        <w:tc>
          <w:tcPr>
            <w:tcW w:w="258" w:type="pct"/>
            <w:shd w:val="clear" w:color="auto" w:fill="auto"/>
            <w:vAlign w:val="center"/>
          </w:tcPr>
          <w:p>
            <w:pPr>
              <w:spacing w:line="240" w:lineRule="auto"/>
              <w:ind w:firstLine="0" w:firstLineChars="0"/>
              <w:jc w:val="center"/>
              <w:rPr>
                <w:sz w:val="21"/>
                <w:szCs w:val="21"/>
              </w:rPr>
            </w:pPr>
            <w:r>
              <w:rPr>
                <w:sz w:val="21"/>
                <w:szCs w:val="21"/>
              </w:rPr>
              <w:t>卸料上料粉尘</w:t>
            </w:r>
          </w:p>
        </w:tc>
        <w:tc>
          <w:tcPr>
            <w:tcW w:w="258" w:type="pct"/>
            <w:shd w:val="clear" w:color="auto" w:fill="auto"/>
            <w:vAlign w:val="center"/>
          </w:tcPr>
          <w:p>
            <w:pPr>
              <w:spacing w:line="240" w:lineRule="auto"/>
              <w:ind w:firstLine="0" w:firstLineChars="0"/>
              <w:jc w:val="center"/>
              <w:rPr>
                <w:sz w:val="21"/>
                <w:szCs w:val="21"/>
              </w:rPr>
            </w:pPr>
            <w:r>
              <w:rPr>
                <w:sz w:val="21"/>
                <w:szCs w:val="21"/>
              </w:rPr>
              <w:t>颗粒物</w:t>
            </w:r>
          </w:p>
        </w:tc>
        <w:tc>
          <w:tcPr>
            <w:tcW w:w="258" w:type="pct"/>
            <w:shd w:val="clear" w:color="auto" w:fill="auto"/>
            <w:vAlign w:val="center"/>
          </w:tcPr>
          <w:p>
            <w:pPr>
              <w:spacing w:line="240" w:lineRule="auto"/>
              <w:ind w:firstLine="0" w:firstLineChars="0"/>
              <w:jc w:val="center"/>
              <w:rPr>
                <w:sz w:val="21"/>
                <w:szCs w:val="21"/>
              </w:rPr>
            </w:pPr>
            <w:r>
              <w:rPr>
                <w:sz w:val="21"/>
                <w:szCs w:val="21"/>
              </w:rPr>
              <w:t>/</w:t>
            </w:r>
          </w:p>
        </w:tc>
        <w:tc>
          <w:tcPr>
            <w:tcW w:w="260" w:type="pct"/>
            <w:shd w:val="clear" w:color="auto" w:fill="auto"/>
            <w:vAlign w:val="center"/>
          </w:tcPr>
          <w:p>
            <w:pPr>
              <w:spacing w:line="240" w:lineRule="auto"/>
              <w:ind w:firstLine="0" w:firstLineChars="0"/>
              <w:jc w:val="center"/>
              <w:rPr>
                <w:sz w:val="21"/>
                <w:szCs w:val="21"/>
              </w:rPr>
            </w:pPr>
            <w:r>
              <w:rPr>
                <w:sz w:val="21"/>
                <w:szCs w:val="21"/>
              </w:rPr>
              <w:t>/</w:t>
            </w:r>
          </w:p>
        </w:tc>
        <w:tc>
          <w:tcPr>
            <w:tcW w:w="258" w:type="pct"/>
            <w:shd w:val="clear" w:color="auto" w:fill="auto"/>
            <w:vAlign w:val="center"/>
          </w:tcPr>
          <w:p>
            <w:pPr>
              <w:spacing w:line="240" w:lineRule="auto"/>
              <w:ind w:firstLine="0" w:firstLineChars="0"/>
              <w:jc w:val="center"/>
              <w:rPr>
                <w:sz w:val="21"/>
                <w:szCs w:val="21"/>
              </w:rPr>
            </w:pPr>
            <w:r>
              <w:rPr>
                <w:sz w:val="21"/>
                <w:szCs w:val="21"/>
              </w:rPr>
              <w:t>少量</w:t>
            </w:r>
          </w:p>
        </w:tc>
        <w:tc>
          <w:tcPr>
            <w:tcW w:w="264" w:type="pct"/>
            <w:shd w:val="clear" w:color="auto" w:fill="auto"/>
            <w:vAlign w:val="center"/>
          </w:tcPr>
          <w:p>
            <w:pPr>
              <w:spacing w:line="240" w:lineRule="auto"/>
              <w:ind w:firstLine="0" w:firstLineChars="0"/>
              <w:jc w:val="center"/>
              <w:rPr>
                <w:sz w:val="21"/>
                <w:szCs w:val="21"/>
              </w:rPr>
            </w:pPr>
            <w:r>
              <w:rPr>
                <w:sz w:val="21"/>
                <w:szCs w:val="21"/>
              </w:rPr>
              <w:t>/</w:t>
            </w:r>
          </w:p>
        </w:tc>
        <w:tc>
          <w:tcPr>
            <w:tcW w:w="260" w:type="pct"/>
            <w:shd w:val="clear" w:color="auto" w:fill="auto"/>
            <w:vAlign w:val="center"/>
          </w:tcPr>
          <w:p>
            <w:pPr>
              <w:spacing w:line="240" w:lineRule="auto"/>
              <w:ind w:firstLine="0" w:firstLineChars="0"/>
              <w:jc w:val="center"/>
              <w:rPr>
                <w:sz w:val="21"/>
                <w:szCs w:val="21"/>
              </w:rPr>
            </w:pPr>
            <w:r>
              <w:rPr>
                <w:sz w:val="21"/>
                <w:szCs w:val="21"/>
              </w:rPr>
              <w:t>/</w:t>
            </w:r>
          </w:p>
        </w:tc>
        <w:tc>
          <w:tcPr>
            <w:tcW w:w="258" w:type="pct"/>
            <w:shd w:val="clear" w:color="auto" w:fill="auto"/>
            <w:vAlign w:val="center"/>
          </w:tcPr>
          <w:p>
            <w:pPr>
              <w:spacing w:line="240" w:lineRule="auto"/>
              <w:ind w:firstLine="0" w:firstLineChars="0"/>
              <w:jc w:val="center"/>
              <w:rPr>
                <w:sz w:val="21"/>
                <w:szCs w:val="21"/>
              </w:rPr>
            </w:pPr>
            <w:r>
              <w:rPr>
                <w:sz w:val="21"/>
                <w:szCs w:val="21"/>
              </w:rPr>
              <w:t>/</w:t>
            </w:r>
          </w:p>
        </w:tc>
        <w:tc>
          <w:tcPr>
            <w:tcW w:w="262" w:type="pct"/>
            <w:shd w:val="clear" w:color="auto" w:fill="auto"/>
            <w:vAlign w:val="center"/>
          </w:tcPr>
          <w:p>
            <w:pPr>
              <w:spacing w:line="240" w:lineRule="auto"/>
              <w:ind w:firstLine="0" w:firstLineChars="0"/>
              <w:jc w:val="center"/>
              <w:rPr>
                <w:sz w:val="21"/>
                <w:szCs w:val="21"/>
              </w:rPr>
            </w:pPr>
            <w:r>
              <w:rPr>
                <w:sz w:val="21"/>
                <w:szCs w:val="21"/>
              </w:rPr>
              <w:t>/</w:t>
            </w:r>
          </w:p>
        </w:tc>
        <w:tc>
          <w:tcPr>
            <w:tcW w:w="324" w:type="pct"/>
            <w:shd w:val="clear" w:color="auto" w:fill="auto"/>
            <w:vAlign w:val="center"/>
          </w:tcPr>
          <w:p>
            <w:pPr>
              <w:spacing w:line="240" w:lineRule="auto"/>
              <w:ind w:firstLine="0" w:firstLineChars="0"/>
              <w:jc w:val="center"/>
              <w:rPr>
                <w:sz w:val="21"/>
                <w:szCs w:val="21"/>
              </w:rPr>
            </w:pPr>
            <w:r>
              <w:rPr>
                <w:sz w:val="21"/>
                <w:szCs w:val="21"/>
              </w:rPr>
              <w:t>/</w:t>
            </w:r>
          </w:p>
        </w:tc>
        <w:tc>
          <w:tcPr>
            <w:tcW w:w="292" w:type="pct"/>
            <w:shd w:val="clear" w:color="auto" w:fill="auto"/>
            <w:vAlign w:val="center"/>
          </w:tcPr>
          <w:p>
            <w:pPr>
              <w:spacing w:line="240" w:lineRule="auto"/>
              <w:ind w:firstLine="0" w:firstLineChars="0"/>
              <w:jc w:val="center"/>
              <w:rPr>
                <w:sz w:val="21"/>
                <w:szCs w:val="21"/>
              </w:rPr>
            </w:pPr>
            <w:r>
              <w:rPr>
                <w:sz w:val="21"/>
                <w:szCs w:val="21"/>
              </w:rPr>
              <w:t>少量</w:t>
            </w:r>
          </w:p>
        </w:tc>
        <w:tc>
          <w:tcPr>
            <w:tcW w:w="260" w:type="pct"/>
            <w:shd w:val="clear" w:color="auto" w:fill="auto"/>
            <w:vAlign w:val="center"/>
          </w:tcPr>
          <w:p>
            <w:pPr>
              <w:spacing w:line="240" w:lineRule="auto"/>
              <w:ind w:firstLine="0" w:firstLineChars="0"/>
              <w:jc w:val="center"/>
              <w:rPr>
                <w:sz w:val="21"/>
                <w:szCs w:val="21"/>
              </w:rPr>
            </w:pPr>
            <w:r>
              <w:rPr>
                <w:sz w:val="21"/>
                <w:szCs w:val="21"/>
              </w:rPr>
              <w:t>/</w:t>
            </w:r>
          </w:p>
        </w:tc>
        <w:tc>
          <w:tcPr>
            <w:tcW w:w="286" w:type="pct"/>
            <w:shd w:val="clear" w:color="auto" w:fill="auto"/>
            <w:vAlign w:val="center"/>
          </w:tcPr>
          <w:p>
            <w:pPr>
              <w:spacing w:line="240" w:lineRule="auto"/>
              <w:ind w:firstLine="0" w:firstLineChars="0"/>
              <w:jc w:val="center"/>
              <w:rPr>
                <w:sz w:val="21"/>
                <w:szCs w:val="21"/>
              </w:rPr>
            </w:pPr>
            <w:r>
              <w:rPr>
                <w:sz w:val="21"/>
                <w:szCs w:val="21"/>
              </w:rPr>
              <w:t>/</w:t>
            </w:r>
          </w:p>
        </w:tc>
        <w:tc>
          <w:tcPr>
            <w:tcW w:w="255" w:type="pct"/>
            <w:shd w:val="clear" w:color="auto" w:fill="auto"/>
            <w:vAlign w:val="center"/>
          </w:tcPr>
          <w:p>
            <w:pPr>
              <w:spacing w:line="240" w:lineRule="auto"/>
              <w:ind w:firstLine="0" w:firstLineChars="0"/>
              <w:jc w:val="center"/>
              <w:rPr>
                <w:sz w:val="21"/>
                <w:szCs w:val="21"/>
              </w:rPr>
            </w:pPr>
            <w:r>
              <w:rPr>
                <w:sz w:val="21"/>
                <w:szCs w:val="21"/>
              </w:rPr>
              <w:t>/</w:t>
            </w:r>
          </w:p>
        </w:tc>
        <w:tc>
          <w:tcPr>
            <w:tcW w:w="286" w:type="pct"/>
            <w:shd w:val="clear" w:color="auto" w:fill="auto"/>
            <w:vAlign w:val="center"/>
          </w:tcPr>
          <w:p>
            <w:pPr>
              <w:spacing w:line="240" w:lineRule="auto"/>
              <w:ind w:firstLine="0" w:firstLineChars="0"/>
              <w:jc w:val="center"/>
              <w:rPr>
                <w:sz w:val="21"/>
                <w:szCs w:val="21"/>
              </w:rPr>
            </w:pPr>
            <w:r>
              <w:rPr>
                <w:sz w:val="21"/>
                <w:szCs w:val="21"/>
              </w:rPr>
              <w:t>/</w:t>
            </w:r>
          </w:p>
        </w:tc>
        <w:tc>
          <w:tcPr>
            <w:tcW w:w="256" w:type="pct"/>
            <w:shd w:val="clear" w:color="auto" w:fill="auto"/>
            <w:vAlign w:val="center"/>
          </w:tcPr>
          <w:p>
            <w:pPr>
              <w:spacing w:line="240" w:lineRule="auto"/>
              <w:ind w:firstLine="0" w:firstLineChars="0"/>
              <w:jc w:val="center"/>
              <w:rPr>
                <w:sz w:val="21"/>
                <w:szCs w:val="21"/>
              </w:rPr>
            </w:pPr>
            <w:r>
              <w:rPr>
                <w:sz w:val="21"/>
                <w:szCs w:val="21"/>
              </w:rPr>
              <w:t>4000</w:t>
            </w:r>
          </w:p>
        </w:tc>
        <w:tc>
          <w:tcPr>
            <w:tcW w:w="448" w:type="pct"/>
            <w:shd w:val="clear" w:color="auto" w:fill="auto"/>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8" w:type="pct"/>
            <w:vAlign w:val="center"/>
          </w:tcPr>
          <w:p>
            <w:pPr>
              <w:spacing w:line="240" w:lineRule="auto"/>
              <w:ind w:firstLine="0" w:firstLineChars="0"/>
              <w:jc w:val="center"/>
              <w:rPr>
                <w:sz w:val="21"/>
                <w:szCs w:val="21"/>
              </w:rPr>
            </w:pPr>
            <w:r>
              <w:rPr>
                <w:sz w:val="21"/>
                <w:szCs w:val="21"/>
              </w:rPr>
              <w:t>颚式破碎机2台</w:t>
            </w:r>
          </w:p>
        </w:tc>
        <w:tc>
          <w:tcPr>
            <w:tcW w:w="258" w:type="pct"/>
            <w:vAlign w:val="center"/>
          </w:tcPr>
          <w:p>
            <w:pPr>
              <w:spacing w:line="240" w:lineRule="auto"/>
              <w:ind w:firstLine="0" w:firstLineChars="0"/>
              <w:jc w:val="center"/>
              <w:rPr>
                <w:sz w:val="21"/>
                <w:szCs w:val="21"/>
              </w:rPr>
            </w:pPr>
            <w:r>
              <w:rPr>
                <w:sz w:val="21"/>
                <w:szCs w:val="21"/>
              </w:rPr>
              <w:t>一级破碎粉尘</w:t>
            </w:r>
          </w:p>
        </w:tc>
        <w:tc>
          <w:tcPr>
            <w:tcW w:w="258" w:type="pct"/>
            <w:vAlign w:val="center"/>
          </w:tcPr>
          <w:p>
            <w:pPr>
              <w:spacing w:line="240" w:lineRule="auto"/>
              <w:ind w:firstLine="0" w:firstLineChars="0"/>
              <w:jc w:val="center"/>
              <w:rPr>
                <w:sz w:val="21"/>
                <w:szCs w:val="21"/>
              </w:rPr>
            </w:pPr>
            <w:r>
              <w:rPr>
                <w:sz w:val="21"/>
                <w:szCs w:val="21"/>
              </w:rPr>
              <w:t>颗粒物</w:t>
            </w:r>
          </w:p>
        </w:tc>
        <w:tc>
          <w:tcPr>
            <w:tcW w:w="258" w:type="pct"/>
            <w:vAlign w:val="center"/>
          </w:tcPr>
          <w:p>
            <w:pPr>
              <w:spacing w:line="240" w:lineRule="auto"/>
              <w:ind w:firstLine="0" w:firstLineChars="0"/>
              <w:jc w:val="center"/>
              <w:rPr>
                <w:sz w:val="21"/>
                <w:szCs w:val="21"/>
              </w:rPr>
            </w:pPr>
            <w:r>
              <w:rPr>
                <w:sz w:val="21"/>
                <w:szCs w:val="21"/>
              </w:rPr>
              <w:t>产排污系数法</w:t>
            </w:r>
          </w:p>
        </w:tc>
        <w:tc>
          <w:tcPr>
            <w:tcW w:w="260" w:type="pct"/>
            <w:vAlign w:val="center"/>
          </w:tcPr>
          <w:p>
            <w:pPr>
              <w:spacing w:line="240" w:lineRule="auto"/>
              <w:ind w:firstLine="0" w:firstLineChars="0"/>
              <w:jc w:val="center"/>
              <w:rPr>
                <w:sz w:val="21"/>
                <w:szCs w:val="21"/>
              </w:rPr>
            </w:pPr>
            <w:r>
              <w:rPr>
                <w:sz w:val="21"/>
                <w:szCs w:val="21"/>
              </w:rPr>
              <w:t>0.15</w:t>
            </w:r>
          </w:p>
        </w:tc>
        <w:tc>
          <w:tcPr>
            <w:tcW w:w="258" w:type="pct"/>
            <w:vAlign w:val="center"/>
          </w:tcPr>
          <w:p>
            <w:pPr>
              <w:spacing w:line="240" w:lineRule="auto"/>
              <w:ind w:firstLine="0" w:firstLineChars="0"/>
              <w:jc w:val="center"/>
              <w:rPr>
                <w:sz w:val="21"/>
                <w:szCs w:val="21"/>
              </w:rPr>
            </w:pPr>
            <w:r>
              <w:rPr>
                <w:sz w:val="21"/>
                <w:szCs w:val="21"/>
              </w:rPr>
              <w:t>31.5</w:t>
            </w:r>
          </w:p>
        </w:tc>
        <w:tc>
          <w:tcPr>
            <w:tcW w:w="264" w:type="pct"/>
            <w:vAlign w:val="center"/>
          </w:tcPr>
          <w:p>
            <w:pPr>
              <w:spacing w:line="240" w:lineRule="auto"/>
              <w:ind w:firstLine="0" w:firstLineChars="0"/>
              <w:jc w:val="center"/>
              <w:rPr>
                <w:sz w:val="21"/>
                <w:szCs w:val="21"/>
              </w:rPr>
            </w:pPr>
            <w:r>
              <w:rPr>
                <w:sz w:val="21"/>
                <w:szCs w:val="21"/>
              </w:rPr>
              <w:t>7.88</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Merge w:val="restart"/>
            <w:vAlign w:val="center"/>
          </w:tcPr>
          <w:p>
            <w:pPr>
              <w:spacing w:line="240" w:lineRule="auto"/>
              <w:ind w:firstLine="0" w:firstLineChars="0"/>
              <w:rPr>
                <w:sz w:val="21"/>
                <w:szCs w:val="21"/>
              </w:rPr>
            </w:pPr>
            <w:r>
              <w:rPr>
                <w:sz w:val="21"/>
                <w:szCs w:val="21"/>
              </w:rPr>
              <w:t>1#布袋除尘器</w:t>
            </w:r>
          </w:p>
        </w:tc>
        <w:tc>
          <w:tcPr>
            <w:tcW w:w="262" w:type="pct"/>
            <w:vMerge w:val="restart"/>
            <w:vAlign w:val="center"/>
          </w:tcPr>
          <w:p>
            <w:pPr>
              <w:spacing w:line="240" w:lineRule="auto"/>
              <w:ind w:firstLine="0" w:firstLineChars="0"/>
              <w:rPr>
                <w:sz w:val="21"/>
                <w:szCs w:val="21"/>
              </w:rPr>
            </w:pPr>
            <w:r>
              <w:rPr>
                <w:sz w:val="21"/>
                <w:szCs w:val="21"/>
              </w:rPr>
              <w:t>99.5</w:t>
            </w:r>
          </w:p>
        </w:tc>
        <w:tc>
          <w:tcPr>
            <w:tcW w:w="324" w:type="pct"/>
            <w:vMerge w:val="restart"/>
            <w:vAlign w:val="center"/>
          </w:tcPr>
          <w:p>
            <w:pPr>
              <w:spacing w:line="240" w:lineRule="auto"/>
              <w:ind w:firstLine="0" w:firstLineChars="0"/>
              <w:jc w:val="center"/>
              <w:rPr>
                <w:sz w:val="21"/>
                <w:szCs w:val="21"/>
              </w:rPr>
            </w:pPr>
            <w:r>
              <w:rPr>
                <w:sz w:val="21"/>
                <w:szCs w:val="21"/>
              </w:rPr>
              <w:t>5000</w:t>
            </w:r>
          </w:p>
        </w:tc>
        <w:tc>
          <w:tcPr>
            <w:tcW w:w="292" w:type="pct"/>
            <w:vMerge w:val="restart"/>
            <w:vAlign w:val="center"/>
          </w:tcPr>
          <w:p>
            <w:pPr>
              <w:spacing w:line="240" w:lineRule="auto"/>
              <w:ind w:firstLine="0" w:firstLineChars="0"/>
              <w:jc w:val="center"/>
              <w:rPr>
                <w:sz w:val="21"/>
                <w:szCs w:val="21"/>
              </w:rPr>
            </w:pPr>
            <w:r>
              <w:rPr>
                <w:sz w:val="21"/>
                <w:szCs w:val="21"/>
              </w:rPr>
              <w:t>0.368</w:t>
            </w:r>
          </w:p>
        </w:tc>
        <w:tc>
          <w:tcPr>
            <w:tcW w:w="260" w:type="pct"/>
            <w:vMerge w:val="restart"/>
            <w:vAlign w:val="center"/>
          </w:tcPr>
          <w:p>
            <w:pPr>
              <w:spacing w:line="240" w:lineRule="auto"/>
              <w:ind w:firstLine="0" w:firstLineChars="0"/>
              <w:jc w:val="center"/>
              <w:rPr>
                <w:sz w:val="21"/>
                <w:szCs w:val="21"/>
              </w:rPr>
            </w:pPr>
            <w:r>
              <w:rPr>
                <w:sz w:val="21"/>
                <w:szCs w:val="21"/>
              </w:rPr>
              <w:t>0.092</w:t>
            </w:r>
          </w:p>
        </w:tc>
        <w:tc>
          <w:tcPr>
            <w:tcW w:w="286" w:type="pct"/>
            <w:vMerge w:val="restart"/>
            <w:vAlign w:val="center"/>
          </w:tcPr>
          <w:p>
            <w:pPr>
              <w:spacing w:line="240" w:lineRule="auto"/>
              <w:ind w:firstLine="0" w:firstLineChars="0"/>
              <w:jc w:val="center"/>
              <w:rPr>
                <w:sz w:val="21"/>
                <w:szCs w:val="21"/>
              </w:rPr>
            </w:pPr>
            <w:r>
              <w:rPr>
                <w:sz w:val="21"/>
                <w:szCs w:val="21"/>
              </w:rPr>
              <w:t>18.38</w:t>
            </w:r>
          </w:p>
        </w:tc>
        <w:tc>
          <w:tcPr>
            <w:tcW w:w="255" w:type="pct"/>
            <w:vMerge w:val="restart"/>
            <w:vAlign w:val="center"/>
          </w:tcPr>
          <w:p>
            <w:pPr>
              <w:spacing w:line="240" w:lineRule="auto"/>
              <w:ind w:firstLine="0" w:firstLineChars="0"/>
              <w:jc w:val="center"/>
              <w:rPr>
                <w:sz w:val="21"/>
                <w:szCs w:val="21"/>
              </w:rPr>
            </w:pPr>
            <w:r>
              <w:rPr>
                <w:sz w:val="21"/>
                <w:szCs w:val="21"/>
              </w:rPr>
              <w:t>1.5</w:t>
            </w:r>
          </w:p>
        </w:tc>
        <w:tc>
          <w:tcPr>
            <w:tcW w:w="286" w:type="pct"/>
            <w:vMerge w:val="restart"/>
            <w:vAlign w:val="center"/>
          </w:tcPr>
          <w:p>
            <w:pPr>
              <w:spacing w:line="240" w:lineRule="auto"/>
              <w:ind w:firstLine="0" w:firstLineChars="0"/>
              <w:jc w:val="center"/>
              <w:rPr>
                <w:sz w:val="21"/>
                <w:szCs w:val="21"/>
              </w:rPr>
            </w:pPr>
            <w:r>
              <w:rPr>
                <w:sz w:val="21"/>
                <w:szCs w:val="21"/>
              </w:rPr>
              <w:t>100</w:t>
            </w:r>
          </w:p>
        </w:tc>
        <w:tc>
          <w:tcPr>
            <w:tcW w:w="256" w:type="pct"/>
            <w:vMerge w:val="restart"/>
            <w:vAlign w:val="center"/>
          </w:tcPr>
          <w:p>
            <w:pPr>
              <w:spacing w:line="240" w:lineRule="auto"/>
              <w:ind w:firstLine="0" w:firstLineChars="0"/>
              <w:jc w:val="center"/>
              <w:rPr>
                <w:sz w:val="21"/>
                <w:szCs w:val="21"/>
              </w:rPr>
            </w:pPr>
            <w:r>
              <w:rPr>
                <w:sz w:val="21"/>
                <w:szCs w:val="21"/>
              </w:rPr>
              <w:t>4000</w:t>
            </w:r>
          </w:p>
        </w:tc>
        <w:tc>
          <w:tcPr>
            <w:tcW w:w="448" w:type="pct"/>
            <w:vMerge w:val="restart"/>
            <w:vAlign w:val="center"/>
          </w:tcPr>
          <w:p>
            <w:pPr>
              <w:spacing w:line="240" w:lineRule="auto"/>
              <w:ind w:firstLine="0" w:firstLineChars="0"/>
              <w:jc w:val="center"/>
              <w:rPr>
                <w:sz w:val="21"/>
                <w:szCs w:val="21"/>
              </w:rPr>
            </w:pPr>
            <w:r>
              <w:rPr>
                <w:sz w:val="21"/>
                <w:szCs w:val="21"/>
              </w:rPr>
              <w:t>1根15m排气筒（DA001）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8" w:hRule="atLeast"/>
          <w:jc w:val="center"/>
        </w:trPr>
        <w:tc>
          <w:tcPr>
            <w:tcW w:w="258" w:type="pct"/>
            <w:vMerge w:val="restart"/>
            <w:vAlign w:val="center"/>
          </w:tcPr>
          <w:p>
            <w:pPr>
              <w:spacing w:line="240" w:lineRule="auto"/>
              <w:ind w:firstLine="0" w:firstLineChars="0"/>
              <w:jc w:val="center"/>
              <w:rPr>
                <w:sz w:val="21"/>
                <w:szCs w:val="21"/>
              </w:rPr>
            </w:pPr>
            <w:r>
              <w:rPr>
                <w:sz w:val="21"/>
                <w:szCs w:val="21"/>
              </w:rPr>
              <w:t>反击式破碎机2台</w:t>
            </w:r>
          </w:p>
        </w:tc>
        <w:tc>
          <w:tcPr>
            <w:tcW w:w="258" w:type="pct"/>
            <w:vMerge w:val="restart"/>
            <w:vAlign w:val="center"/>
          </w:tcPr>
          <w:p>
            <w:pPr>
              <w:spacing w:line="240" w:lineRule="auto"/>
              <w:ind w:firstLine="0" w:firstLineChars="0"/>
              <w:jc w:val="center"/>
              <w:rPr>
                <w:sz w:val="21"/>
                <w:szCs w:val="21"/>
              </w:rPr>
            </w:pPr>
            <w:r>
              <w:rPr>
                <w:sz w:val="21"/>
                <w:szCs w:val="21"/>
              </w:rPr>
              <w:t>二级破碎粉尘</w:t>
            </w:r>
          </w:p>
        </w:tc>
        <w:tc>
          <w:tcPr>
            <w:tcW w:w="258" w:type="pct"/>
            <w:vMerge w:val="restart"/>
            <w:vAlign w:val="center"/>
          </w:tcPr>
          <w:p>
            <w:pPr>
              <w:spacing w:line="240" w:lineRule="auto"/>
              <w:ind w:firstLine="0" w:firstLineChars="0"/>
              <w:jc w:val="center"/>
              <w:rPr>
                <w:sz w:val="21"/>
                <w:szCs w:val="21"/>
              </w:rPr>
            </w:pPr>
            <w:r>
              <w:rPr>
                <w:sz w:val="21"/>
                <w:szCs w:val="21"/>
              </w:rPr>
              <w:t>颗粒物</w:t>
            </w:r>
          </w:p>
        </w:tc>
        <w:tc>
          <w:tcPr>
            <w:tcW w:w="258" w:type="pct"/>
            <w:vMerge w:val="restart"/>
            <w:vAlign w:val="center"/>
          </w:tcPr>
          <w:p>
            <w:pPr>
              <w:spacing w:line="240" w:lineRule="auto"/>
              <w:ind w:firstLine="0" w:firstLineChars="0"/>
              <w:jc w:val="center"/>
              <w:rPr>
                <w:sz w:val="21"/>
                <w:szCs w:val="21"/>
              </w:rPr>
            </w:pPr>
            <w:r>
              <w:rPr>
                <w:sz w:val="21"/>
                <w:szCs w:val="21"/>
              </w:rPr>
              <w:t>产排污系数法</w:t>
            </w:r>
          </w:p>
        </w:tc>
        <w:tc>
          <w:tcPr>
            <w:tcW w:w="260" w:type="pct"/>
            <w:vAlign w:val="center"/>
          </w:tcPr>
          <w:p>
            <w:pPr>
              <w:spacing w:line="240" w:lineRule="auto"/>
              <w:ind w:firstLine="0" w:firstLineChars="0"/>
              <w:jc w:val="center"/>
              <w:rPr>
                <w:sz w:val="21"/>
                <w:szCs w:val="21"/>
              </w:rPr>
            </w:pPr>
            <w:r>
              <w:rPr>
                <w:sz w:val="21"/>
                <w:szCs w:val="21"/>
              </w:rPr>
              <w:t>0.4</w:t>
            </w:r>
          </w:p>
        </w:tc>
        <w:tc>
          <w:tcPr>
            <w:tcW w:w="258" w:type="pct"/>
            <w:vAlign w:val="center"/>
          </w:tcPr>
          <w:p>
            <w:pPr>
              <w:spacing w:line="240" w:lineRule="auto"/>
              <w:ind w:firstLine="0" w:firstLineChars="0"/>
              <w:jc w:val="center"/>
              <w:rPr>
                <w:sz w:val="21"/>
                <w:szCs w:val="21"/>
              </w:rPr>
            </w:pPr>
            <w:r>
              <w:rPr>
                <w:sz w:val="21"/>
                <w:szCs w:val="21"/>
              </w:rPr>
              <w:t>42</w:t>
            </w:r>
          </w:p>
        </w:tc>
        <w:tc>
          <w:tcPr>
            <w:tcW w:w="264" w:type="pct"/>
            <w:vAlign w:val="center"/>
          </w:tcPr>
          <w:p>
            <w:pPr>
              <w:spacing w:line="240" w:lineRule="auto"/>
              <w:ind w:firstLine="0" w:firstLineChars="0"/>
              <w:jc w:val="center"/>
              <w:rPr>
                <w:sz w:val="21"/>
                <w:szCs w:val="21"/>
              </w:rPr>
            </w:pPr>
            <w:r>
              <w:rPr>
                <w:sz w:val="21"/>
                <w:szCs w:val="21"/>
              </w:rPr>
              <w:t>10.5</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Merge w:val="continue"/>
            <w:vAlign w:val="center"/>
          </w:tcPr>
          <w:p>
            <w:pPr>
              <w:spacing w:line="240" w:lineRule="auto"/>
              <w:ind w:firstLine="0" w:firstLineChars="0"/>
              <w:rPr>
                <w:sz w:val="21"/>
                <w:szCs w:val="21"/>
              </w:rPr>
            </w:pPr>
          </w:p>
        </w:tc>
        <w:tc>
          <w:tcPr>
            <w:tcW w:w="262" w:type="pct"/>
            <w:vMerge w:val="continue"/>
            <w:vAlign w:val="center"/>
          </w:tcPr>
          <w:p>
            <w:pPr>
              <w:spacing w:line="240" w:lineRule="auto"/>
              <w:ind w:firstLine="0" w:firstLineChars="0"/>
              <w:jc w:val="center"/>
              <w:rPr>
                <w:sz w:val="21"/>
                <w:szCs w:val="21"/>
              </w:rPr>
            </w:pPr>
          </w:p>
        </w:tc>
        <w:tc>
          <w:tcPr>
            <w:tcW w:w="324" w:type="pct"/>
            <w:vMerge w:val="continue"/>
            <w:vAlign w:val="center"/>
          </w:tcPr>
          <w:p>
            <w:pPr>
              <w:spacing w:line="240" w:lineRule="auto"/>
              <w:ind w:firstLine="0" w:firstLineChars="0"/>
              <w:jc w:val="center"/>
              <w:rPr>
                <w:sz w:val="21"/>
                <w:szCs w:val="21"/>
              </w:rPr>
            </w:pPr>
          </w:p>
        </w:tc>
        <w:tc>
          <w:tcPr>
            <w:tcW w:w="292" w:type="pct"/>
            <w:vMerge w:val="continue"/>
            <w:vAlign w:val="center"/>
          </w:tcPr>
          <w:p>
            <w:pPr>
              <w:spacing w:line="240" w:lineRule="auto"/>
              <w:ind w:firstLine="0" w:firstLineChars="0"/>
              <w:jc w:val="center"/>
              <w:rPr>
                <w:sz w:val="21"/>
                <w:szCs w:val="21"/>
              </w:rPr>
            </w:pPr>
          </w:p>
        </w:tc>
        <w:tc>
          <w:tcPr>
            <w:tcW w:w="260" w:type="pct"/>
            <w:vMerge w:val="continue"/>
            <w:vAlign w:val="center"/>
          </w:tcPr>
          <w:p>
            <w:pPr>
              <w:spacing w:line="240" w:lineRule="auto"/>
              <w:ind w:firstLine="0" w:firstLineChars="0"/>
              <w:jc w:val="center"/>
              <w:rPr>
                <w:sz w:val="21"/>
                <w:szCs w:val="21"/>
              </w:rPr>
            </w:pPr>
          </w:p>
        </w:tc>
        <w:tc>
          <w:tcPr>
            <w:tcW w:w="286" w:type="pct"/>
            <w:vMerge w:val="continue"/>
            <w:vAlign w:val="center"/>
          </w:tcPr>
          <w:p>
            <w:pPr>
              <w:spacing w:line="240" w:lineRule="auto"/>
              <w:ind w:firstLine="0" w:firstLineChars="0"/>
              <w:jc w:val="center"/>
              <w:rPr>
                <w:sz w:val="21"/>
                <w:szCs w:val="21"/>
              </w:rPr>
            </w:pPr>
          </w:p>
        </w:tc>
        <w:tc>
          <w:tcPr>
            <w:tcW w:w="255" w:type="pct"/>
            <w:vMerge w:val="continue"/>
            <w:vAlign w:val="center"/>
          </w:tcPr>
          <w:p>
            <w:pPr>
              <w:spacing w:line="240" w:lineRule="auto"/>
              <w:ind w:firstLine="0" w:firstLineChars="0"/>
              <w:jc w:val="center"/>
              <w:rPr>
                <w:sz w:val="21"/>
                <w:szCs w:val="21"/>
              </w:rPr>
            </w:pPr>
          </w:p>
        </w:tc>
        <w:tc>
          <w:tcPr>
            <w:tcW w:w="286" w:type="pct"/>
            <w:vMerge w:val="continue"/>
            <w:vAlign w:val="center"/>
          </w:tcPr>
          <w:p>
            <w:pPr>
              <w:spacing w:line="240" w:lineRule="auto"/>
              <w:ind w:firstLine="0" w:firstLineChars="0"/>
              <w:jc w:val="center"/>
              <w:rPr>
                <w:sz w:val="21"/>
                <w:szCs w:val="21"/>
              </w:rPr>
            </w:pPr>
          </w:p>
        </w:tc>
        <w:tc>
          <w:tcPr>
            <w:tcW w:w="256" w:type="pct"/>
            <w:vMerge w:val="continue"/>
            <w:vAlign w:val="center"/>
          </w:tcPr>
          <w:p>
            <w:pPr>
              <w:spacing w:line="240" w:lineRule="auto"/>
              <w:ind w:firstLine="0" w:firstLineChars="0"/>
              <w:jc w:val="center"/>
              <w:rPr>
                <w:sz w:val="21"/>
                <w:szCs w:val="21"/>
              </w:rPr>
            </w:pPr>
          </w:p>
        </w:tc>
        <w:tc>
          <w:tcPr>
            <w:tcW w:w="448"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38" w:hRule="atLeast"/>
          <w:jc w:val="center"/>
        </w:trPr>
        <w:tc>
          <w:tcPr>
            <w:tcW w:w="258" w:type="pct"/>
            <w:vMerge w:val="continue"/>
            <w:vAlign w:val="center"/>
          </w:tcPr>
          <w:p>
            <w:pPr>
              <w:spacing w:line="240" w:lineRule="auto"/>
              <w:ind w:firstLine="0" w:firstLineChars="0"/>
              <w:jc w:val="center"/>
              <w:rPr>
                <w:sz w:val="21"/>
                <w:szCs w:val="21"/>
              </w:rPr>
            </w:pPr>
          </w:p>
        </w:tc>
        <w:tc>
          <w:tcPr>
            <w:tcW w:w="258" w:type="pct"/>
            <w:vMerge w:val="continue"/>
            <w:vAlign w:val="center"/>
          </w:tcPr>
          <w:p>
            <w:pPr>
              <w:spacing w:line="240" w:lineRule="auto"/>
              <w:ind w:firstLine="0" w:firstLineChars="0"/>
              <w:jc w:val="center"/>
              <w:rPr>
                <w:sz w:val="21"/>
                <w:szCs w:val="21"/>
              </w:rPr>
            </w:pPr>
          </w:p>
        </w:tc>
        <w:tc>
          <w:tcPr>
            <w:tcW w:w="258" w:type="pct"/>
            <w:vMerge w:val="continue"/>
            <w:vAlign w:val="center"/>
          </w:tcPr>
          <w:p>
            <w:pPr>
              <w:spacing w:line="240" w:lineRule="auto"/>
              <w:ind w:firstLine="0" w:firstLineChars="0"/>
              <w:jc w:val="center"/>
              <w:rPr>
                <w:sz w:val="21"/>
                <w:szCs w:val="21"/>
              </w:rPr>
            </w:pPr>
          </w:p>
        </w:tc>
        <w:tc>
          <w:tcPr>
            <w:tcW w:w="258" w:type="pct"/>
            <w:vMerge w:val="continue"/>
            <w:vAlign w:val="center"/>
          </w:tcPr>
          <w:p>
            <w:pPr>
              <w:spacing w:line="240" w:lineRule="auto"/>
              <w:ind w:firstLine="0" w:firstLineChars="0"/>
              <w:jc w:val="center"/>
              <w:rPr>
                <w:sz w:val="21"/>
                <w:szCs w:val="21"/>
              </w:rPr>
            </w:pPr>
          </w:p>
        </w:tc>
        <w:tc>
          <w:tcPr>
            <w:tcW w:w="260" w:type="pct"/>
            <w:vAlign w:val="center"/>
          </w:tcPr>
          <w:p>
            <w:pPr>
              <w:spacing w:line="240" w:lineRule="auto"/>
              <w:ind w:firstLine="0" w:firstLineChars="0"/>
              <w:jc w:val="center"/>
              <w:rPr>
                <w:sz w:val="21"/>
                <w:szCs w:val="21"/>
              </w:rPr>
            </w:pPr>
            <w:r>
              <w:rPr>
                <w:sz w:val="21"/>
                <w:szCs w:val="21"/>
              </w:rPr>
              <w:t>0.4</w:t>
            </w:r>
          </w:p>
        </w:tc>
        <w:tc>
          <w:tcPr>
            <w:tcW w:w="258" w:type="pct"/>
            <w:vAlign w:val="center"/>
          </w:tcPr>
          <w:p>
            <w:pPr>
              <w:spacing w:line="240" w:lineRule="auto"/>
              <w:ind w:firstLine="0" w:firstLineChars="0"/>
              <w:jc w:val="center"/>
              <w:rPr>
                <w:sz w:val="21"/>
                <w:szCs w:val="21"/>
              </w:rPr>
            </w:pPr>
            <w:r>
              <w:rPr>
                <w:sz w:val="21"/>
                <w:szCs w:val="21"/>
              </w:rPr>
              <w:t>42</w:t>
            </w:r>
          </w:p>
        </w:tc>
        <w:tc>
          <w:tcPr>
            <w:tcW w:w="264" w:type="pct"/>
            <w:vAlign w:val="center"/>
          </w:tcPr>
          <w:p>
            <w:pPr>
              <w:spacing w:line="240" w:lineRule="auto"/>
              <w:ind w:firstLine="0" w:firstLineChars="0"/>
              <w:jc w:val="center"/>
              <w:rPr>
                <w:sz w:val="21"/>
                <w:szCs w:val="21"/>
              </w:rPr>
            </w:pPr>
            <w:r>
              <w:rPr>
                <w:sz w:val="21"/>
                <w:szCs w:val="21"/>
              </w:rPr>
              <w:t>10.5</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Align w:val="center"/>
          </w:tcPr>
          <w:p>
            <w:pPr>
              <w:spacing w:line="240" w:lineRule="auto"/>
              <w:ind w:firstLine="0" w:firstLineChars="0"/>
              <w:rPr>
                <w:sz w:val="21"/>
                <w:szCs w:val="21"/>
              </w:rPr>
            </w:pPr>
            <w:r>
              <w:rPr>
                <w:sz w:val="21"/>
                <w:szCs w:val="21"/>
              </w:rPr>
              <w:t>2#布袋除尘器</w:t>
            </w:r>
          </w:p>
        </w:tc>
        <w:tc>
          <w:tcPr>
            <w:tcW w:w="262" w:type="pct"/>
            <w:vAlign w:val="center"/>
          </w:tcPr>
          <w:p>
            <w:pPr>
              <w:spacing w:line="240" w:lineRule="auto"/>
              <w:ind w:firstLine="0" w:firstLineChars="0"/>
              <w:jc w:val="center"/>
              <w:rPr>
                <w:sz w:val="21"/>
                <w:szCs w:val="21"/>
              </w:rPr>
            </w:pPr>
            <w:r>
              <w:rPr>
                <w:sz w:val="21"/>
                <w:szCs w:val="21"/>
              </w:rPr>
              <w:t>99.5</w:t>
            </w:r>
          </w:p>
        </w:tc>
        <w:tc>
          <w:tcPr>
            <w:tcW w:w="324" w:type="pct"/>
            <w:vAlign w:val="center"/>
          </w:tcPr>
          <w:p>
            <w:pPr>
              <w:spacing w:line="240" w:lineRule="auto"/>
              <w:ind w:firstLine="0" w:firstLineChars="0"/>
              <w:jc w:val="center"/>
              <w:rPr>
                <w:sz w:val="21"/>
                <w:szCs w:val="21"/>
              </w:rPr>
            </w:pPr>
            <w:r>
              <w:rPr>
                <w:sz w:val="21"/>
                <w:szCs w:val="21"/>
              </w:rPr>
              <w:t>5000</w:t>
            </w:r>
          </w:p>
        </w:tc>
        <w:tc>
          <w:tcPr>
            <w:tcW w:w="292" w:type="pct"/>
            <w:vAlign w:val="center"/>
          </w:tcPr>
          <w:p>
            <w:pPr>
              <w:spacing w:line="240" w:lineRule="auto"/>
              <w:ind w:firstLine="0" w:firstLineChars="0"/>
              <w:jc w:val="center"/>
              <w:rPr>
                <w:sz w:val="21"/>
                <w:szCs w:val="21"/>
              </w:rPr>
            </w:pPr>
            <w:r>
              <w:rPr>
                <w:sz w:val="21"/>
                <w:szCs w:val="21"/>
              </w:rPr>
              <w:t>0.210</w:t>
            </w:r>
          </w:p>
        </w:tc>
        <w:tc>
          <w:tcPr>
            <w:tcW w:w="260" w:type="pct"/>
            <w:vAlign w:val="center"/>
          </w:tcPr>
          <w:p>
            <w:pPr>
              <w:spacing w:line="240" w:lineRule="auto"/>
              <w:ind w:firstLine="0" w:firstLineChars="0"/>
              <w:jc w:val="center"/>
              <w:rPr>
                <w:sz w:val="21"/>
                <w:szCs w:val="21"/>
              </w:rPr>
            </w:pPr>
            <w:r>
              <w:rPr>
                <w:sz w:val="21"/>
                <w:szCs w:val="21"/>
              </w:rPr>
              <w:t>0.053</w:t>
            </w:r>
          </w:p>
        </w:tc>
        <w:tc>
          <w:tcPr>
            <w:tcW w:w="286" w:type="pct"/>
            <w:vAlign w:val="center"/>
          </w:tcPr>
          <w:p>
            <w:pPr>
              <w:spacing w:line="240" w:lineRule="auto"/>
              <w:ind w:firstLine="0" w:firstLineChars="0"/>
              <w:jc w:val="center"/>
              <w:rPr>
                <w:sz w:val="21"/>
                <w:szCs w:val="21"/>
              </w:rPr>
            </w:pPr>
            <w:r>
              <w:rPr>
                <w:sz w:val="21"/>
                <w:szCs w:val="21"/>
              </w:rPr>
              <w:t>10.5</w:t>
            </w:r>
          </w:p>
        </w:tc>
        <w:tc>
          <w:tcPr>
            <w:tcW w:w="255" w:type="pct"/>
            <w:vAlign w:val="center"/>
          </w:tcPr>
          <w:p>
            <w:pPr>
              <w:spacing w:line="240" w:lineRule="auto"/>
              <w:ind w:firstLine="0" w:firstLineChars="0"/>
              <w:jc w:val="center"/>
              <w:rPr>
                <w:sz w:val="21"/>
                <w:szCs w:val="21"/>
              </w:rPr>
            </w:pPr>
            <w:r>
              <w:rPr>
                <w:sz w:val="21"/>
                <w:szCs w:val="21"/>
              </w:rPr>
              <w:t>1.5</w:t>
            </w:r>
          </w:p>
        </w:tc>
        <w:tc>
          <w:tcPr>
            <w:tcW w:w="286" w:type="pct"/>
            <w:vAlign w:val="center"/>
          </w:tcPr>
          <w:p>
            <w:pPr>
              <w:spacing w:line="240" w:lineRule="auto"/>
              <w:ind w:firstLine="0" w:firstLineChars="0"/>
              <w:jc w:val="center"/>
              <w:rPr>
                <w:sz w:val="21"/>
                <w:szCs w:val="21"/>
              </w:rPr>
            </w:pPr>
            <w:r>
              <w:rPr>
                <w:sz w:val="21"/>
                <w:szCs w:val="21"/>
              </w:rPr>
              <w:t>100</w:t>
            </w:r>
          </w:p>
        </w:tc>
        <w:tc>
          <w:tcPr>
            <w:tcW w:w="256" w:type="pct"/>
            <w:vAlign w:val="center"/>
          </w:tcPr>
          <w:p>
            <w:pPr>
              <w:spacing w:line="240" w:lineRule="auto"/>
              <w:ind w:firstLine="0" w:firstLineChars="0"/>
              <w:jc w:val="center"/>
              <w:rPr>
                <w:sz w:val="21"/>
                <w:szCs w:val="21"/>
              </w:rPr>
            </w:pPr>
            <w:r>
              <w:rPr>
                <w:sz w:val="21"/>
                <w:szCs w:val="21"/>
              </w:rPr>
              <w:t>4000</w:t>
            </w:r>
          </w:p>
        </w:tc>
        <w:tc>
          <w:tcPr>
            <w:tcW w:w="448" w:type="pct"/>
            <w:vAlign w:val="center"/>
          </w:tcPr>
          <w:p>
            <w:pPr>
              <w:spacing w:line="240" w:lineRule="auto"/>
              <w:ind w:firstLine="0" w:firstLineChars="0"/>
              <w:jc w:val="center"/>
              <w:rPr>
                <w:sz w:val="21"/>
                <w:szCs w:val="21"/>
              </w:rPr>
            </w:pPr>
            <w:r>
              <w:rPr>
                <w:sz w:val="21"/>
                <w:szCs w:val="21"/>
              </w:rPr>
              <w:t>1根15m排气筒（DA002）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8" w:hRule="atLeast"/>
          <w:jc w:val="center"/>
        </w:trPr>
        <w:tc>
          <w:tcPr>
            <w:tcW w:w="258" w:type="pct"/>
            <w:vAlign w:val="center"/>
          </w:tcPr>
          <w:p>
            <w:pPr>
              <w:spacing w:line="240" w:lineRule="auto"/>
              <w:ind w:firstLine="0" w:firstLineChars="0"/>
              <w:jc w:val="center"/>
              <w:rPr>
                <w:sz w:val="21"/>
                <w:szCs w:val="21"/>
              </w:rPr>
            </w:pPr>
            <w:r>
              <w:rPr>
                <w:sz w:val="21"/>
                <w:szCs w:val="21"/>
              </w:rPr>
              <w:t>筛分2台</w:t>
            </w:r>
          </w:p>
        </w:tc>
        <w:tc>
          <w:tcPr>
            <w:tcW w:w="258" w:type="pct"/>
            <w:vAlign w:val="center"/>
          </w:tcPr>
          <w:p>
            <w:pPr>
              <w:spacing w:line="240" w:lineRule="auto"/>
              <w:ind w:firstLine="0" w:firstLineChars="0"/>
              <w:jc w:val="center"/>
              <w:rPr>
                <w:sz w:val="21"/>
                <w:szCs w:val="21"/>
              </w:rPr>
            </w:pPr>
            <w:r>
              <w:rPr>
                <w:sz w:val="21"/>
                <w:szCs w:val="21"/>
              </w:rPr>
              <w:t>筛分粉尘</w:t>
            </w:r>
          </w:p>
        </w:tc>
        <w:tc>
          <w:tcPr>
            <w:tcW w:w="258" w:type="pct"/>
            <w:vAlign w:val="center"/>
          </w:tcPr>
          <w:p>
            <w:pPr>
              <w:spacing w:line="240" w:lineRule="auto"/>
              <w:ind w:firstLine="0" w:firstLineChars="0"/>
              <w:jc w:val="center"/>
              <w:rPr>
                <w:sz w:val="21"/>
                <w:szCs w:val="21"/>
              </w:rPr>
            </w:pPr>
            <w:r>
              <w:rPr>
                <w:sz w:val="21"/>
                <w:szCs w:val="21"/>
              </w:rPr>
              <w:t>颗粒物</w:t>
            </w:r>
          </w:p>
        </w:tc>
        <w:tc>
          <w:tcPr>
            <w:tcW w:w="258" w:type="pct"/>
            <w:vAlign w:val="center"/>
          </w:tcPr>
          <w:p>
            <w:pPr>
              <w:spacing w:line="240" w:lineRule="auto"/>
              <w:ind w:firstLine="0" w:firstLineChars="0"/>
              <w:jc w:val="center"/>
              <w:rPr>
                <w:sz w:val="21"/>
                <w:szCs w:val="21"/>
              </w:rPr>
            </w:pPr>
            <w:r>
              <w:rPr>
                <w:sz w:val="21"/>
                <w:szCs w:val="21"/>
              </w:rPr>
              <w:t>产排污系数法</w:t>
            </w:r>
          </w:p>
        </w:tc>
        <w:tc>
          <w:tcPr>
            <w:tcW w:w="260" w:type="pct"/>
            <w:vAlign w:val="center"/>
          </w:tcPr>
          <w:p>
            <w:pPr>
              <w:spacing w:line="240" w:lineRule="auto"/>
              <w:ind w:firstLine="0" w:firstLineChars="0"/>
              <w:jc w:val="center"/>
              <w:rPr>
                <w:sz w:val="21"/>
                <w:szCs w:val="21"/>
              </w:rPr>
            </w:pPr>
            <w:r>
              <w:rPr>
                <w:sz w:val="21"/>
                <w:szCs w:val="21"/>
              </w:rPr>
              <w:t>0.35</w:t>
            </w:r>
          </w:p>
        </w:tc>
        <w:tc>
          <w:tcPr>
            <w:tcW w:w="258" w:type="pct"/>
            <w:vAlign w:val="center"/>
          </w:tcPr>
          <w:p>
            <w:pPr>
              <w:spacing w:line="240" w:lineRule="auto"/>
              <w:ind w:firstLine="0" w:firstLineChars="0"/>
              <w:jc w:val="center"/>
              <w:rPr>
                <w:sz w:val="21"/>
                <w:szCs w:val="21"/>
              </w:rPr>
            </w:pPr>
            <w:r>
              <w:rPr>
                <w:sz w:val="21"/>
                <w:szCs w:val="21"/>
              </w:rPr>
              <w:t>73.5</w:t>
            </w:r>
          </w:p>
        </w:tc>
        <w:tc>
          <w:tcPr>
            <w:tcW w:w="264" w:type="pct"/>
            <w:vAlign w:val="center"/>
          </w:tcPr>
          <w:p>
            <w:pPr>
              <w:spacing w:line="240" w:lineRule="auto"/>
              <w:ind w:firstLine="0" w:firstLineChars="0"/>
              <w:jc w:val="center"/>
              <w:rPr>
                <w:sz w:val="21"/>
                <w:szCs w:val="21"/>
              </w:rPr>
            </w:pPr>
            <w:r>
              <w:rPr>
                <w:sz w:val="21"/>
                <w:szCs w:val="21"/>
              </w:rPr>
              <w:t>18.38</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Align w:val="center"/>
          </w:tcPr>
          <w:p>
            <w:pPr>
              <w:spacing w:line="240" w:lineRule="auto"/>
              <w:ind w:firstLine="0" w:firstLineChars="0"/>
              <w:jc w:val="center"/>
              <w:rPr>
                <w:sz w:val="21"/>
                <w:szCs w:val="21"/>
              </w:rPr>
            </w:pPr>
            <w:r>
              <w:rPr>
                <w:sz w:val="21"/>
                <w:szCs w:val="21"/>
              </w:rPr>
              <w:t>3#布袋除尘器</w:t>
            </w:r>
          </w:p>
        </w:tc>
        <w:tc>
          <w:tcPr>
            <w:tcW w:w="262" w:type="pct"/>
            <w:vAlign w:val="center"/>
          </w:tcPr>
          <w:p>
            <w:pPr>
              <w:spacing w:line="240" w:lineRule="auto"/>
              <w:ind w:firstLine="0" w:firstLineChars="0"/>
              <w:jc w:val="center"/>
              <w:rPr>
                <w:sz w:val="21"/>
                <w:szCs w:val="21"/>
              </w:rPr>
            </w:pPr>
            <w:r>
              <w:rPr>
                <w:sz w:val="21"/>
                <w:szCs w:val="21"/>
              </w:rPr>
              <w:t>99.5</w:t>
            </w:r>
          </w:p>
        </w:tc>
        <w:tc>
          <w:tcPr>
            <w:tcW w:w="324" w:type="pct"/>
            <w:vAlign w:val="center"/>
          </w:tcPr>
          <w:p>
            <w:pPr>
              <w:spacing w:line="240" w:lineRule="auto"/>
              <w:ind w:firstLine="0" w:firstLineChars="0"/>
              <w:jc w:val="center"/>
              <w:rPr>
                <w:sz w:val="21"/>
                <w:szCs w:val="21"/>
              </w:rPr>
            </w:pPr>
            <w:r>
              <w:rPr>
                <w:sz w:val="21"/>
                <w:szCs w:val="21"/>
              </w:rPr>
              <w:t>25000</w:t>
            </w:r>
          </w:p>
        </w:tc>
        <w:tc>
          <w:tcPr>
            <w:tcW w:w="292" w:type="pct"/>
            <w:vAlign w:val="center"/>
          </w:tcPr>
          <w:p>
            <w:pPr>
              <w:spacing w:line="240" w:lineRule="auto"/>
              <w:ind w:firstLine="0" w:firstLineChars="0"/>
              <w:jc w:val="center"/>
              <w:rPr>
                <w:sz w:val="21"/>
                <w:szCs w:val="21"/>
              </w:rPr>
            </w:pPr>
            <w:r>
              <w:rPr>
                <w:sz w:val="21"/>
                <w:szCs w:val="21"/>
              </w:rPr>
              <w:t>0.368</w:t>
            </w:r>
          </w:p>
        </w:tc>
        <w:tc>
          <w:tcPr>
            <w:tcW w:w="260" w:type="pct"/>
            <w:vAlign w:val="center"/>
          </w:tcPr>
          <w:p>
            <w:pPr>
              <w:spacing w:line="240" w:lineRule="auto"/>
              <w:ind w:firstLine="0" w:firstLineChars="0"/>
              <w:jc w:val="center"/>
              <w:rPr>
                <w:sz w:val="21"/>
                <w:szCs w:val="21"/>
              </w:rPr>
            </w:pPr>
            <w:r>
              <w:rPr>
                <w:sz w:val="21"/>
                <w:szCs w:val="21"/>
              </w:rPr>
              <w:t>0.092</w:t>
            </w:r>
          </w:p>
        </w:tc>
        <w:tc>
          <w:tcPr>
            <w:tcW w:w="286" w:type="pct"/>
            <w:vAlign w:val="center"/>
          </w:tcPr>
          <w:p>
            <w:pPr>
              <w:spacing w:line="240" w:lineRule="auto"/>
              <w:ind w:firstLine="0" w:firstLineChars="0"/>
              <w:jc w:val="center"/>
              <w:rPr>
                <w:sz w:val="21"/>
                <w:szCs w:val="21"/>
              </w:rPr>
            </w:pPr>
            <w:r>
              <w:rPr>
                <w:sz w:val="21"/>
                <w:szCs w:val="21"/>
              </w:rPr>
              <w:t>3.68</w:t>
            </w:r>
          </w:p>
        </w:tc>
        <w:tc>
          <w:tcPr>
            <w:tcW w:w="255" w:type="pct"/>
            <w:vAlign w:val="center"/>
          </w:tcPr>
          <w:p>
            <w:pPr>
              <w:spacing w:line="240" w:lineRule="auto"/>
              <w:ind w:firstLine="0" w:firstLineChars="0"/>
              <w:jc w:val="center"/>
              <w:rPr>
                <w:sz w:val="21"/>
                <w:szCs w:val="21"/>
              </w:rPr>
            </w:pPr>
            <w:r>
              <w:rPr>
                <w:sz w:val="21"/>
                <w:szCs w:val="21"/>
              </w:rPr>
              <w:t>1.5</w:t>
            </w:r>
          </w:p>
        </w:tc>
        <w:tc>
          <w:tcPr>
            <w:tcW w:w="286" w:type="pct"/>
            <w:vAlign w:val="center"/>
          </w:tcPr>
          <w:p>
            <w:pPr>
              <w:spacing w:line="240" w:lineRule="auto"/>
              <w:ind w:firstLine="0" w:firstLineChars="0"/>
              <w:jc w:val="center"/>
              <w:rPr>
                <w:sz w:val="21"/>
                <w:szCs w:val="21"/>
              </w:rPr>
            </w:pPr>
            <w:r>
              <w:rPr>
                <w:sz w:val="21"/>
                <w:szCs w:val="21"/>
              </w:rPr>
              <w:t>100</w:t>
            </w:r>
          </w:p>
        </w:tc>
        <w:tc>
          <w:tcPr>
            <w:tcW w:w="256" w:type="pct"/>
            <w:vAlign w:val="center"/>
          </w:tcPr>
          <w:p>
            <w:pPr>
              <w:spacing w:line="240" w:lineRule="auto"/>
              <w:ind w:firstLine="0" w:firstLineChars="0"/>
              <w:jc w:val="center"/>
              <w:rPr>
                <w:sz w:val="21"/>
                <w:szCs w:val="21"/>
              </w:rPr>
            </w:pPr>
            <w:r>
              <w:rPr>
                <w:sz w:val="21"/>
                <w:szCs w:val="21"/>
              </w:rPr>
              <w:t>4000</w:t>
            </w:r>
          </w:p>
        </w:tc>
        <w:tc>
          <w:tcPr>
            <w:tcW w:w="448" w:type="pct"/>
            <w:vAlign w:val="center"/>
          </w:tcPr>
          <w:p>
            <w:pPr>
              <w:spacing w:line="240" w:lineRule="auto"/>
              <w:ind w:firstLine="0" w:firstLineChars="0"/>
              <w:jc w:val="center"/>
              <w:rPr>
                <w:sz w:val="21"/>
                <w:szCs w:val="21"/>
              </w:rPr>
            </w:pPr>
            <w:r>
              <w:rPr>
                <w:sz w:val="21"/>
                <w:szCs w:val="21"/>
              </w:rPr>
              <w:t>1根15m排气筒（DA003）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8" w:type="pct"/>
            <w:vAlign w:val="center"/>
          </w:tcPr>
          <w:p>
            <w:pPr>
              <w:spacing w:line="240" w:lineRule="auto"/>
              <w:ind w:firstLine="0" w:firstLineChars="0"/>
              <w:jc w:val="center"/>
              <w:rPr>
                <w:sz w:val="21"/>
                <w:szCs w:val="21"/>
              </w:rPr>
            </w:pPr>
            <w:r>
              <w:rPr>
                <w:sz w:val="21"/>
                <w:szCs w:val="21"/>
              </w:rPr>
              <w:t>堆场</w:t>
            </w:r>
          </w:p>
        </w:tc>
        <w:tc>
          <w:tcPr>
            <w:tcW w:w="258" w:type="pct"/>
            <w:vAlign w:val="center"/>
          </w:tcPr>
          <w:p>
            <w:pPr>
              <w:spacing w:line="240" w:lineRule="auto"/>
              <w:ind w:firstLine="0" w:firstLineChars="0"/>
              <w:jc w:val="center"/>
              <w:rPr>
                <w:sz w:val="21"/>
                <w:szCs w:val="21"/>
              </w:rPr>
            </w:pPr>
            <w:r>
              <w:rPr>
                <w:sz w:val="21"/>
                <w:szCs w:val="21"/>
              </w:rPr>
              <w:t>堆场粉尘</w:t>
            </w:r>
          </w:p>
        </w:tc>
        <w:tc>
          <w:tcPr>
            <w:tcW w:w="258" w:type="pct"/>
            <w:vAlign w:val="center"/>
          </w:tcPr>
          <w:p>
            <w:pPr>
              <w:spacing w:line="240" w:lineRule="auto"/>
              <w:ind w:firstLine="0" w:firstLineChars="0"/>
              <w:jc w:val="center"/>
              <w:rPr>
                <w:sz w:val="21"/>
                <w:szCs w:val="21"/>
              </w:rPr>
            </w:pPr>
            <w:r>
              <w:rPr>
                <w:sz w:val="21"/>
                <w:szCs w:val="21"/>
              </w:rPr>
              <w:t>颗粒物</w:t>
            </w:r>
          </w:p>
        </w:tc>
        <w:tc>
          <w:tcPr>
            <w:tcW w:w="258" w:type="pct"/>
            <w:vAlign w:val="center"/>
          </w:tcPr>
          <w:p>
            <w:pPr>
              <w:spacing w:line="240" w:lineRule="auto"/>
              <w:ind w:firstLine="0" w:firstLineChars="0"/>
              <w:jc w:val="center"/>
              <w:rPr>
                <w:sz w:val="21"/>
                <w:szCs w:val="21"/>
              </w:rPr>
            </w:pPr>
            <w:r>
              <w:rPr>
                <w:sz w:val="21"/>
                <w:szCs w:val="21"/>
              </w:rPr>
              <w:t>产排物系数法</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Align w:val="center"/>
          </w:tcPr>
          <w:p>
            <w:pPr>
              <w:spacing w:line="240" w:lineRule="auto"/>
              <w:ind w:firstLine="0" w:firstLineChars="0"/>
              <w:jc w:val="center"/>
              <w:rPr>
                <w:sz w:val="21"/>
                <w:szCs w:val="21"/>
              </w:rPr>
            </w:pPr>
            <w:r>
              <w:rPr>
                <w:sz w:val="21"/>
                <w:szCs w:val="21"/>
              </w:rPr>
              <w:t>7.63</w:t>
            </w:r>
          </w:p>
        </w:tc>
        <w:tc>
          <w:tcPr>
            <w:tcW w:w="264" w:type="pct"/>
            <w:vAlign w:val="center"/>
          </w:tcPr>
          <w:p>
            <w:pPr>
              <w:spacing w:line="240" w:lineRule="auto"/>
              <w:ind w:firstLine="0" w:firstLineChars="0"/>
              <w:jc w:val="center"/>
              <w:rPr>
                <w:sz w:val="21"/>
                <w:szCs w:val="21"/>
              </w:rPr>
            </w:pPr>
            <w:r>
              <w:rPr>
                <w:sz w:val="21"/>
                <w:szCs w:val="21"/>
              </w:rPr>
              <w:t>/</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Align w:val="center"/>
          </w:tcPr>
          <w:p>
            <w:pPr>
              <w:spacing w:line="240" w:lineRule="auto"/>
              <w:ind w:firstLine="0" w:firstLineChars="0"/>
              <w:jc w:val="center"/>
              <w:rPr>
                <w:sz w:val="21"/>
                <w:szCs w:val="21"/>
              </w:rPr>
            </w:pPr>
            <w:r>
              <w:rPr>
                <w:sz w:val="21"/>
                <w:szCs w:val="21"/>
              </w:rPr>
              <w:t>洒水降尘</w:t>
            </w:r>
          </w:p>
        </w:tc>
        <w:tc>
          <w:tcPr>
            <w:tcW w:w="262" w:type="pct"/>
            <w:vAlign w:val="center"/>
          </w:tcPr>
          <w:p>
            <w:pPr>
              <w:spacing w:line="240" w:lineRule="auto"/>
              <w:ind w:firstLine="0" w:firstLineChars="0"/>
              <w:jc w:val="center"/>
              <w:rPr>
                <w:sz w:val="21"/>
                <w:szCs w:val="21"/>
              </w:rPr>
            </w:pPr>
            <w:r>
              <w:rPr>
                <w:sz w:val="21"/>
                <w:szCs w:val="21"/>
              </w:rPr>
              <w:t>95</w:t>
            </w:r>
          </w:p>
        </w:tc>
        <w:tc>
          <w:tcPr>
            <w:tcW w:w="324"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0.382</w:t>
            </w:r>
          </w:p>
        </w:tc>
        <w:tc>
          <w:tcPr>
            <w:tcW w:w="260" w:type="pct"/>
            <w:vAlign w:val="center"/>
          </w:tcPr>
          <w:p>
            <w:pPr>
              <w:spacing w:line="240" w:lineRule="auto"/>
              <w:ind w:firstLine="0" w:firstLineChars="0"/>
              <w:jc w:val="center"/>
              <w:rPr>
                <w:sz w:val="21"/>
                <w:szCs w:val="21"/>
              </w:rPr>
            </w:pPr>
            <w:r>
              <w:rPr>
                <w:sz w:val="21"/>
                <w:szCs w:val="21"/>
              </w:rPr>
              <w:t>0.095</w:t>
            </w:r>
          </w:p>
        </w:tc>
        <w:tc>
          <w:tcPr>
            <w:tcW w:w="286" w:type="pct"/>
            <w:vAlign w:val="center"/>
          </w:tcPr>
          <w:p>
            <w:pPr>
              <w:spacing w:line="240" w:lineRule="auto"/>
              <w:ind w:firstLine="0" w:firstLineChars="0"/>
              <w:jc w:val="center"/>
              <w:rPr>
                <w:sz w:val="21"/>
                <w:szCs w:val="21"/>
              </w:rPr>
            </w:pPr>
            <w:r>
              <w:rPr>
                <w:sz w:val="21"/>
                <w:szCs w:val="21"/>
              </w:rPr>
              <w:t>/</w:t>
            </w:r>
          </w:p>
        </w:tc>
        <w:tc>
          <w:tcPr>
            <w:tcW w:w="255" w:type="pct"/>
            <w:vAlign w:val="center"/>
          </w:tcPr>
          <w:p>
            <w:pPr>
              <w:spacing w:line="240" w:lineRule="auto"/>
              <w:ind w:firstLine="0" w:firstLineChars="0"/>
              <w:jc w:val="center"/>
              <w:rPr>
                <w:sz w:val="21"/>
                <w:szCs w:val="21"/>
              </w:rPr>
            </w:pPr>
            <w:r>
              <w:rPr>
                <w:sz w:val="21"/>
                <w:szCs w:val="21"/>
              </w:rPr>
              <w:t>/</w:t>
            </w:r>
          </w:p>
        </w:tc>
        <w:tc>
          <w:tcPr>
            <w:tcW w:w="286" w:type="pct"/>
            <w:vAlign w:val="center"/>
          </w:tcPr>
          <w:p>
            <w:pPr>
              <w:spacing w:line="240" w:lineRule="auto"/>
              <w:ind w:firstLine="0" w:firstLineChars="0"/>
              <w:jc w:val="center"/>
              <w:rPr>
                <w:sz w:val="21"/>
                <w:szCs w:val="21"/>
              </w:rPr>
            </w:pPr>
            <w:r>
              <w:rPr>
                <w:sz w:val="21"/>
                <w:szCs w:val="21"/>
              </w:rPr>
              <w:t>1.0</w:t>
            </w:r>
          </w:p>
        </w:tc>
        <w:tc>
          <w:tcPr>
            <w:tcW w:w="256" w:type="pct"/>
            <w:vAlign w:val="center"/>
          </w:tcPr>
          <w:p>
            <w:pPr>
              <w:spacing w:line="240" w:lineRule="auto"/>
              <w:ind w:firstLine="0" w:firstLineChars="0"/>
              <w:jc w:val="center"/>
              <w:rPr>
                <w:sz w:val="21"/>
                <w:szCs w:val="21"/>
              </w:rPr>
            </w:pPr>
            <w:r>
              <w:rPr>
                <w:sz w:val="21"/>
                <w:szCs w:val="21"/>
              </w:rPr>
              <w:t>4000</w:t>
            </w:r>
          </w:p>
        </w:tc>
        <w:tc>
          <w:tcPr>
            <w:tcW w:w="448" w:type="pct"/>
            <w:vAlign w:val="center"/>
          </w:tcPr>
          <w:p>
            <w:pPr>
              <w:spacing w:line="240" w:lineRule="auto"/>
              <w:ind w:firstLine="0" w:firstLineChars="0"/>
              <w:jc w:val="center"/>
              <w:rPr>
                <w:sz w:val="21"/>
                <w:szCs w:val="21"/>
              </w:rPr>
            </w:pPr>
            <w:r>
              <w:rPr>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8" w:type="pct"/>
            <w:vAlign w:val="center"/>
          </w:tcPr>
          <w:p>
            <w:pPr>
              <w:spacing w:line="240" w:lineRule="auto"/>
              <w:ind w:firstLine="0" w:firstLineChars="0"/>
              <w:jc w:val="center"/>
              <w:rPr>
                <w:sz w:val="21"/>
                <w:szCs w:val="21"/>
              </w:rPr>
            </w:pPr>
            <w:r>
              <w:rPr>
                <w:sz w:val="21"/>
                <w:szCs w:val="21"/>
              </w:rPr>
              <w:t>转运</w:t>
            </w:r>
          </w:p>
        </w:tc>
        <w:tc>
          <w:tcPr>
            <w:tcW w:w="258" w:type="pct"/>
            <w:vAlign w:val="center"/>
          </w:tcPr>
          <w:p>
            <w:pPr>
              <w:spacing w:line="240" w:lineRule="auto"/>
              <w:ind w:firstLine="0" w:firstLineChars="0"/>
              <w:jc w:val="center"/>
              <w:rPr>
                <w:sz w:val="21"/>
                <w:szCs w:val="21"/>
              </w:rPr>
            </w:pPr>
            <w:r>
              <w:rPr>
                <w:sz w:val="21"/>
                <w:szCs w:val="21"/>
              </w:rPr>
              <w:t>转运粉尘</w:t>
            </w:r>
          </w:p>
        </w:tc>
        <w:tc>
          <w:tcPr>
            <w:tcW w:w="258" w:type="pct"/>
            <w:vAlign w:val="center"/>
          </w:tcPr>
          <w:p>
            <w:pPr>
              <w:spacing w:line="240" w:lineRule="auto"/>
              <w:ind w:firstLine="0" w:firstLineChars="0"/>
              <w:jc w:val="center"/>
              <w:rPr>
                <w:sz w:val="21"/>
                <w:szCs w:val="21"/>
              </w:rPr>
            </w:pPr>
            <w:r>
              <w:rPr>
                <w:sz w:val="21"/>
                <w:szCs w:val="21"/>
              </w:rPr>
              <w:t>颗粒物</w:t>
            </w:r>
          </w:p>
        </w:tc>
        <w:tc>
          <w:tcPr>
            <w:tcW w:w="258" w:type="pct"/>
            <w:vAlign w:val="center"/>
          </w:tcPr>
          <w:p>
            <w:pPr>
              <w:spacing w:line="240" w:lineRule="auto"/>
              <w:ind w:firstLine="0" w:firstLineChars="0"/>
              <w:jc w:val="center"/>
              <w:rPr>
                <w:sz w:val="21"/>
                <w:szCs w:val="21"/>
              </w:rPr>
            </w:pPr>
            <w:r>
              <w:rPr>
                <w:sz w:val="21"/>
                <w:szCs w:val="21"/>
              </w:rPr>
              <w:t>/</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Align w:val="center"/>
          </w:tcPr>
          <w:p>
            <w:pPr>
              <w:spacing w:line="240" w:lineRule="auto"/>
              <w:ind w:firstLine="0" w:firstLineChars="0"/>
              <w:jc w:val="center"/>
              <w:rPr>
                <w:sz w:val="21"/>
                <w:szCs w:val="21"/>
              </w:rPr>
            </w:pPr>
            <w:r>
              <w:rPr>
                <w:sz w:val="21"/>
                <w:szCs w:val="21"/>
              </w:rPr>
              <w:t>少量</w:t>
            </w:r>
          </w:p>
        </w:tc>
        <w:tc>
          <w:tcPr>
            <w:tcW w:w="264" w:type="pct"/>
            <w:vAlign w:val="center"/>
          </w:tcPr>
          <w:p>
            <w:pPr>
              <w:spacing w:line="240" w:lineRule="auto"/>
              <w:ind w:firstLine="0" w:firstLineChars="0"/>
              <w:jc w:val="center"/>
              <w:rPr>
                <w:sz w:val="21"/>
                <w:szCs w:val="21"/>
              </w:rPr>
            </w:pPr>
            <w:r>
              <w:rPr>
                <w:sz w:val="21"/>
                <w:szCs w:val="21"/>
              </w:rPr>
              <w:t>/</w:t>
            </w:r>
          </w:p>
        </w:tc>
        <w:tc>
          <w:tcPr>
            <w:tcW w:w="260" w:type="pct"/>
            <w:vAlign w:val="center"/>
          </w:tcPr>
          <w:p>
            <w:pPr>
              <w:spacing w:line="240" w:lineRule="auto"/>
              <w:ind w:firstLine="0" w:firstLineChars="0"/>
              <w:jc w:val="center"/>
              <w:rPr>
                <w:sz w:val="21"/>
                <w:szCs w:val="21"/>
              </w:rPr>
            </w:pPr>
            <w:r>
              <w:rPr>
                <w:sz w:val="21"/>
                <w:szCs w:val="21"/>
              </w:rPr>
              <w:t>/</w:t>
            </w:r>
          </w:p>
        </w:tc>
        <w:tc>
          <w:tcPr>
            <w:tcW w:w="258" w:type="pct"/>
            <w:vAlign w:val="center"/>
          </w:tcPr>
          <w:p>
            <w:pPr>
              <w:spacing w:line="240" w:lineRule="auto"/>
              <w:ind w:firstLine="0" w:firstLineChars="0"/>
              <w:jc w:val="center"/>
              <w:rPr>
                <w:sz w:val="21"/>
                <w:szCs w:val="21"/>
              </w:rPr>
            </w:pPr>
            <w:r>
              <w:rPr>
                <w:sz w:val="21"/>
                <w:szCs w:val="21"/>
              </w:rPr>
              <w:t>/</w:t>
            </w:r>
          </w:p>
        </w:tc>
        <w:tc>
          <w:tcPr>
            <w:tcW w:w="262" w:type="pct"/>
            <w:vAlign w:val="center"/>
          </w:tcPr>
          <w:p>
            <w:pPr>
              <w:spacing w:line="240" w:lineRule="auto"/>
              <w:ind w:firstLine="0" w:firstLineChars="0"/>
              <w:jc w:val="center"/>
              <w:rPr>
                <w:sz w:val="21"/>
                <w:szCs w:val="21"/>
              </w:rPr>
            </w:pPr>
            <w:r>
              <w:rPr>
                <w:sz w:val="21"/>
                <w:szCs w:val="21"/>
              </w:rPr>
              <w:t>/</w:t>
            </w:r>
          </w:p>
        </w:tc>
        <w:tc>
          <w:tcPr>
            <w:tcW w:w="324" w:type="pct"/>
            <w:vAlign w:val="center"/>
          </w:tcPr>
          <w:p>
            <w:pPr>
              <w:spacing w:line="240" w:lineRule="auto"/>
              <w:ind w:firstLine="0" w:firstLineChars="0"/>
              <w:jc w:val="center"/>
              <w:rPr>
                <w:sz w:val="21"/>
                <w:szCs w:val="21"/>
              </w:rPr>
            </w:pPr>
            <w:r>
              <w:rPr>
                <w:sz w:val="21"/>
                <w:szCs w:val="21"/>
              </w:rPr>
              <w:t>/</w:t>
            </w:r>
          </w:p>
        </w:tc>
        <w:tc>
          <w:tcPr>
            <w:tcW w:w="292" w:type="pct"/>
            <w:vAlign w:val="center"/>
          </w:tcPr>
          <w:p>
            <w:pPr>
              <w:spacing w:line="240" w:lineRule="auto"/>
              <w:ind w:firstLine="0" w:firstLineChars="0"/>
              <w:jc w:val="center"/>
              <w:rPr>
                <w:sz w:val="21"/>
                <w:szCs w:val="21"/>
              </w:rPr>
            </w:pPr>
            <w:r>
              <w:rPr>
                <w:sz w:val="21"/>
                <w:szCs w:val="21"/>
              </w:rPr>
              <w:t>少量</w:t>
            </w:r>
          </w:p>
        </w:tc>
        <w:tc>
          <w:tcPr>
            <w:tcW w:w="260" w:type="pct"/>
            <w:vAlign w:val="center"/>
          </w:tcPr>
          <w:p>
            <w:pPr>
              <w:spacing w:line="240" w:lineRule="auto"/>
              <w:ind w:firstLine="0" w:firstLineChars="0"/>
              <w:jc w:val="center"/>
              <w:rPr>
                <w:sz w:val="21"/>
                <w:szCs w:val="21"/>
              </w:rPr>
            </w:pPr>
            <w:r>
              <w:rPr>
                <w:sz w:val="21"/>
                <w:szCs w:val="21"/>
              </w:rPr>
              <w:t>/</w:t>
            </w:r>
          </w:p>
        </w:tc>
        <w:tc>
          <w:tcPr>
            <w:tcW w:w="286" w:type="pct"/>
            <w:vAlign w:val="center"/>
          </w:tcPr>
          <w:p>
            <w:pPr>
              <w:spacing w:line="240" w:lineRule="auto"/>
              <w:ind w:firstLine="0" w:firstLineChars="0"/>
              <w:jc w:val="center"/>
              <w:rPr>
                <w:sz w:val="21"/>
                <w:szCs w:val="21"/>
              </w:rPr>
            </w:pPr>
            <w:r>
              <w:rPr>
                <w:sz w:val="21"/>
                <w:szCs w:val="21"/>
              </w:rPr>
              <w:t>/</w:t>
            </w:r>
          </w:p>
        </w:tc>
        <w:tc>
          <w:tcPr>
            <w:tcW w:w="255" w:type="pct"/>
            <w:vAlign w:val="center"/>
          </w:tcPr>
          <w:p>
            <w:pPr>
              <w:spacing w:line="240" w:lineRule="auto"/>
              <w:ind w:firstLine="0" w:firstLineChars="0"/>
              <w:jc w:val="center"/>
              <w:rPr>
                <w:sz w:val="21"/>
                <w:szCs w:val="21"/>
              </w:rPr>
            </w:pPr>
            <w:r>
              <w:rPr>
                <w:sz w:val="21"/>
                <w:szCs w:val="21"/>
              </w:rPr>
              <w:t>/</w:t>
            </w:r>
          </w:p>
        </w:tc>
        <w:tc>
          <w:tcPr>
            <w:tcW w:w="286" w:type="pct"/>
            <w:vAlign w:val="center"/>
          </w:tcPr>
          <w:p>
            <w:pPr>
              <w:spacing w:line="240" w:lineRule="auto"/>
              <w:ind w:firstLine="0" w:firstLineChars="0"/>
              <w:jc w:val="center"/>
              <w:rPr>
                <w:sz w:val="21"/>
                <w:szCs w:val="21"/>
              </w:rPr>
            </w:pPr>
            <w:r>
              <w:rPr>
                <w:sz w:val="21"/>
                <w:szCs w:val="21"/>
              </w:rPr>
              <w:t>/</w:t>
            </w:r>
          </w:p>
        </w:tc>
        <w:tc>
          <w:tcPr>
            <w:tcW w:w="256" w:type="pct"/>
            <w:vAlign w:val="center"/>
          </w:tcPr>
          <w:p>
            <w:pPr>
              <w:spacing w:line="240" w:lineRule="auto"/>
              <w:ind w:firstLine="0" w:firstLineChars="0"/>
              <w:jc w:val="center"/>
              <w:rPr>
                <w:sz w:val="21"/>
                <w:szCs w:val="21"/>
              </w:rPr>
            </w:pPr>
            <w:r>
              <w:rPr>
                <w:sz w:val="21"/>
                <w:szCs w:val="21"/>
              </w:rPr>
              <w:t>4000</w:t>
            </w:r>
          </w:p>
        </w:tc>
        <w:tc>
          <w:tcPr>
            <w:tcW w:w="448" w:type="pct"/>
            <w:vAlign w:val="center"/>
          </w:tcPr>
          <w:p>
            <w:pPr>
              <w:spacing w:line="240" w:lineRule="auto"/>
              <w:ind w:firstLine="0" w:firstLineChars="0"/>
              <w:jc w:val="center"/>
              <w:rPr>
                <w:sz w:val="21"/>
                <w:szCs w:val="21"/>
              </w:rPr>
            </w:pPr>
            <w:r>
              <w:rPr>
                <w:sz w:val="21"/>
                <w:szCs w:val="21"/>
              </w:rPr>
              <w:t>无组织</w:t>
            </w:r>
          </w:p>
        </w:tc>
      </w:tr>
    </w:tbl>
    <w:p>
      <w:pPr>
        <w:ind w:firstLine="520"/>
      </w:pPr>
    </w:p>
    <w:p>
      <w:pPr>
        <w:tabs>
          <w:tab w:val="left" w:pos="1530"/>
        </w:tabs>
        <w:ind w:firstLine="520"/>
      </w:pPr>
    </w:p>
    <w:p>
      <w:pPr>
        <w:tabs>
          <w:tab w:val="left" w:pos="1530"/>
        </w:tabs>
        <w:ind w:firstLine="520"/>
      </w:pPr>
    </w:p>
    <w:p>
      <w:pPr>
        <w:tabs>
          <w:tab w:val="left" w:pos="1530"/>
        </w:tabs>
        <w:ind w:firstLine="520"/>
        <w:sectPr>
          <w:pgSz w:w="16840" w:h="11907" w:orient="landscape"/>
          <w:pgMar w:top="1588" w:right="1418" w:bottom="1588" w:left="1418" w:header="1134" w:footer="1134" w:gutter="0"/>
          <w:cols w:space="425" w:num="1"/>
          <w:docGrid w:linePitch="354" w:charSpace="0"/>
        </w:sectPr>
      </w:pPr>
    </w:p>
    <w:p>
      <w:pPr>
        <w:pStyle w:val="6"/>
        <w:numPr>
          <w:ilvl w:val="3"/>
          <w:numId w:val="0"/>
        </w:numPr>
      </w:pPr>
      <w:r>
        <w:t>3.3.3.2废水</w:t>
      </w:r>
    </w:p>
    <w:p>
      <w:pPr>
        <w:pStyle w:val="222"/>
      </w:pPr>
      <w:r>
        <w:t>项目生产用水包括采区及工业场地等洒水降尘、车辆冲洗用水以及生活用水，其中采区及工业场地等降尘洒水经地面吸收或蒸发进入大气环境，无废水排放。</w:t>
      </w:r>
    </w:p>
    <w:p>
      <w:pPr>
        <w:pStyle w:val="222"/>
      </w:pPr>
      <w:r>
        <w:t>（1）生产废水</w:t>
      </w:r>
    </w:p>
    <w:p>
      <w:pPr>
        <w:pStyle w:val="222"/>
      </w:pPr>
      <w:r>
        <w:t>本项目在矿区与工业场地出口处各设置1处车辆冲洗点，对进出矿区的车辆进行冲洗。车辆冲洗补充用水按100L/车·次计算，每天需冲洗100次，用水量约为10.0m</w:t>
      </w:r>
      <w:r>
        <w:rPr>
          <w:vertAlign w:val="superscript"/>
        </w:rPr>
        <w:t>3</w:t>
      </w:r>
      <w:r>
        <w:t>/d，废水进入沉淀池内（容积为20m</w:t>
      </w:r>
      <w:r>
        <w:rPr>
          <w:vertAlign w:val="superscript"/>
        </w:rPr>
        <w:t>3</w:t>
      </w:r>
      <w:r>
        <w:t>），主要污染物为SS、石油类，车辆冲洗废水利用现有沉淀池（容积20m</w:t>
      </w:r>
      <w:r>
        <w:rPr>
          <w:vertAlign w:val="superscript"/>
        </w:rPr>
        <w:t>3</w:t>
      </w:r>
      <w:r>
        <w:t>）处理后循环使用，不外排。</w:t>
      </w:r>
    </w:p>
    <w:p>
      <w:pPr>
        <w:pStyle w:val="222"/>
      </w:pPr>
      <w:r>
        <w:t>（2）生活污水</w:t>
      </w:r>
    </w:p>
    <w:p>
      <w:pPr>
        <w:pStyle w:val="222"/>
      </w:pPr>
      <w:bookmarkStart w:id="136" w:name="OLE_LINK2"/>
      <w:r>
        <w:t>项目工作人员不在厂区内食宿，生活用水按50L/人·d计，矿区有10人，工业场地有26人，产污系数按0.9计，生活污水产生量分别为0.45m</w:t>
      </w:r>
      <w:r>
        <w:rPr>
          <w:vertAlign w:val="superscript"/>
        </w:rPr>
        <w:t>3</w:t>
      </w:r>
      <w:r>
        <w:t>/d（148.5m</w:t>
      </w:r>
      <w:r>
        <w:rPr>
          <w:vertAlign w:val="superscript"/>
        </w:rPr>
        <w:t>3</w:t>
      </w:r>
      <w:r>
        <w:t>/a）、1.17m</w:t>
      </w:r>
      <w:r>
        <w:rPr>
          <w:vertAlign w:val="superscript"/>
        </w:rPr>
        <w:t>3</w:t>
      </w:r>
      <w:r>
        <w:t>/d（386.1m</w:t>
      </w:r>
      <w:r>
        <w:rPr>
          <w:vertAlign w:val="superscript"/>
        </w:rPr>
        <w:t>3</w:t>
      </w:r>
      <w:r>
        <w:t>/a），合计1.62m</w:t>
      </w:r>
      <w:r>
        <w:rPr>
          <w:vertAlign w:val="superscript"/>
        </w:rPr>
        <w:t>3</w:t>
      </w:r>
      <w:r>
        <w:t>/d（534.6m</w:t>
      </w:r>
      <w:r>
        <w:rPr>
          <w:vertAlign w:val="superscript"/>
        </w:rPr>
        <w:t>3</w:t>
      </w:r>
      <w:r>
        <w:t>/a），主要污染物为COD、NH</w:t>
      </w:r>
      <w:r>
        <w:rPr>
          <w:vertAlign w:val="subscript"/>
        </w:rPr>
        <w:t>3</w:t>
      </w:r>
      <w:r>
        <w:t>-N、SS、动植物油，</w:t>
      </w:r>
      <w:bookmarkEnd w:id="136"/>
      <w:r>
        <w:t>生活污水分别经矿区、工业场地的化粪池（容积为10m</w:t>
      </w:r>
      <w:r>
        <w:rPr>
          <w:vertAlign w:val="superscript"/>
        </w:rPr>
        <w:t>3</w:t>
      </w:r>
      <w:r>
        <w:t>、20m</w:t>
      </w:r>
      <w:r>
        <w:rPr>
          <w:vertAlign w:val="superscript"/>
        </w:rPr>
        <w:t>3</w:t>
      </w:r>
      <w:r>
        <w:t>）收集后用农肥，不外排。</w:t>
      </w:r>
    </w:p>
    <w:p>
      <w:pPr>
        <w:pStyle w:val="222"/>
      </w:pPr>
      <w:r>
        <w:t>（3）初期雨水</w:t>
      </w:r>
    </w:p>
    <w:p>
      <w:pPr>
        <w:pStyle w:val="222"/>
      </w:pPr>
      <w:r>
        <w:t>拟建项目为露天开采矿山，露天场地雨天将产生初期雨水。雨水径流有明显的初期冲刷作用，即在多数情况下，污染物是集中在初期的数毫米雨量中。当遇到降雨时，露天场地的泥土等污染物被冲洗下来，使得径流雨水中的污染物浓度偏高，其废水主要污染物为SS，如直接进入地表水体，将导致项目段水质变差。为此，企业设置1个期雨水收集池（兼做沉淀池，位于矿区东北侧），将该雨水收集沉淀后回用于矿区控尘。</w:t>
      </w:r>
    </w:p>
    <w:p>
      <w:pPr>
        <w:pStyle w:val="222"/>
      </w:pPr>
      <w:r>
        <w:rPr>
          <w:bCs/>
        </w:rPr>
        <w:t>根据</w:t>
      </w:r>
      <w:r>
        <w:t>《重庆市城乡建设委员会关于发布重庆市暴雨强度修订公式及设计暴雨雨型的通知》（渝建〔2017〕443号）中合川区适用的暴雨强度修订公式进行核算，场地径流雨水量可按下式计算：</w:t>
      </w:r>
    </w:p>
    <w:p>
      <w:pPr>
        <w:tabs>
          <w:tab w:val="right" w:pos="8730"/>
        </w:tabs>
        <w:ind w:firstLine="480"/>
        <w:jc w:val="center"/>
        <w:rPr>
          <w:sz w:val="24"/>
          <w:szCs w:val="24"/>
        </w:rPr>
      </w:pPr>
      <w:r>
        <w:rPr>
          <w:sz w:val="24"/>
          <w:szCs w:val="24"/>
        </w:rPr>
        <w:t>Q=q×Ψ×F</w:t>
      </w:r>
    </w:p>
    <w:p>
      <w:pPr>
        <w:pStyle w:val="34"/>
      </w:pPr>
      <w:r>
        <w:t>其中：</w:t>
      </w:r>
    </w:p>
    <w:p>
      <w:pPr>
        <w:pStyle w:val="34"/>
      </w:pPr>
      <m:oMathPara>
        <m:oMath>
          <m:r>
            <m:rPr/>
            <w:rPr>
              <w:rFonts w:ascii="Cambria Math" w:hAnsi="Cambria Math"/>
            </w:rPr>
            <m:t>q</m:t>
          </m:r>
          <m:r>
            <m:rPr>
              <m:sty m:val="p"/>
            </m:rPr>
            <w:rPr>
              <w:rFonts w:ascii="Cambria Math" w:hAnsi="Cambria Math"/>
            </w:rPr>
            <m:t>=</m:t>
          </m:r>
          <m:f>
            <m:fPr>
              <m:ctrlPr>
                <w:rPr>
                  <w:rFonts w:ascii="Cambria Math" w:hAnsi="Cambria Math"/>
                </w:rPr>
              </m:ctrlPr>
            </m:fPr>
            <m:num>
              <m:r>
                <m:rPr>
                  <m:sty m:val="p"/>
                </m:rPr>
                <w:rPr>
                  <w:rFonts w:ascii="Cambria Math" w:hAnsi="Cambria Math"/>
                </w:rPr>
                <m:t>1004（1+0.750</m:t>
              </m:r>
              <m:func>
                <m:funcPr>
                  <m:ctrlPr>
                    <w:rPr>
                      <w:rFonts w:ascii="Cambria Math" w:hAnsi="Cambria Math"/>
                    </w:rPr>
                  </m:ctrlPr>
                </m:funcPr>
                <m:fName>
                  <m:r>
                    <m:rPr>
                      <m:sty m:val="p"/>
                    </m:rPr>
                    <w:rPr>
                      <w:rFonts w:ascii="Cambria Math" w:hAnsi="Cambria Math"/>
                    </w:rPr>
                    <m:t>log</m:t>
                  </m:r>
                  <m:ctrlPr>
                    <w:rPr>
                      <w:rFonts w:ascii="Cambria Math" w:hAnsi="Cambria Math"/>
                    </w:rPr>
                  </m:ctrlPr>
                </m:fName>
                <m:e>
                  <m:r>
                    <m:rPr/>
                    <w:rPr>
                      <w:rFonts w:ascii="Cambria Math" w:hAnsi="Cambria Math"/>
                    </w:rPr>
                    <m:t>p</m:t>
                  </m:r>
                  <m:r>
                    <m:rPr>
                      <m:sty m:val="p"/>
                    </m:rPr>
                    <w:rPr>
                      <w:rFonts w:ascii="Cambria Math" w:hAnsi="Cambria Math"/>
                    </w:rPr>
                    <m:t>）</m:t>
                  </m:r>
                  <m:ctrlPr>
                    <w:rPr>
                      <w:rFonts w:ascii="Cambria Math" w:hAnsi="Cambria Math"/>
                    </w:rPr>
                  </m:ctrlPr>
                </m:e>
              </m:func>
              <m:ctrlPr>
                <w:rPr>
                  <w:rFonts w:ascii="Cambria Math" w:hAnsi="Cambria Math"/>
                </w:rPr>
              </m:ctrlPr>
            </m:num>
            <m:den>
              <m:sSup>
                <m:sSupPr>
                  <m:ctrlPr>
                    <w:rPr>
                      <w:rFonts w:ascii="Cambria Math" w:hAnsi="Cambria Math"/>
                    </w:rPr>
                  </m:ctrlPr>
                </m:sSupPr>
                <m:e>
                  <m:r>
                    <m:rPr>
                      <m:sty m:val="p"/>
                    </m:rPr>
                    <w:rPr>
                      <w:rFonts w:ascii="Cambria Math" w:hAnsi="Cambria Math"/>
                    </w:rPr>
                    <m:t>（</m:t>
                  </m:r>
                  <m:r>
                    <m:rPr/>
                    <w:rPr>
                      <w:rFonts w:ascii="Cambria Math" w:hAnsi="Cambria Math"/>
                    </w:rPr>
                    <m:t>t</m:t>
                  </m:r>
                  <m:r>
                    <m:rPr>
                      <m:sty m:val="p"/>
                    </m:rPr>
                    <w:rPr>
                      <w:rFonts w:ascii="Cambria Math" w:hAnsi="Cambria Math"/>
                    </w:rPr>
                    <m:t>+8.698）</m:t>
                  </m:r>
                  <m:ctrlPr>
                    <w:rPr>
                      <w:rFonts w:ascii="Cambria Math" w:hAnsi="Cambria Math"/>
                    </w:rPr>
                  </m:ctrlPr>
                </m:e>
                <m:sup>
                  <m:r>
                    <m:rPr>
                      <m:sty m:val="p"/>
                    </m:rPr>
                    <w:rPr>
                      <w:rFonts w:ascii="Cambria Math" w:hAnsi="Cambria Math"/>
                    </w:rPr>
                    <m:t>0.567</m:t>
                  </m:r>
                  <m:ctrlPr>
                    <w:rPr>
                      <w:rFonts w:ascii="Cambria Math" w:hAnsi="Cambria Math"/>
                    </w:rPr>
                  </m:ctrlPr>
                </m:sup>
              </m:sSup>
              <m:ctrlPr>
                <w:rPr>
                  <w:rFonts w:ascii="Cambria Math" w:hAnsi="Cambria Math"/>
                </w:rPr>
              </m:ctrlPr>
            </m:den>
          </m:f>
        </m:oMath>
      </m:oMathPara>
    </w:p>
    <w:p>
      <w:pPr>
        <w:tabs>
          <w:tab w:val="right" w:pos="8730"/>
        </w:tabs>
        <w:ind w:firstLine="480"/>
        <w:rPr>
          <w:sz w:val="24"/>
          <w:szCs w:val="24"/>
        </w:rPr>
      </w:pPr>
      <w:r>
        <w:rPr>
          <w:sz w:val="24"/>
          <w:szCs w:val="24"/>
        </w:rPr>
        <w:t>式中：Q——雨水设计流量（L/s）；</w:t>
      </w:r>
    </w:p>
    <w:p>
      <w:pPr>
        <w:tabs>
          <w:tab w:val="right" w:pos="8730"/>
        </w:tabs>
        <w:ind w:firstLine="1200" w:firstLineChars="500"/>
        <w:rPr>
          <w:sz w:val="24"/>
          <w:szCs w:val="24"/>
        </w:rPr>
      </w:pPr>
      <w:r>
        <w:rPr>
          <w:sz w:val="24"/>
          <w:szCs w:val="24"/>
        </w:rPr>
        <w:t>Ψ——径流系数（露天采场径流系数取0.3，参考《水文地质手册》）；</w:t>
      </w:r>
    </w:p>
    <w:p>
      <w:pPr>
        <w:tabs>
          <w:tab w:val="right" w:pos="8730"/>
        </w:tabs>
        <w:ind w:firstLine="1200" w:firstLineChars="500"/>
        <w:rPr>
          <w:sz w:val="24"/>
          <w:szCs w:val="24"/>
        </w:rPr>
      </w:pPr>
      <w:r>
        <w:rPr>
          <w:sz w:val="24"/>
          <w:szCs w:val="24"/>
        </w:rPr>
        <w:t>q——设计暴雨强度，L/s·hm</w:t>
      </w:r>
      <w:r>
        <w:rPr>
          <w:sz w:val="24"/>
          <w:szCs w:val="24"/>
          <w:vertAlign w:val="superscript"/>
        </w:rPr>
        <w:t>2</w:t>
      </w:r>
    </w:p>
    <w:p>
      <w:pPr>
        <w:tabs>
          <w:tab w:val="right" w:pos="8730"/>
        </w:tabs>
        <w:ind w:firstLine="1200" w:firstLineChars="500"/>
        <w:rPr>
          <w:sz w:val="24"/>
          <w:szCs w:val="24"/>
        </w:rPr>
      </w:pPr>
      <w:r>
        <w:rPr>
          <w:sz w:val="24"/>
          <w:szCs w:val="24"/>
        </w:rPr>
        <w:t>F——汇水面积（hm</w:t>
      </w:r>
      <w:r>
        <w:rPr>
          <w:sz w:val="24"/>
          <w:szCs w:val="24"/>
          <w:vertAlign w:val="superscript"/>
        </w:rPr>
        <w:t>2</w:t>
      </w:r>
      <w:r>
        <w:rPr>
          <w:sz w:val="24"/>
          <w:szCs w:val="24"/>
        </w:rPr>
        <w:t>），3000m</w:t>
      </w:r>
      <w:r>
        <w:rPr>
          <w:sz w:val="24"/>
          <w:szCs w:val="24"/>
          <w:vertAlign w:val="superscript"/>
        </w:rPr>
        <w:t>2</w:t>
      </w:r>
      <w:r>
        <w:rPr>
          <w:sz w:val="24"/>
          <w:szCs w:val="24"/>
        </w:rPr>
        <w:t>（考虑1个台阶工作平台面积等）。</w:t>
      </w:r>
    </w:p>
    <w:p>
      <w:pPr>
        <w:tabs>
          <w:tab w:val="right" w:pos="8730"/>
        </w:tabs>
        <w:ind w:firstLine="1200" w:firstLineChars="500"/>
        <w:rPr>
          <w:sz w:val="24"/>
          <w:szCs w:val="24"/>
        </w:rPr>
      </w:pPr>
      <w:r>
        <w:rPr>
          <w:sz w:val="24"/>
          <w:szCs w:val="24"/>
        </w:rPr>
        <w:t>P——设计重现期，取2</w:t>
      </w:r>
    </w:p>
    <w:p>
      <w:pPr>
        <w:tabs>
          <w:tab w:val="right" w:pos="8730"/>
        </w:tabs>
        <w:ind w:firstLine="1200" w:firstLineChars="500"/>
        <w:rPr>
          <w:sz w:val="24"/>
          <w:szCs w:val="24"/>
        </w:rPr>
      </w:pPr>
      <w:r>
        <w:rPr>
          <w:sz w:val="24"/>
          <w:szCs w:val="24"/>
        </w:rPr>
        <w:t>t——降雨历史，取15min</w:t>
      </w:r>
    </w:p>
    <w:p>
      <w:pPr>
        <w:pStyle w:val="34"/>
      </w:pPr>
      <w:r>
        <w:t>经计算，在暴雨情况下，采区15min内汇水量为18.2m</w:t>
      </w:r>
      <w:r>
        <w:rPr>
          <w:vertAlign w:val="superscript"/>
        </w:rPr>
        <w:t>3</w:t>
      </w:r>
      <w:r>
        <w:t>，其主要污染物为SS，沉淀池容积为100m</w:t>
      </w:r>
      <w:r>
        <w:rPr>
          <w:vertAlign w:val="superscript"/>
        </w:rPr>
        <w:t>3</w:t>
      </w:r>
      <w:r>
        <w:t>，大于汇水量，因此可经截排水沟收集进入沉淀池内，用于矿区内洒水降尘，不外排。因此，对外环境影响较小。</w:t>
      </w:r>
    </w:p>
    <w:p>
      <w:pPr>
        <w:pStyle w:val="6"/>
        <w:numPr>
          <w:ilvl w:val="3"/>
          <w:numId w:val="0"/>
        </w:numPr>
      </w:pPr>
      <w:r>
        <w:t>3.3.3.3噪声</w:t>
      </w:r>
    </w:p>
    <w:p>
      <w:pPr>
        <w:pStyle w:val="300"/>
      </w:pPr>
      <w:r>
        <w:t>噪声主要来自生产设备噪声，设备噪声源强90~105dB（A）。开采区主要有挖掘机、液压破碎锤等室外声源，属于移动噪声源；工业场地有颚式破碎机、反击式破碎机、筛分机等室内声源，当远离厂界时对环境影响较小；根据常用机械的实测资料，其污染源强分别见下表。</w:t>
      </w:r>
    </w:p>
    <w:p>
      <w:pPr>
        <w:pStyle w:val="300"/>
      </w:pPr>
    </w:p>
    <w:p>
      <w:pPr>
        <w:pStyle w:val="300"/>
      </w:pPr>
    </w:p>
    <w:p>
      <w:pPr>
        <w:pStyle w:val="300"/>
      </w:pPr>
    </w:p>
    <w:p>
      <w:pPr>
        <w:pStyle w:val="300"/>
      </w:pPr>
    </w:p>
    <w:p>
      <w:pPr>
        <w:pStyle w:val="300"/>
        <w:sectPr>
          <w:pgSz w:w="11907" w:h="16840"/>
          <w:pgMar w:top="1418" w:right="1588" w:bottom="1418" w:left="1588" w:header="1134" w:footer="1134" w:gutter="0"/>
          <w:cols w:space="425" w:num="1"/>
          <w:docGrid w:linePitch="354" w:charSpace="0"/>
        </w:sectPr>
      </w:pPr>
    </w:p>
    <w:p>
      <w:pPr>
        <w:pStyle w:val="84"/>
      </w:pPr>
      <w:r>
        <w:t>表3.3-5  开采区噪声源强调查清单（室外声源）  dB（A）</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2878"/>
        <w:gridCol w:w="1439"/>
        <w:gridCol w:w="1297"/>
        <w:gridCol w:w="1300"/>
        <w:gridCol w:w="1155"/>
        <w:gridCol w:w="1996"/>
        <w:gridCol w:w="1590"/>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5" w:hRule="atLeast"/>
          <w:jc w:val="center"/>
        </w:trPr>
        <w:tc>
          <w:tcPr>
            <w:tcW w:w="354"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1012"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声源名称</w:t>
            </w:r>
          </w:p>
        </w:tc>
        <w:tc>
          <w:tcPr>
            <w:tcW w:w="506"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型号</w:t>
            </w:r>
          </w:p>
        </w:tc>
        <w:tc>
          <w:tcPr>
            <w:tcW w:w="1319" w:type="pct"/>
            <w:gridSpan w:val="3"/>
            <w:tcBorders>
              <w:bottom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空间相对位置/m</w:t>
            </w:r>
          </w:p>
        </w:tc>
        <w:tc>
          <w:tcPr>
            <w:tcW w:w="702" w:type="pct"/>
            <w:tcBorders>
              <w:bottom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声源源强</w:t>
            </w:r>
          </w:p>
        </w:tc>
        <w:tc>
          <w:tcPr>
            <w:tcW w:w="559"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声源控制措施</w:t>
            </w:r>
          </w:p>
        </w:tc>
        <w:tc>
          <w:tcPr>
            <w:tcW w:w="548"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5" w:hRule="atLeast"/>
          <w:jc w:val="center"/>
        </w:trPr>
        <w:tc>
          <w:tcPr>
            <w:tcW w:w="354"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1012"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506"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456"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X</w:t>
            </w:r>
          </w:p>
        </w:tc>
        <w:tc>
          <w:tcPr>
            <w:tcW w:w="457"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Y</w:t>
            </w:r>
          </w:p>
        </w:tc>
        <w:tc>
          <w:tcPr>
            <w:tcW w:w="406"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Z</w:t>
            </w:r>
          </w:p>
        </w:tc>
        <w:tc>
          <w:tcPr>
            <w:tcW w:w="702"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（声压级/距声源距离）dB（A）/m</w:t>
            </w:r>
          </w:p>
        </w:tc>
        <w:tc>
          <w:tcPr>
            <w:tcW w:w="559"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548" w:type="pct"/>
            <w:vMerge w:val="continue"/>
            <w:shd w:val="clear" w:color="auto" w:fill="D8D8D8" w:themeFill="background1" w:themeFillShade="D9"/>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4" w:type="pct"/>
            <w:vAlign w:val="center"/>
          </w:tcPr>
          <w:p>
            <w:pPr>
              <w:spacing w:line="240" w:lineRule="auto"/>
              <w:ind w:firstLine="0" w:firstLineChars="0"/>
              <w:jc w:val="center"/>
              <w:rPr>
                <w:sz w:val="21"/>
                <w:szCs w:val="21"/>
              </w:rPr>
            </w:pPr>
            <w:r>
              <w:rPr>
                <w:sz w:val="21"/>
                <w:szCs w:val="21"/>
              </w:rPr>
              <w:t>1</w:t>
            </w:r>
          </w:p>
        </w:tc>
        <w:tc>
          <w:tcPr>
            <w:tcW w:w="1012" w:type="pct"/>
            <w:vAlign w:val="center"/>
          </w:tcPr>
          <w:p>
            <w:pPr>
              <w:spacing w:line="240" w:lineRule="auto"/>
              <w:ind w:firstLine="0" w:firstLineChars="0"/>
              <w:jc w:val="center"/>
              <w:rPr>
                <w:sz w:val="21"/>
                <w:szCs w:val="21"/>
              </w:rPr>
            </w:pPr>
            <w:r>
              <w:rPr>
                <w:sz w:val="21"/>
                <w:szCs w:val="21"/>
              </w:rPr>
              <w:t>挖掘机</w:t>
            </w:r>
          </w:p>
        </w:tc>
        <w:tc>
          <w:tcPr>
            <w:tcW w:w="506" w:type="pct"/>
            <w:vAlign w:val="center"/>
          </w:tcPr>
          <w:p>
            <w:pPr>
              <w:spacing w:line="240" w:lineRule="auto"/>
              <w:ind w:firstLine="0" w:firstLineChars="0"/>
              <w:jc w:val="center"/>
              <w:rPr>
                <w:sz w:val="21"/>
                <w:szCs w:val="21"/>
              </w:rPr>
            </w:pPr>
            <w:r>
              <w:rPr>
                <w:sz w:val="21"/>
                <w:szCs w:val="21"/>
              </w:rPr>
              <w:t>卡特323</w:t>
            </w:r>
          </w:p>
        </w:tc>
        <w:tc>
          <w:tcPr>
            <w:tcW w:w="456" w:type="pct"/>
            <w:vAlign w:val="center"/>
          </w:tcPr>
          <w:p>
            <w:pPr>
              <w:spacing w:line="240" w:lineRule="auto"/>
              <w:ind w:firstLine="0" w:firstLineChars="0"/>
              <w:jc w:val="center"/>
              <w:rPr>
                <w:sz w:val="21"/>
                <w:szCs w:val="21"/>
              </w:rPr>
            </w:pPr>
            <w:r>
              <w:rPr>
                <w:sz w:val="21"/>
                <w:szCs w:val="21"/>
              </w:rPr>
              <w:t>33</w:t>
            </w:r>
          </w:p>
        </w:tc>
        <w:tc>
          <w:tcPr>
            <w:tcW w:w="457" w:type="pct"/>
            <w:vAlign w:val="center"/>
          </w:tcPr>
          <w:p>
            <w:pPr>
              <w:spacing w:line="240" w:lineRule="auto"/>
              <w:ind w:firstLine="0" w:firstLineChars="0"/>
              <w:jc w:val="center"/>
              <w:rPr>
                <w:sz w:val="21"/>
                <w:szCs w:val="21"/>
              </w:rPr>
            </w:pPr>
            <w:r>
              <w:rPr>
                <w:sz w:val="21"/>
                <w:szCs w:val="21"/>
              </w:rPr>
              <w:t>64</w:t>
            </w:r>
          </w:p>
        </w:tc>
        <w:tc>
          <w:tcPr>
            <w:tcW w:w="406" w:type="pct"/>
          </w:tcPr>
          <w:p>
            <w:pPr>
              <w:spacing w:line="240" w:lineRule="auto"/>
              <w:ind w:firstLine="0" w:firstLineChars="0"/>
              <w:jc w:val="center"/>
              <w:rPr>
                <w:sz w:val="21"/>
                <w:szCs w:val="21"/>
              </w:rPr>
            </w:pPr>
            <w:r>
              <w:rPr>
                <w:sz w:val="21"/>
                <w:szCs w:val="21"/>
              </w:rPr>
              <w:t>15</w:t>
            </w:r>
          </w:p>
        </w:tc>
        <w:tc>
          <w:tcPr>
            <w:tcW w:w="702" w:type="pct"/>
            <w:vAlign w:val="center"/>
          </w:tcPr>
          <w:p>
            <w:pPr>
              <w:spacing w:line="240" w:lineRule="auto"/>
              <w:ind w:firstLine="0" w:firstLineChars="0"/>
              <w:jc w:val="center"/>
              <w:rPr>
                <w:sz w:val="21"/>
                <w:szCs w:val="21"/>
              </w:rPr>
            </w:pPr>
            <w:r>
              <w:rPr>
                <w:sz w:val="21"/>
                <w:szCs w:val="21"/>
              </w:rPr>
              <w:t>105/5</w:t>
            </w:r>
          </w:p>
        </w:tc>
        <w:tc>
          <w:tcPr>
            <w:tcW w:w="559" w:type="pct"/>
            <w:vMerge w:val="restart"/>
            <w:vAlign w:val="center"/>
          </w:tcPr>
          <w:p>
            <w:pPr>
              <w:spacing w:line="240" w:lineRule="auto"/>
              <w:ind w:firstLine="0" w:firstLineChars="0"/>
              <w:jc w:val="center"/>
              <w:rPr>
                <w:sz w:val="21"/>
                <w:szCs w:val="21"/>
              </w:rPr>
            </w:pPr>
            <w:r>
              <w:rPr>
                <w:sz w:val="21"/>
                <w:szCs w:val="21"/>
              </w:rPr>
              <w:t>合理安排作业时间，使用先进的低噪声施工机具、设备和工艺等。</w:t>
            </w:r>
          </w:p>
        </w:tc>
        <w:tc>
          <w:tcPr>
            <w:tcW w:w="548"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4" w:type="pct"/>
            <w:vAlign w:val="center"/>
          </w:tcPr>
          <w:p>
            <w:pPr>
              <w:spacing w:line="240" w:lineRule="auto"/>
              <w:ind w:firstLine="0" w:firstLineChars="0"/>
              <w:jc w:val="center"/>
              <w:rPr>
                <w:sz w:val="21"/>
                <w:szCs w:val="21"/>
              </w:rPr>
            </w:pPr>
            <w:r>
              <w:rPr>
                <w:sz w:val="21"/>
                <w:szCs w:val="21"/>
              </w:rPr>
              <w:t>2</w:t>
            </w:r>
          </w:p>
        </w:tc>
        <w:tc>
          <w:tcPr>
            <w:tcW w:w="1012" w:type="pct"/>
            <w:vAlign w:val="center"/>
          </w:tcPr>
          <w:p>
            <w:pPr>
              <w:spacing w:line="240" w:lineRule="auto"/>
              <w:ind w:firstLine="0" w:firstLineChars="0"/>
              <w:jc w:val="center"/>
              <w:rPr>
                <w:sz w:val="21"/>
                <w:szCs w:val="21"/>
              </w:rPr>
            </w:pPr>
            <w:r>
              <w:rPr>
                <w:sz w:val="21"/>
                <w:szCs w:val="21"/>
              </w:rPr>
              <w:t>挖掘机</w:t>
            </w:r>
          </w:p>
        </w:tc>
        <w:tc>
          <w:tcPr>
            <w:tcW w:w="506" w:type="pct"/>
            <w:vAlign w:val="center"/>
          </w:tcPr>
          <w:p>
            <w:pPr>
              <w:spacing w:line="240" w:lineRule="auto"/>
              <w:ind w:firstLine="0" w:firstLineChars="0"/>
              <w:jc w:val="center"/>
              <w:rPr>
                <w:sz w:val="21"/>
                <w:szCs w:val="21"/>
              </w:rPr>
            </w:pPr>
            <w:r>
              <w:rPr>
                <w:sz w:val="21"/>
                <w:szCs w:val="21"/>
              </w:rPr>
              <w:t>卡特336</w:t>
            </w:r>
          </w:p>
        </w:tc>
        <w:tc>
          <w:tcPr>
            <w:tcW w:w="456" w:type="pct"/>
            <w:vAlign w:val="center"/>
          </w:tcPr>
          <w:p>
            <w:pPr>
              <w:spacing w:line="240" w:lineRule="auto"/>
              <w:ind w:firstLine="0" w:firstLineChars="0"/>
              <w:jc w:val="center"/>
              <w:rPr>
                <w:sz w:val="21"/>
                <w:szCs w:val="21"/>
              </w:rPr>
            </w:pPr>
            <w:r>
              <w:rPr>
                <w:sz w:val="21"/>
                <w:szCs w:val="21"/>
              </w:rPr>
              <w:t>7.5</w:t>
            </w:r>
          </w:p>
        </w:tc>
        <w:tc>
          <w:tcPr>
            <w:tcW w:w="457" w:type="pct"/>
            <w:vAlign w:val="center"/>
          </w:tcPr>
          <w:p>
            <w:pPr>
              <w:spacing w:line="240" w:lineRule="auto"/>
              <w:ind w:firstLine="0" w:firstLineChars="0"/>
              <w:jc w:val="center"/>
              <w:rPr>
                <w:sz w:val="21"/>
                <w:szCs w:val="21"/>
              </w:rPr>
            </w:pPr>
            <w:r>
              <w:rPr>
                <w:sz w:val="21"/>
                <w:szCs w:val="21"/>
              </w:rPr>
              <w:t>35</w:t>
            </w:r>
          </w:p>
        </w:tc>
        <w:tc>
          <w:tcPr>
            <w:tcW w:w="406" w:type="pct"/>
          </w:tcPr>
          <w:p>
            <w:pPr>
              <w:spacing w:line="240" w:lineRule="auto"/>
              <w:ind w:firstLine="0" w:firstLineChars="0"/>
              <w:jc w:val="center"/>
              <w:rPr>
                <w:sz w:val="21"/>
                <w:szCs w:val="21"/>
              </w:rPr>
            </w:pPr>
            <w:r>
              <w:rPr>
                <w:sz w:val="21"/>
                <w:szCs w:val="21"/>
              </w:rPr>
              <w:t>15</w:t>
            </w:r>
          </w:p>
        </w:tc>
        <w:tc>
          <w:tcPr>
            <w:tcW w:w="702" w:type="pct"/>
            <w:vAlign w:val="center"/>
          </w:tcPr>
          <w:p>
            <w:pPr>
              <w:spacing w:line="240" w:lineRule="auto"/>
              <w:ind w:firstLine="0" w:firstLineChars="0"/>
              <w:jc w:val="center"/>
              <w:rPr>
                <w:sz w:val="21"/>
                <w:szCs w:val="21"/>
              </w:rPr>
            </w:pPr>
            <w:r>
              <w:rPr>
                <w:sz w:val="21"/>
                <w:szCs w:val="21"/>
              </w:rPr>
              <w:t>105/5</w:t>
            </w:r>
          </w:p>
        </w:tc>
        <w:tc>
          <w:tcPr>
            <w:tcW w:w="559" w:type="pct"/>
            <w:vMerge w:val="continue"/>
            <w:vAlign w:val="center"/>
          </w:tcPr>
          <w:p>
            <w:pPr>
              <w:spacing w:line="240" w:lineRule="auto"/>
              <w:ind w:firstLine="0" w:firstLineChars="0"/>
              <w:jc w:val="center"/>
              <w:rPr>
                <w:sz w:val="21"/>
                <w:szCs w:val="21"/>
              </w:rPr>
            </w:pPr>
          </w:p>
        </w:tc>
        <w:tc>
          <w:tcPr>
            <w:tcW w:w="548"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354" w:type="pct"/>
            <w:vAlign w:val="center"/>
          </w:tcPr>
          <w:p>
            <w:pPr>
              <w:spacing w:line="240" w:lineRule="auto"/>
              <w:ind w:firstLine="0" w:firstLineChars="0"/>
              <w:jc w:val="center"/>
              <w:rPr>
                <w:sz w:val="21"/>
                <w:szCs w:val="21"/>
              </w:rPr>
            </w:pPr>
            <w:r>
              <w:rPr>
                <w:sz w:val="21"/>
                <w:szCs w:val="21"/>
              </w:rPr>
              <w:t>3</w:t>
            </w:r>
          </w:p>
        </w:tc>
        <w:tc>
          <w:tcPr>
            <w:tcW w:w="1012" w:type="pct"/>
            <w:vAlign w:val="center"/>
          </w:tcPr>
          <w:p>
            <w:pPr>
              <w:spacing w:line="240" w:lineRule="auto"/>
              <w:ind w:firstLine="0" w:firstLineChars="0"/>
              <w:jc w:val="center"/>
              <w:rPr>
                <w:sz w:val="21"/>
                <w:szCs w:val="21"/>
              </w:rPr>
            </w:pPr>
            <w:r>
              <w:rPr>
                <w:sz w:val="21"/>
                <w:szCs w:val="21"/>
              </w:rPr>
              <w:t>挖掘机</w:t>
            </w:r>
          </w:p>
        </w:tc>
        <w:tc>
          <w:tcPr>
            <w:tcW w:w="506" w:type="pct"/>
            <w:vAlign w:val="center"/>
          </w:tcPr>
          <w:p>
            <w:pPr>
              <w:spacing w:line="240" w:lineRule="auto"/>
              <w:ind w:firstLine="0" w:firstLineChars="0"/>
              <w:jc w:val="center"/>
              <w:rPr>
                <w:sz w:val="21"/>
                <w:szCs w:val="21"/>
              </w:rPr>
            </w:pPr>
            <w:r>
              <w:rPr>
                <w:sz w:val="21"/>
                <w:szCs w:val="21"/>
              </w:rPr>
              <w:t>卡特336</w:t>
            </w:r>
          </w:p>
        </w:tc>
        <w:tc>
          <w:tcPr>
            <w:tcW w:w="456" w:type="pct"/>
            <w:vAlign w:val="center"/>
          </w:tcPr>
          <w:p>
            <w:pPr>
              <w:spacing w:line="240" w:lineRule="auto"/>
              <w:ind w:firstLine="0" w:firstLineChars="0"/>
              <w:jc w:val="center"/>
              <w:rPr>
                <w:sz w:val="21"/>
                <w:szCs w:val="21"/>
              </w:rPr>
            </w:pPr>
            <w:r>
              <w:rPr>
                <w:sz w:val="21"/>
                <w:szCs w:val="21"/>
              </w:rPr>
              <w:t>-36</w:t>
            </w:r>
          </w:p>
        </w:tc>
        <w:tc>
          <w:tcPr>
            <w:tcW w:w="457" w:type="pct"/>
            <w:vAlign w:val="center"/>
          </w:tcPr>
          <w:p>
            <w:pPr>
              <w:spacing w:line="240" w:lineRule="auto"/>
              <w:ind w:firstLine="0" w:firstLineChars="0"/>
              <w:jc w:val="center"/>
              <w:rPr>
                <w:sz w:val="21"/>
                <w:szCs w:val="21"/>
              </w:rPr>
            </w:pPr>
            <w:r>
              <w:rPr>
                <w:sz w:val="21"/>
                <w:szCs w:val="21"/>
              </w:rPr>
              <w:t>3</w:t>
            </w:r>
          </w:p>
        </w:tc>
        <w:tc>
          <w:tcPr>
            <w:tcW w:w="406" w:type="pct"/>
          </w:tcPr>
          <w:p>
            <w:pPr>
              <w:spacing w:line="240" w:lineRule="auto"/>
              <w:ind w:firstLine="0" w:firstLineChars="0"/>
              <w:jc w:val="center"/>
              <w:rPr>
                <w:sz w:val="21"/>
                <w:szCs w:val="21"/>
              </w:rPr>
            </w:pPr>
            <w:r>
              <w:rPr>
                <w:sz w:val="21"/>
                <w:szCs w:val="21"/>
              </w:rPr>
              <w:t>15</w:t>
            </w:r>
          </w:p>
        </w:tc>
        <w:tc>
          <w:tcPr>
            <w:tcW w:w="702" w:type="pct"/>
            <w:vAlign w:val="center"/>
          </w:tcPr>
          <w:p>
            <w:pPr>
              <w:spacing w:line="240" w:lineRule="auto"/>
              <w:ind w:firstLine="0" w:firstLineChars="0"/>
              <w:jc w:val="center"/>
              <w:rPr>
                <w:sz w:val="21"/>
                <w:szCs w:val="21"/>
              </w:rPr>
            </w:pPr>
            <w:r>
              <w:rPr>
                <w:sz w:val="21"/>
                <w:szCs w:val="21"/>
              </w:rPr>
              <w:t>105/5</w:t>
            </w:r>
          </w:p>
        </w:tc>
        <w:tc>
          <w:tcPr>
            <w:tcW w:w="559" w:type="pct"/>
            <w:vMerge w:val="continue"/>
            <w:vAlign w:val="center"/>
          </w:tcPr>
          <w:p>
            <w:pPr>
              <w:spacing w:line="240" w:lineRule="auto"/>
              <w:ind w:firstLine="0" w:firstLineChars="0"/>
              <w:jc w:val="center"/>
              <w:rPr>
                <w:sz w:val="21"/>
                <w:szCs w:val="21"/>
              </w:rPr>
            </w:pPr>
          </w:p>
        </w:tc>
        <w:tc>
          <w:tcPr>
            <w:tcW w:w="548"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4" w:type="pct"/>
            <w:vAlign w:val="center"/>
          </w:tcPr>
          <w:p>
            <w:pPr>
              <w:spacing w:line="240" w:lineRule="auto"/>
              <w:ind w:firstLine="0" w:firstLineChars="0"/>
              <w:jc w:val="center"/>
              <w:rPr>
                <w:sz w:val="21"/>
                <w:szCs w:val="21"/>
              </w:rPr>
            </w:pPr>
            <w:r>
              <w:rPr>
                <w:sz w:val="21"/>
                <w:szCs w:val="21"/>
              </w:rPr>
              <w:t>4</w:t>
            </w:r>
          </w:p>
        </w:tc>
        <w:tc>
          <w:tcPr>
            <w:tcW w:w="1012" w:type="pct"/>
            <w:vAlign w:val="center"/>
          </w:tcPr>
          <w:p>
            <w:pPr>
              <w:spacing w:line="240" w:lineRule="auto"/>
              <w:ind w:firstLine="0" w:firstLineChars="0"/>
              <w:jc w:val="center"/>
              <w:rPr>
                <w:sz w:val="21"/>
                <w:szCs w:val="21"/>
              </w:rPr>
            </w:pPr>
            <w:r>
              <w:rPr>
                <w:sz w:val="21"/>
                <w:szCs w:val="21"/>
              </w:rPr>
              <w:t>挖掘机</w:t>
            </w:r>
          </w:p>
        </w:tc>
        <w:tc>
          <w:tcPr>
            <w:tcW w:w="506" w:type="pct"/>
            <w:vAlign w:val="center"/>
          </w:tcPr>
          <w:p>
            <w:pPr>
              <w:spacing w:line="240" w:lineRule="auto"/>
              <w:ind w:firstLine="0" w:firstLineChars="0"/>
              <w:jc w:val="center"/>
              <w:rPr>
                <w:sz w:val="21"/>
                <w:szCs w:val="21"/>
              </w:rPr>
            </w:pPr>
            <w:r>
              <w:rPr>
                <w:sz w:val="21"/>
                <w:szCs w:val="21"/>
              </w:rPr>
              <w:t>卡特485</w:t>
            </w:r>
          </w:p>
        </w:tc>
        <w:tc>
          <w:tcPr>
            <w:tcW w:w="456" w:type="pct"/>
            <w:vAlign w:val="center"/>
          </w:tcPr>
          <w:p>
            <w:pPr>
              <w:spacing w:line="240" w:lineRule="auto"/>
              <w:ind w:firstLine="0" w:firstLineChars="0"/>
              <w:jc w:val="center"/>
              <w:rPr>
                <w:sz w:val="21"/>
                <w:szCs w:val="21"/>
              </w:rPr>
            </w:pPr>
            <w:r>
              <w:rPr>
                <w:sz w:val="21"/>
                <w:szCs w:val="21"/>
              </w:rPr>
              <w:t>-61</w:t>
            </w:r>
          </w:p>
        </w:tc>
        <w:tc>
          <w:tcPr>
            <w:tcW w:w="457" w:type="pct"/>
            <w:vAlign w:val="center"/>
          </w:tcPr>
          <w:p>
            <w:pPr>
              <w:spacing w:line="240" w:lineRule="auto"/>
              <w:ind w:firstLine="0" w:firstLineChars="0"/>
              <w:jc w:val="center"/>
              <w:rPr>
                <w:sz w:val="21"/>
                <w:szCs w:val="21"/>
              </w:rPr>
            </w:pPr>
            <w:r>
              <w:rPr>
                <w:sz w:val="21"/>
                <w:szCs w:val="21"/>
              </w:rPr>
              <w:t>-36</w:t>
            </w:r>
          </w:p>
        </w:tc>
        <w:tc>
          <w:tcPr>
            <w:tcW w:w="406" w:type="pct"/>
            <w:vAlign w:val="center"/>
          </w:tcPr>
          <w:p>
            <w:pPr>
              <w:spacing w:line="240" w:lineRule="auto"/>
              <w:ind w:firstLine="0" w:firstLineChars="0"/>
              <w:jc w:val="center"/>
              <w:rPr>
                <w:sz w:val="21"/>
                <w:szCs w:val="21"/>
              </w:rPr>
            </w:pPr>
            <w:r>
              <w:rPr>
                <w:sz w:val="21"/>
                <w:szCs w:val="21"/>
              </w:rPr>
              <w:t>15</w:t>
            </w:r>
          </w:p>
        </w:tc>
        <w:tc>
          <w:tcPr>
            <w:tcW w:w="702" w:type="pct"/>
            <w:vAlign w:val="center"/>
          </w:tcPr>
          <w:p>
            <w:pPr>
              <w:spacing w:line="240" w:lineRule="auto"/>
              <w:ind w:firstLine="0" w:firstLineChars="0"/>
              <w:jc w:val="center"/>
              <w:rPr>
                <w:sz w:val="21"/>
                <w:szCs w:val="21"/>
              </w:rPr>
            </w:pPr>
            <w:r>
              <w:rPr>
                <w:sz w:val="21"/>
                <w:szCs w:val="21"/>
              </w:rPr>
              <w:t>105/5</w:t>
            </w:r>
          </w:p>
        </w:tc>
        <w:tc>
          <w:tcPr>
            <w:tcW w:w="559" w:type="pct"/>
            <w:vMerge w:val="continue"/>
            <w:vAlign w:val="center"/>
          </w:tcPr>
          <w:p>
            <w:pPr>
              <w:spacing w:line="240" w:lineRule="auto"/>
              <w:ind w:firstLine="0" w:firstLineChars="0"/>
              <w:jc w:val="center"/>
              <w:rPr>
                <w:sz w:val="21"/>
                <w:szCs w:val="21"/>
              </w:rPr>
            </w:pPr>
          </w:p>
        </w:tc>
        <w:tc>
          <w:tcPr>
            <w:tcW w:w="548"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4" w:type="pct"/>
            <w:vAlign w:val="center"/>
          </w:tcPr>
          <w:p>
            <w:pPr>
              <w:spacing w:line="240" w:lineRule="auto"/>
              <w:ind w:firstLine="0" w:firstLineChars="0"/>
              <w:jc w:val="center"/>
              <w:rPr>
                <w:sz w:val="21"/>
                <w:szCs w:val="21"/>
              </w:rPr>
            </w:pPr>
            <w:r>
              <w:rPr>
                <w:sz w:val="21"/>
                <w:szCs w:val="21"/>
              </w:rPr>
              <w:t>5</w:t>
            </w:r>
          </w:p>
        </w:tc>
        <w:tc>
          <w:tcPr>
            <w:tcW w:w="1012" w:type="pct"/>
            <w:vAlign w:val="center"/>
          </w:tcPr>
          <w:p>
            <w:pPr>
              <w:spacing w:line="240" w:lineRule="auto"/>
              <w:ind w:firstLine="0" w:firstLineChars="0"/>
              <w:jc w:val="center"/>
              <w:rPr>
                <w:sz w:val="21"/>
                <w:szCs w:val="21"/>
              </w:rPr>
            </w:pPr>
            <w:r>
              <w:rPr>
                <w:sz w:val="21"/>
                <w:szCs w:val="21"/>
              </w:rPr>
              <w:t>液压破碎锤</w:t>
            </w:r>
          </w:p>
        </w:tc>
        <w:tc>
          <w:tcPr>
            <w:tcW w:w="506" w:type="pct"/>
            <w:vAlign w:val="center"/>
          </w:tcPr>
          <w:p>
            <w:pPr>
              <w:spacing w:line="240" w:lineRule="auto"/>
              <w:ind w:firstLine="0" w:firstLineChars="0"/>
              <w:jc w:val="center"/>
              <w:rPr>
                <w:sz w:val="21"/>
                <w:szCs w:val="21"/>
              </w:rPr>
            </w:pPr>
            <w:r>
              <w:rPr>
                <w:sz w:val="21"/>
                <w:szCs w:val="21"/>
              </w:rPr>
              <w:t>195型</w:t>
            </w:r>
          </w:p>
        </w:tc>
        <w:tc>
          <w:tcPr>
            <w:tcW w:w="456" w:type="pct"/>
            <w:vAlign w:val="center"/>
          </w:tcPr>
          <w:p>
            <w:pPr>
              <w:spacing w:line="240" w:lineRule="auto"/>
              <w:ind w:firstLine="0" w:firstLineChars="0"/>
              <w:jc w:val="center"/>
              <w:rPr>
                <w:sz w:val="21"/>
                <w:szCs w:val="21"/>
              </w:rPr>
            </w:pPr>
            <w:r>
              <w:rPr>
                <w:sz w:val="21"/>
                <w:szCs w:val="21"/>
              </w:rPr>
              <w:t>31</w:t>
            </w:r>
          </w:p>
        </w:tc>
        <w:tc>
          <w:tcPr>
            <w:tcW w:w="457" w:type="pct"/>
            <w:vAlign w:val="center"/>
          </w:tcPr>
          <w:p>
            <w:pPr>
              <w:spacing w:line="240" w:lineRule="auto"/>
              <w:ind w:firstLine="0" w:firstLineChars="0"/>
              <w:jc w:val="center"/>
              <w:rPr>
                <w:sz w:val="21"/>
                <w:szCs w:val="21"/>
              </w:rPr>
            </w:pPr>
            <w:r>
              <w:rPr>
                <w:sz w:val="21"/>
                <w:szCs w:val="21"/>
              </w:rPr>
              <w:t>44</w:t>
            </w:r>
          </w:p>
        </w:tc>
        <w:tc>
          <w:tcPr>
            <w:tcW w:w="406" w:type="pct"/>
            <w:vAlign w:val="center"/>
          </w:tcPr>
          <w:p>
            <w:pPr>
              <w:spacing w:line="240" w:lineRule="auto"/>
              <w:ind w:firstLine="0" w:firstLineChars="0"/>
              <w:jc w:val="center"/>
              <w:rPr>
                <w:sz w:val="21"/>
                <w:szCs w:val="21"/>
              </w:rPr>
            </w:pPr>
            <w:r>
              <w:rPr>
                <w:sz w:val="21"/>
                <w:szCs w:val="21"/>
              </w:rPr>
              <w:t>10</w:t>
            </w:r>
          </w:p>
        </w:tc>
        <w:tc>
          <w:tcPr>
            <w:tcW w:w="702" w:type="pct"/>
            <w:vAlign w:val="center"/>
          </w:tcPr>
          <w:p>
            <w:pPr>
              <w:spacing w:line="240" w:lineRule="auto"/>
              <w:ind w:firstLine="0" w:firstLineChars="0"/>
              <w:jc w:val="center"/>
              <w:rPr>
                <w:sz w:val="21"/>
                <w:szCs w:val="21"/>
              </w:rPr>
            </w:pPr>
            <w:r>
              <w:rPr>
                <w:sz w:val="21"/>
                <w:szCs w:val="21"/>
              </w:rPr>
              <w:t>90/5</w:t>
            </w:r>
          </w:p>
        </w:tc>
        <w:tc>
          <w:tcPr>
            <w:tcW w:w="559" w:type="pct"/>
            <w:vMerge w:val="continue"/>
            <w:vAlign w:val="center"/>
          </w:tcPr>
          <w:p>
            <w:pPr>
              <w:spacing w:line="240" w:lineRule="auto"/>
              <w:ind w:firstLine="0" w:firstLineChars="0"/>
              <w:jc w:val="center"/>
              <w:rPr>
                <w:sz w:val="21"/>
                <w:szCs w:val="21"/>
              </w:rPr>
            </w:pPr>
          </w:p>
        </w:tc>
        <w:tc>
          <w:tcPr>
            <w:tcW w:w="548"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4" w:type="pct"/>
            <w:vAlign w:val="center"/>
          </w:tcPr>
          <w:p>
            <w:pPr>
              <w:spacing w:line="240" w:lineRule="auto"/>
              <w:ind w:firstLine="0" w:firstLineChars="0"/>
              <w:jc w:val="center"/>
              <w:rPr>
                <w:sz w:val="21"/>
                <w:szCs w:val="21"/>
              </w:rPr>
            </w:pPr>
            <w:r>
              <w:rPr>
                <w:sz w:val="21"/>
                <w:szCs w:val="21"/>
              </w:rPr>
              <w:t>6</w:t>
            </w:r>
          </w:p>
        </w:tc>
        <w:tc>
          <w:tcPr>
            <w:tcW w:w="1012" w:type="pct"/>
            <w:vAlign w:val="center"/>
          </w:tcPr>
          <w:p>
            <w:pPr>
              <w:spacing w:line="240" w:lineRule="auto"/>
              <w:ind w:firstLine="0" w:firstLineChars="0"/>
              <w:jc w:val="center"/>
              <w:rPr>
                <w:sz w:val="21"/>
                <w:szCs w:val="21"/>
              </w:rPr>
            </w:pPr>
            <w:r>
              <w:rPr>
                <w:sz w:val="21"/>
                <w:szCs w:val="21"/>
              </w:rPr>
              <w:t>液压破碎锤</w:t>
            </w:r>
          </w:p>
        </w:tc>
        <w:tc>
          <w:tcPr>
            <w:tcW w:w="506" w:type="pct"/>
            <w:vAlign w:val="center"/>
          </w:tcPr>
          <w:p>
            <w:pPr>
              <w:spacing w:line="240" w:lineRule="auto"/>
              <w:ind w:firstLine="0" w:firstLineChars="0"/>
              <w:jc w:val="center"/>
              <w:rPr>
                <w:sz w:val="21"/>
                <w:szCs w:val="21"/>
              </w:rPr>
            </w:pPr>
            <w:r>
              <w:rPr>
                <w:sz w:val="21"/>
                <w:szCs w:val="21"/>
              </w:rPr>
              <w:t>175型</w:t>
            </w:r>
          </w:p>
        </w:tc>
        <w:tc>
          <w:tcPr>
            <w:tcW w:w="456" w:type="pct"/>
            <w:vAlign w:val="center"/>
          </w:tcPr>
          <w:p>
            <w:pPr>
              <w:spacing w:line="240" w:lineRule="auto"/>
              <w:ind w:firstLine="0" w:firstLineChars="0"/>
              <w:jc w:val="center"/>
              <w:rPr>
                <w:sz w:val="21"/>
                <w:szCs w:val="21"/>
              </w:rPr>
            </w:pPr>
            <w:r>
              <w:rPr>
                <w:sz w:val="21"/>
                <w:szCs w:val="21"/>
              </w:rPr>
              <w:t>-8</w:t>
            </w:r>
          </w:p>
        </w:tc>
        <w:tc>
          <w:tcPr>
            <w:tcW w:w="457" w:type="pct"/>
            <w:vAlign w:val="center"/>
          </w:tcPr>
          <w:p>
            <w:pPr>
              <w:spacing w:line="240" w:lineRule="auto"/>
              <w:ind w:firstLine="0" w:firstLineChars="0"/>
              <w:jc w:val="center"/>
              <w:rPr>
                <w:sz w:val="21"/>
                <w:szCs w:val="21"/>
              </w:rPr>
            </w:pPr>
            <w:r>
              <w:rPr>
                <w:sz w:val="21"/>
                <w:szCs w:val="21"/>
              </w:rPr>
              <w:t>10</w:t>
            </w:r>
          </w:p>
        </w:tc>
        <w:tc>
          <w:tcPr>
            <w:tcW w:w="406" w:type="pct"/>
            <w:vAlign w:val="center"/>
          </w:tcPr>
          <w:p>
            <w:pPr>
              <w:spacing w:line="240" w:lineRule="auto"/>
              <w:ind w:firstLine="0" w:firstLineChars="0"/>
              <w:jc w:val="center"/>
              <w:rPr>
                <w:sz w:val="21"/>
                <w:szCs w:val="21"/>
              </w:rPr>
            </w:pPr>
            <w:r>
              <w:rPr>
                <w:sz w:val="21"/>
                <w:szCs w:val="21"/>
              </w:rPr>
              <w:t>10</w:t>
            </w:r>
          </w:p>
        </w:tc>
        <w:tc>
          <w:tcPr>
            <w:tcW w:w="702" w:type="pct"/>
            <w:vAlign w:val="center"/>
          </w:tcPr>
          <w:p>
            <w:pPr>
              <w:spacing w:line="240" w:lineRule="auto"/>
              <w:ind w:firstLine="0" w:firstLineChars="0"/>
              <w:jc w:val="center"/>
              <w:rPr>
                <w:sz w:val="21"/>
                <w:szCs w:val="21"/>
              </w:rPr>
            </w:pPr>
            <w:r>
              <w:rPr>
                <w:sz w:val="21"/>
                <w:szCs w:val="21"/>
              </w:rPr>
              <w:t>90/5</w:t>
            </w:r>
          </w:p>
        </w:tc>
        <w:tc>
          <w:tcPr>
            <w:tcW w:w="559" w:type="pct"/>
            <w:vMerge w:val="continue"/>
            <w:vAlign w:val="center"/>
          </w:tcPr>
          <w:p>
            <w:pPr>
              <w:spacing w:line="240" w:lineRule="auto"/>
              <w:ind w:firstLine="0" w:firstLineChars="0"/>
              <w:jc w:val="center"/>
              <w:rPr>
                <w:sz w:val="21"/>
                <w:szCs w:val="21"/>
              </w:rPr>
            </w:pPr>
          </w:p>
        </w:tc>
        <w:tc>
          <w:tcPr>
            <w:tcW w:w="548" w:type="pct"/>
            <w:vAlign w:val="center"/>
          </w:tcPr>
          <w:p>
            <w:pPr>
              <w:spacing w:line="240" w:lineRule="auto"/>
              <w:ind w:firstLine="0" w:firstLineChars="0"/>
              <w:jc w:val="center"/>
              <w:rPr>
                <w:sz w:val="21"/>
                <w:szCs w:val="21"/>
              </w:rPr>
            </w:pPr>
            <w:r>
              <w:rPr>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4" w:type="pct"/>
            <w:vAlign w:val="center"/>
          </w:tcPr>
          <w:p>
            <w:pPr>
              <w:spacing w:line="240" w:lineRule="auto"/>
              <w:ind w:firstLine="0" w:firstLineChars="0"/>
              <w:jc w:val="center"/>
              <w:rPr>
                <w:sz w:val="21"/>
                <w:szCs w:val="21"/>
              </w:rPr>
            </w:pPr>
            <w:r>
              <w:rPr>
                <w:sz w:val="21"/>
                <w:szCs w:val="21"/>
              </w:rPr>
              <w:t>7</w:t>
            </w:r>
          </w:p>
        </w:tc>
        <w:tc>
          <w:tcPr>
            <w:tcW w:w="1012" w:type="pct"/>
            <w:vAlign w:val="center"/>
          </w:tcPr>
          <w:p>
            <w:pPr>
              <w:spacing w:line="240" w:lineRule="auto"/>
              <w:ind w:firstLine="0" w:firstLineChars="0"/>
              <w:jc w:val="center"/>
              <w:rPr>
                <w:sz w:val="21"/>
                <w:szCs w:val="21"/>
              </w:rPr>
            </w:pPr>
            <w:r>
              <w:rPr>
                <w:sz w:val="21"/>
                <w:szCs w:val="21"/>
              </w:rPr>
              <w:t>液压破碎锤</w:t>
            </w:r>
          </w:p>
        </w:tc>
        <w:tc>
          <w:tcPr>
            <w:tcW w:w="506" w:type="pct"/>
            <w:vAlign w:val="center"/>
          </w:tcPr>
          <w:p>
            <w:pPr>
              <w:spacing w:line="240" w:lineRule="auto"/>
              <w:ind w:firstLine="0" w:firstLineChars="0"/>
              <w:jc w:val="center"/>
              <w:rPr>
                <w:sz w:val="21"/>
                <w:szCs w:val="21"/>
              </w:rPr>
            </w:pPr>
            <w:r>
              <w:rPr>
                <w:sz w:val="21"/>
                <w:szCs w:val="21"/>
              </w:rPr>
              <w:t>140型</w:t>
            </w:r>
          </w:p>
        </w:tc>
        <w:tc>
          <w:tcPr>
            <w:tcW w:w="456" w:type="pct"/>
            <w:vAlign w:val="center"/>
          </w:tcPr>
          <w:p>
            <w:pPr>
              <w:spacing w:line="240" w:lineRule="auto"/>
              <w:ind w:firstLine="0" w:firstLineChars="0"/>
              <w:jc w:val="center"/>
              <w:rPr>
                <w:sz w:val="21"/>
                <w:szCs w:val="21"/>
              </w:rPr>
            </w:pPr>
            <w:r>
              <w:rPr>
                <w:sz w:val="21"/>
                <w:szCs w:val="21"/>
              </w:rPr>
              <w:t>-35</w:t>
            </w:r>
          </w:p>
        </w:tc>
        <w:tc>
          <w:tcPr>
            <w:tcW w:w="457" w:type="pct"/>
            <w:vAlign w:val="center"/>
          </w:tcPr>
          <w:p>
            <w:pPr>
              <w:spacing w:line="240" w:lineRule="auto"/>
              <w:ind w:firstLine="0" w:firstLineChars="0"/>
              <w:jc w:val="center"/>
              <w:rPr>
                <w:sz w:val="21"/>
                <w:szCs w:val="21"/>
              </w:rPr>
            </w:pPr>
            <w:r>
              <w:rPr>
                <w:sz w:val="21"/>
                <w:szCs w:val="21"/>
              </w:rPr>
              <w:t>-24</w:t>
            </w:r>
          </w:p>
        </w:tc>
        <w:tc>
          <w:tcPr>
            <w:tcW w:w="406" w:type="pct"/>
            <w:vAlign w:val="center"/>
          </w:tcPr>
          <w:p>
            <w:pPr>
              <w:spacing w:line="240" w:lineRule="auto"/>
              <w:ind w:firstLine="0" w:firstLineChars="0"/>
              <w:jc w:val="center"/>
              <w:rPr>
                <w:sz w:val="21"/>
                <w:szCs w:val="21"/>
              </w:rPr>
            </w:pPr>
            <w:r>
              <w:rPr>
                <w:sz w:val="21"/>
                <w:szCs w:val="21"/>
              </w:rPr>
              <w:t>10</w:t>
            </w:r>
          </w:p>
        </w:tc>
        <w:tc>
          <w:tcPr>
            <w:tcW w:w="702" w:type="pct"/>
            <w:vAlign w:val="center"/>
          </w:tcPr>
          <w:p>
            <w:pPr>
              <w:spacing w:line="240" w:lineRule="auto"/>
              <w:ind w:firstLine="0" w:firstLineChars="0"/>
              <w:jc w:val="center"/>
              <w:rPr>
                <w:sz w:val="21"/>
                <w:szCs w:val="21"/>
              </w:rPr>
            </w:pPr>
            <w:r>
              <w:rPr>
                <w:sz w:val="21"/>
                <w:szCs w:val="21"/>
              </w:rPr>
              <w:t>90/5</w:t>
            </w:r>
          </w:p>
        </w:tc>
        <w:tc>
          <w:tcPr>
            <w:tcW w:w="559" w:type="pct"/>
            <w:vMerge w:val="continue"/>
            <w:vAlign w:val="center"/>
          </w:tcPr>
          <w:p>
            <w:pPr>
              <w:spacing w:line="240" w:lineRule="auto"/>
              <w:ind w:firstLine="0" w:firstLineChars="0"/>
              <w:jc w:val="center"/>
              <w:rPr>
                <w:sz w:val="21"/>
                <w:szCs w:val="21"/>
              </w:rPr>
            </w:pPr>
          </w:p>
        </w:tc>
        <w:tc>
          <w:tcPr>
            <w:tcW w:w="548" w:type="pct"/>
            <w:vAlign w:val="center"/>
          </w:tcPr>
          <w:p>
            <w:pPr>
              <w:spacing w:line="240" w:lineRule="auto"/>
              <w:ind w:firstLine="0" w:firstLineChars="0"/>
              <w:jc w:val="center"/>
              <w:rPr>
                <w:sz w:val="21"/>
                <w:szCs w:val="21"/>
              </w:rPr>
            </w:pPr>
            <w:r>
              <w:rPr>
                <w:sz w:val="21"/>
                <w:szCs w:val="21"/>
              </w:rPr>
              <w:t>昼间</w:t>
            </w:r>
          </w:p>
        </w:tc>
      </w:tr>
    </w:tbl>
    <w:p>
      <w:pPr>
        <w:pStyle w:val="84"/>
      </w:pPr>
      <w:r>
        <w:t>表3.3-6工业场地噪声源强调查清单（室内声源）  dB（A）</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743"/>
        <w:gridCol w:w="991"/>
        <w:gridCol w:w="1650"/>
        <w:gridCol w:w="1343"/>
        <w:gridCol w:w="1110"/>
        <w:gridCol w:w="832"/>
        <w:gridCol w:w="692"/>
        <w:gridCol w:w="692"/>
        <w:gridCol w:w="832"/>
        <w:gridCol w:w="832"/>
        <w:gridCol w:w="1137"/>
        <w:gridCol w:w="966"/>
        <w:gridCol w:w="1037"/>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5" w:hRule="atLeast"/>
          <w:jc w:val="center"/>
        </w:trPr>
        <w:tc>
          <w:tcPr>
            <w:tcW w:w="187"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267"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建筑物名称</w:t>
            </w:r>
          </w:p>
        </w:tc>
        <w:tc>
          <w:tcPr>
            <w:tcW w:w="354"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声源名称</w:t>
            </w:r>
          </w:p>
        </w:tc>
        <w:tc>
          <w:tcPr>
            <w:tcW w:w="503"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型号</w:t>
            </w:r>
          </w:p>
        </w:tc>
        <w:tc>
          <w:tcPr>
            <w:tcW w:w="47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声源源强</w:t>
            </w:r>
          </w:p>
        </w:tc>
        <w:tc>
          <w:tcPr>
            <w:tcW w:w="396"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声源控制措施</w:t>
            </w:r>
          </w:p>
        </w:tc>
        <w:tc>
          <w:tcPr>
            <w:tcW w:w="796" w:type="pct"/>
            <w:gridSpan w:val="3"/>
            <w:tcBorders>
              <w:bottom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空间相对位置/m</w:t>
            </w:r>
          </w:p>
        </w:tc>
        <w:tc>
          <w:tcPr>
            <w:tcW w:w="298"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距室内边界距离/m</w:t>
            </w:r>
          </w:p>
        </w:tc>
        <w:tc>
          <w:tcPr>
            <w:tcW w:w="298"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室内边界声级/dB（A）</w:t>
            </w:r>
          </w:p>
        </w:tc>
        <w:tc>
          <w:tcPr>
            <w:tcW w:w="405"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运行时段</w:t>
            </w:r>
          </w:p>
        </w:tc>
        <w:tc>
          <w:tcPr>
            <w:tcW w:w="345"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建筑物插入损失/dB（A）</w:t>
            </w:r>
          </w:p>
        </w:tc>
        <w:tc>
          <w:tcPr>
            <w:tcW w:w="672"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5" w:hRule="atLeast"/>
          <w:jc w:val="center"/>
        </w:trPr>
        <w:tc>
          <w:tcPr>
            <w:tcW w:w="187"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267"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354"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503"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47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（声压级/距声源距离）dB（A）/m</w:t>
            </w:r>
          </w:p>
        </w:tc>
        <w:tc>
          <w:tcPr>
            <w:tcW w:w="396" w:type="pct"/>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298"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X</w:t>
            </w:r>
          </w:p>
        </w:tc>
        <w:tc>
          <w:tcPr>
            <w:tcW w:w="249"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Y</w:t>
            </w:r>
          </w:p>
        </w:tc>
        <w:tc>
          <w:tcPr>
            <w:tcW w:w="248" w:type="pct"/>
            <w:tcBorders>
              <w:top w:val="single" w:color="auto" w:sz="4" w:space="0"/>
            </w:tcBorders>
            <w:shd w:val="clear" w:color="auto" w:fill="D8D8D8" w:themeFill="background1" w:themeFillShade="D9"/>
            <w:vAlign w:val="center"/>
          </w:tcPr>
          <w:p>
            <w:pPr>
              <w:spacing w:line="240" w:lineRule="auto"/>
              <w:ind w:firstLine="0" w:firstLineChars="0"/>
              <w:jc w:val="center"/>
              <w:rPr>
                <w:b/>
                <w:sz w:val="21"/>
                <w:szCs w:val="21"/>
              </w:rPr>
            </w:pPr>
            <w:r>
              <w:rPr>
                <w:b/>
                <w:sz w:val="21"/>
                <w:szCs w:val="21"/>
              </w:rPr>
              <w:t>Z</w:t>
            </w:r>
          </w:p>
        </w:tc>
        <w:tc>
          <w:tcPr>
            <w:tcW w:w="298" w:type="pct"/>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298"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405"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345" w:type="pct"/>
            <w:vMerge w:val="continue"/>
            <w:shd w:val="clear" w:color="auto" w:fill="D8D8D8" w:themeFill="background1" w:themeFillShade="D9"/>
            <w:vAlign w:val="center"/>
          </w:tcPr>
          <w:p>
            <w:pPr>
              <w:spacing w:line="240" w:lineRule="auto"/>
              <w:ind w:firstLine="0" w:firstLineChars="0"/>
              <w:jc w:val="center"/>
              <w:rPr>
                <w:sz w:val="21"/>
                <w:szCs w:val="21"/>
              </w:rPr>
            </w:pPr>
          </w:p>
        </w:tc>
        <w:tc>
          <w:tcPr>
            <w:tcW w:w="37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声压级/dB（A）</w:t>
            </w:r>
          </w:p>
        </w:tc>
        <w:tc>
          <w:tcPr>
            <w:tcW w:w="30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7" w:type="pct"/>
            <w:vAlign w:val="center"/>
          </w:tcPr>
          <w:p>
            <w:pPr>
              <w:spacing w:line="240" w:lineRule="auto"/>
              <w:ind w:firstLine="0" w:firstLineChars="0"/>
              <w:jc w:val="center"/>
              <w:rPr>
                <w:sz w:val="21"/>
                <w:szCs w:val="21"/>
              </w:rPr>
            </w:pPr>
            <w:r>
              <w:rPr>
                <w:sz w:val="21"/>
                <w:szCs w:val="21"/>
              </w:rPr>
              <w:t>1</w:t>
            </w:r>
          </w:p>
        </w:tc>
        <w:tc>
          <w:tcPr>
            <w:tcW w:w="267" w:type="pct"/>
            <w:vMerge w:val="restart"/>
            <w:vAlign w:val="center"/>
          </w:tcPr>
          <w:p>
            <w:pPr>
              <w:spacing w:line="240" w:lineRule="auto"/>
              <w:ind w:firstLine="0" w:firstLineChars="0"/>
              <w:jc w:val="center"/>
              <w:rPr>
                <w:sz w:val="21"/>
                <w:szCs w:val="21"/>
              </w:rPr>
            </w:pPr>
            <w:r>
              <w:rPr>
                <w:sz w:val="21"/>
                <w:szCs w:val="21"/>
              </w:rPr>
              <w:t>工业加工车间</w:t>
            </w:r>
          </w:p>
        </w:tc>
        <w:tc>
          <w:tcPr>
            <w:tcW w:w="354" w:type="pct"/>
            <w:vAlign w:val="center"/>
          </w:tcPr>
          <w:p>
            <w:pPr>
              <w:spacing w:line="240" w:lineRule="auto"/>
              <w:ind w:firstLine="0" w:firstLineChars="0"/>
              <w:jc w:val="center"/>
              <w:rPr>
                <w:sz w:val="21"/>
                <w:szCs w:val="21"/>
              </w:rPr>
            </w:pPr>
            <w:r>
              <w:rPr>
                <w:sz w:val="21"/>
                <w:szCs w:val="21"/>
              </w:rPr>
              <w:t>颚式破碎机</w:t>
            </w:r>
          </w:p>
        </w:tc>
        <w:tc>
          <w:tcPr>
            <w:tcW w:w="503" w:type="pct"/>
            <w:vAlign w:val="center"/>
          </w:tcPr>
          <w:p>
            <w:pPr>
              <w:spacing w:line="240" w:lineRule="auto"/>
              <w:ind w:firstLine="0" w:firstLineChars="0"/>
              <w:jc w:val="center"/>
              <w:rPr>
                <w:sz w:val="21"/>
                <w:szCs w:val="21"/>
              </w:rPr>
            </w:pPr>
            <w:r>
              <w:rPr>
                <w:sz w:val="21"/>
                <w:szCs w:val="21"/>
              </w:rPr>
              <w:t>PE1000*1200</w:t>
            </w:r>
          </w:p>
        </w:tc>
        <w:tc>
          <w:tcPr>
            <w:tcW w:w="478" w:type="pct"/>
            <w:vAlign w:val="center"/>
          </w:tcPr>
          <w:p>
            <w:pPr>
              <w:spacing w:line="240" w:lineRule="auto"/>
              <w:ind w:firstLine="0" w:firstLineChars="0"/>
              <w:jc w:val="center"/>
              <w:rPr>
                <w:sz w:val="21"/>
                <w:szCs w:val="21"/>
              </w:rPr>
            </w:pPr>
            <w:r>
              <w:rPr>
                <w:sz w:val="21"/>
                <w:szCs w:val="21"/>
              </w:rPr>
              <w:t>105</w:t>
            </w:r>
          </w:p>
        </w:tc>
        <w:tc>
          <w:tcPr>
            <w:tcW w:w="396" w:type="pct"/>
            <w:vAlign w:val="center"/>
          </w:tcPr>
          <w:p>
            <w:pPr>
              <w:spacing w:line="240" w:lineRule="auto"/>
              <w:ind w:firstLine="0" w:firstLineChars="0"/>
              <w:jc w:val="center"/>
              <w:rPr>
                <w:sz w:val="21"/>
                <w:szCs w:val="21"/>
              </w:rPr>
            </w:pPr>
            <w:r>
              <w:rPr>
                <w:sz w:val="21"/>
                <w:szCs w:val="21"/>
              </w:rPr>
              <w:t>基础减震</w:t>
            </w:r>
          </w:p>
        </w:tc>
        <w:tc>
          <w:tcPr>
            <w:tcW w:w="298" w:type="pct"/>
            <w:vAlign w:val="center"/>
          </w:tcPr>
          <w:p>
            <w:pPr>
              <w:spacing w:line="240" w:lineRule="auto"/>
              <w:ind w:firstLine="0" w:firstLineChars="0"/>
              <w:jc w:val="center"/>
              <w:rPr>
                <w:sz w:val="21"/>
                <w:szCs w:val="21"/>
              </w:rPr>
            </w:pPr>
            <w:r>
              <w:rPr>
                <w:sz w:val="21"/>
                <w:szCs w:val="21"/>
              </w:rPr>
              <w:t>33</w:t>
            </w:r>
          </w:p>
        </w:tc>
        <w:tc>
          <w:tcPr>
            <w:tcW w:w="249" w:type="pct"/>
            <w:vAlign w:val="center"/>
          </w:tcPr>
          <w:p>
            <w:pPr>
              <w:spacing w:line="240" w:lineRule="auto"/>
              <w:ind w:firstLine="0" w:firstLineChars="0"/>
              <w:jc w:val="center"/>
              <w:rPr>
                <w:sz w:val="21"/>
                <w:szCs w:val="21"/>
              </w:rPr>
            </w:pPr>
            <w:r>
              <w:rPr>
                <w:sz w:val="21"/>
                <w:szCs w:val="21"/>
              </w:rPr>
              <w:t>64</w:t>
            </w:r>
          </w:p>
        </w:tc>
        <w:tc>
          <w:tcPr>
            <w:tcW w:w="248" w:type="pct"/>
            <w:vAlign w:val="center"/>
          </w:tcPr>
          <w:p>
            <w:pPr>
              <w:spacing w:line="240" w:lineRule="auto"/>
              <w:ind w:firstLine="0" w:firstLineChars="0"/>
              <w:jc w:val="center"/>
              <w:rPr>
                <w:sz w:val="21"/>
                <w:szCs w:val="21"/>
              </w:rPr>
            </w:pPr>
            <w:r>
              <w:rPr>
                <w:sz w:val="21"/>
                <w:szCs w:val="21"/>
              </w:rPr>
              <w:t>1.5</w:t>
            </w:r>
          </w:p>
        </w:tc>
        <w:tc>
          <w:tcPr>
            <w:tcW w:w="298" w:type="pct"/>
            <w:vAlign w:val="center"/>
          </w:tcPr>
          <w:p>
            <w:pPr>
              <w:spacing w:line="240" w:lineRule="auto"/>
              <w:ind w:firstLine="0" w:firstLineChars="0"/>
              <w:jc w:val="center"/>
              <w:rPr>
                <w:sz w:val="21"/>
                <w:szCs w:val="21"/>
              </w:rPr>
            </w:pPr>
            <w:r>
              <w:rPr>
                <w:sz w:val="21"/>
                <w:szCs w:val="21"/>
              </w:rPr>
              <w:t>3</w:t>
            </w:r>
          </w:p>
        </w:tc>
        <w:tc>
          <w:tcPr>
            <w:tcW w:w="298" w:type="pct"/>
            <w:vAlign w:val="center"/>
          </w:tcPr>
          <w:p>
            <w:pPr>
              <w:spacing w:line="240" w:lineRule="auto"/>
              <w:ind w:firstLine="0" w:firstLineChars="0"/>
              <w:jc w:val="center"/>
              <w:rPr>
                <w:sz w:val="21"/>
                <w:szCs w:val="21"/>
              </w:rPr>
            </w:pPr>
            <w:r>
              <w:rPr>
                <w:sz w:val="21"/>
                <w:szCs w:val="21"/>
              </w:rPr>
              <w:t>89.3</w:t>
            </w:r>
          </w:p>
        </w:tc>
        <w:tc>
          <w:tcPr>
            <w:tcW w:w="405" w:type="pct"/>
            <w:vAlign w:val="center"/>
          </w:tcPr>
          <w:p>
            <w:pPr>
              <w:spacing w:line="240" w:lineRule="auto"/>
              <w:ind w:firstLine="0" w:firstLineChars="0"/>
              <w:jc w:val="center"/>
              <w:rPr>
                <w:sz w:val="21"/>
                <w:szCs w:val="21"/>
              </w:rPr>
            </w:pPr>
            <w:r>
              <w:rPr>
                <w:sz w:val="21"/>
                <w:szCs w:val="21"/>
              </w:rPr>
              <w:t>生产期间</w:t>
            </w:r>
          </w:p>
        </w:tc>
        <w:tc>
          <w:tcPr>
            <w:tcW w:w="345" w:type="pct"/>
            <w:vAlign w:val="center"/>
          </w:tcPr>
          <w:p>
            <w:pPr>
              <w:spacing w:line="240" w:lineRule="auto"/>
              <w:ind w:firstLine="0" w:firstLineChars="0"/>
              <w:jc w:val="center"/>
              <w:rPr>
                <w:sz w:val="21"/>
                <w:szCs w:val="21"/>
              </w:rPr>
            </w:pPr>
            <w:r>
              <w:rPr>
                <w:sz w:val="21"/>
                <w:szCs w:val="21"/>
              </w:rPr>
              <w:t>20</w:t>
            </w:r>
          </w:p>
        </w:tc>
        <w:tc>
          <w:tcPr>
            <w:tcW w:w="370" w:type="pct"/>
            <w:vAlign w:val="center"/>
          </w:tcPr>
          <w:p>
            <w:pPr>
              <w:spacing w:line="240" w:lineRule="auto"/>
              <w:ind w:firstLine="0" w:firstLineChars="0"/>
              <w:jc w:val="center"/>
              <w:rPr>
                <w:sz w:val="21"/>
                <w:szCs w:val="21"/>
              </w:rPr>
            </w:pPr>
            <w:r>
              <w:rPr>
                <w:sz w:val="21"/>
                <w:szCs w:val="21"/>
              </w:rPr>
              <w:t>69.3</w:t>
            </w:r>
          </w:p>
        </w:tc>
        <w:tc>
          <w:tcPr>
            <w:tcW w:w="303" w:type="pct"/>
            <w:vAlign w:val="center"/>
          </w:tcPr>
          <w:p>
            <w:pPr>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7" w:type="pct"/>
            <w:vAlign w:val="center"/>
          </w:tcPr>
          <w:p>
            <w:pPr>
              <w:spacing w:line="240" w:lineRule="auto"/>
              <w:ind w:firstLine="0" w:firstLineChars="0"/>
              <w:jc w:val="center"/>
              <w:rPr>
                <w:sz w:val="21"/>
                <w:szCs w:val="21"/>
              </w:rPr>
            </w:pPr>
            <w:r>
              <w:rPr>
                <w:sz w:val="21"/>
                <w:szCs w:val="21"/>
              </w:rPr>
              <w:t>2</w:t>
            </w:r>
          </w:p>
        </w:tc>
        <w:tc>
          <w:tcPr>
            <w:tcW w:w="267" w:type="pct"/>
            <w:vMerge w:val="continue"/>
            <w:vAlign w:val="center"/>
          </w:tcPr>
          <w:p>
            <w:pPr>
              <w:spacing w:line="240" w:lineRule="auto"/>
              <w:ind w:firstLine="0" w:firstLineChars="0"/>
              <w:jc w:val="center"/>
              <w:rPr>
                <w:sz w:val="21"/>
                <w:szCs w:val="21"/>
              </w:rPr>
            </w:pPr>
          </w:p>
        </w:tc>
        <w:tc>
          <w:tcPr>
            <w:tcW w:w="354" w:type="pct"/>
            <w:vAlign w:val="center"/>
          </w:tcPr>
          <w:p>
            <w:pPr>
              <w:spacing w:line="240" w:lineRule="auto"/>
              <w:ind w:firstLine="0" w:firstLineChars="0"/>
              <w:jc w:val="center"/>
              <w:rPr>
                <w:sz w:val="21"/>
                <w:szCs w:val="21"/>
              </w:rPr>
            </w:pPr>
            <w:r>
              <w:rPr>
                <w:sz w:val="21"/>
                <w:szCs w:val="21"/>
              </w:rPr>
              <w:t>颚式破碎机</w:t>
            </w:r>
          </w:p>
        </w:tc>
        <w:tc>
          <w:tcPr>
            <w:tcW w:w="503" w:type="pct"/>
            <w:vAlign w:val="center"/>
          </w:tcPr>
          <w:p>
            <w:pPr>
              <w:spacing w:line="240" w:lineRule="auto"/>
              <w:ind w:firstLine="0" w:firstLineChars="0"/>
              <w:jc w:val="center"/>
              <w:rPr>
                <w:sz w:val="21"/>
                <w:szCs w:val="21"/>
              </w:rPr>
            </w:pPr>
            <w:r>
              <w:rPr>
                <w:sz w:val="21"/>
                <w:szCs w:val="21"/>
              </w:rPr>
              <w:t>PE1000*1200</w:t>
            </w:r>
          </w:p>
        </w:tc>
        <w:tc>
          <w:tcPr>
            <w:tcW w:w="478" w:type="pct"/>
            <w:vAlign w:val="center"/>
          </w:tcPr>
          <w:p>
            <w:pPr>
              <w:spacing w:line="240" w:lineRule="auto"/>
              <w:ind w:firstLine="0" w:firstLineChars="0"/>
              <w:jc w:val="center"/>
              <w:rPr>
                <w:sz w:val="21"/>
                <w:szCs w:val="21"/>
              </w:rPr>
            </w:pPr>
            <w:r>
              <w:rPr>
                <w:sz w:val="21"/>
                <w:szCs w:val="21"/>
              </w:rPr>
              <w:t>105</w:t>
            </w:r>
          </w:p>
        </w:tc>
        <w:tc>
          <w:tcPr>
            <w:tcW w:w="396" w:type="pct"/>
            <w:vAlign w:val="center"/>
          </w:tcPr>
          <w:p>
            <w:pPr>
              <w:spacing w:line="240" w:lineRule="auto"/>
              <w:ind w:firstLine="0" w:firstLineChars="0"/>
              <w:jc w:val="center"/>
              <w:rPr>
                <w:sz w:val="21"/>
                <w:szCs w:val="21"/>
              </w:rPr>
            </w:pPr>
            <w:r>
              <w:rPr>
                <w:sz w:val="21"/>
                <w:szCs w:val="21"/>
              </w:rPr>
              <w:t>基础减震</w:t>
            </w:r>
          </w:p>
        </w:tc>
        <w:tc>
          <w:tcPr>
            <w:tcW w:w="298" w:type="pct"/>
            <w:vAlign w:val="center"/>
          </w:tcPr>
          <w:p>
            <w:pPr>
              <w:spacing w:line="240" w:lineRule="auto"/>
              <w:ind w:firstLine="0" w:firstLineChars="0"/>
              <w:jc w:val="center"/>
              <w:rPr>
                <w:sz w:val="21"/>
                <w:szCs w:val="21"/>
              </w:rPr>
            </w:pPr>
            <w:r>
              <w:rPr>
                <w:sz w:val="21"/>
                <w:szCs w:val="21"/>
              </w:rPr>
              <w:t>7.5</w:t>
            </w:r>
          </w:p>
        </w:tc>
        <w:tc>
          <w:tcPr>
            <w:tcW w:w="249" w:type="pct"/>
            <w:vAlign w:val="center"/>
          </w:tcPr>
          <w:p>
            <w:pPr>
              <w:spacing w:line="240" w:lineRule="auto"/>
              <w:ind w:firstLine="0" w:firstLineChars="0"/>
              <w:jc w:val="center"/>
              <w:rPr>
                <w:sz w:val="21"/>
                <w:szCs w:val="21"/>
              </w:rPr>
            </w:pPr>
            <w:r>
              <w:rPr>
                <w:sz w:val="21"/>
                <w:szCs w:val="21"/>
              </w:rPr>
              <w:t>35</w:t>
            </w:r>
          </w:p>
        </w:tc>
        <w:tc>
          <w:tcPr>
            <w:tcW w:w="248" w:type="pct"/>
            <w:vAlign w:val="center"/>
          </w:tcPr>
          <w:p>
            <w:pPr>
              <w:spacing w:line="240" w:lineRule="auto"/>
              <w:ind w:firstLine="0" w:firstLineChars="0"/>
              <w:jc w:val="center"/>
              <w:rPr>
                <w:sz w:val="21"/>
                <w:szCs w:val="21"/>
              </w:rPr>
            </w:pPr>
            <w:r>
              <w:rPr>
                <w:sz w:val="21"/>
                <w:szCs w:val="21"/>
              </w:rPr>
              <w:t>1.5</w:t>
            </w:r>
          </w:p>
        </w:tc>
        <w:tc>
          <w:tcPr>
            <w:tcW w:w="298" w:type="pct"/>
            <w:vAlign w:val="center"/>
          </w:tcPr>
          <w:p>
            <w:pPr>
              <w:spacing w:line="240" w:lineRule="auto"/>
              <w:ind w:firstLine="0" w:firstLineChars="0"/>
              <w:jc w:val="center"/>
              <w:rPr>
                <w:sz w:val="21"/>
                <w:szCs w:val="21"/>
              </w:rPr>
            </w:pPr>
            <w:r>
              <w:rPr>
                <w:sz w:val="21"/>
                <w:szCs w:val="21"/>
              </w:rPr>
              <w:t>3</w:t>
            </w:r>
          </w:p>
        </w:tc>
        <w:tc>
          <w:tcPr>
            <w:tcW w:w="298" w:type="pct"/>
            <w:vAlign w:val="center"/>
          </w:tcPr>
          <w:p>
            <w:pPr>
              <w:spacing w:line="240" w:lineRule="auto"/>
              <w:ind w:firstLine="0" w:firstLineChars="0"/>
              <w:jc w:val="center"/>
              <w:rPr>
                <w:sz w:val="21"/>
                <w:szCs w:val="21"/>
              </w:rPr>
            </w:pPr>
            <w:r>
              <w:rPr>
                <w:sz w:val="21"/>
                <w:szCs w:val="21"/>
              </w:rPr>
              <w:t>89.3</w:t>
            </w:r>
          </w:p>
        </w:tc>
        <w:tc>
          <w:tcPr>
            <w:tcW w:w="405" w:type="pct"/>
            <w:vAlign w:val="center"/>
          </w:tcPr>
          <w:p>
            <w:pPr>
              <w:spacing w:line="240" w:lineRule="auto"/>
              <w:ind w:firstLine="0" w:firstLineChars="0"/>
              <w:jc w:val="center"/>
              <w:rPr>
                <w:sz w:val="21"/>
                <w:szCs w:val="21"/>
              </w:rPr>
            </w:pPr>
            <w:r>
              <w:rPr>
                <w:sz w:val="21"/>
                <w:szCs w:val="21"/>
              </w:rPr>
              <w:t>生产期间</w:t>
            </w:r>
          </w:p>
        </w:tc>
        <w:tc>
          <w:tcPr>
            <w:tcW w:w="345" w:type="pct"/>
            <w:vAlign w:val="center"/>
          </w:tcPr>
          <w:p>
            <w:pPr>
              <w:spacing w:line="240" w:lineRule="auto"/>
              <w:ind w:firstLine="0" w:firstLineChars="0"/>
              <w:jc w:val="center"/>
              <w:rPr>
                <w:sz w:val="21"/>
                <w:szCs w:val="21"/>
              </w:rPr>
            </w:pPr>
            <w:r>
              <w:rPr>
                <w:sz w:val="21"/>
                <w:szCs w:val="21"/>
              </w:rPr>
              <w:t>20</w:t>
            </w:r>
          </w:p>
        </w:tc>
        <w:tc>
          <w:tcPr>
            <w:tcW w:w="370" w:type="pct"/>
            <w:vAlign w:val="center"/>
          </w:tcPr>
          <w:p>
            <w:pPr>
              <w:spacing w:line="240" w:lineRule="auto"/>
              <w:ind w:firstLine="0" w:firstLineChars="0"/>
              <w:jc w:val="center"/>
              <w:rPr>
                <w:sz w:val="21"/>
                <w:szCs w:val="21"/>
              </w:rPr>
            </w:pPr>
            <w:r>
              <w:rPr>
                <w:sz w:val="21"/>
                <w:szCs w:val="21"/>
              </w:rPr>
              <w:t>69.3</w:t>
            </w:r>
          </w:p>
        </w:tc>
        <w:tc>
          <w:tcPr>
            <w:tcW w:w="303" w:type="pct"/>
            <w:vAlign w:val="center"/>
          </w:tcPr>
          <w:p>
            <w:pPr>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7" w:type="pct"/>
            <w:vAlign w:val="center"/>
          </w:tcPr>
          <w:p>
            <w:pPr>
              <w:spacing w:line="240" w:lineRule="auto"/>
              <w:ind w:firstLine="0" w:firstLineChars="0"/>
              <w:jc w:val="center"/>
              <w:rPr>
                <w:sz w:val="21"/>
                <w:szCs w:val="21"/>
              </w:rPr>
            </w:pPr>
            <w:r>
              <w:rPr>
                <w:sz w:val="21"/>
                <w:szCs w:val="21"/>
              </w:rPr>
              <w:t>3</w:t>
            </w:r>
          </w:p>
        </w:tc>
        <w:tc>
          <w:tcPr>
            <w:tcW w:w="267" w:type="pct"/>
            <w:vMerge w:val="continue"/>
            <w:vAlign w:val="center"/>
          </w:tcPr>
          <w:p>
            <w:pPr>
              <w:spacing w:line="240" w:lineRule="auto"/>
              <w:ind w:firstLine="0" w:firstLineChars="0"/>
              <w:jc w:val="center"/>
              <w:rPr>
                <w:sz w:val="21"/>
                <w:szCs w:val="21"/>
              </w:rPr>
            </w:pPr>
          </w:p>
        </w:tc>
        <w:tc>
          <w:tcPr>
            <w:tcW w:w="354" w:type="pct"/>
            <w:vAlign w:val="center"/>
          </w:tcPr>
          <w:p>
            <w:pPr>
              <w:spacing w:line="240" w:lineRule="auto"/>
              <w:ind w:firstLine="0" w:firstLineChars="0"/>
              <w:jc w:val="center"/>
              <w:rPr>
                <w:sz w:val="21"/>
                <w:szCs w:val="21"/>
              </w:rPr>
            </w:pPr>
            <w:r>
              <w:rPr>
                <w:sz w:val="21"/>
                <w:szCs w:val="21"/>
              </w:rPr>
              <w:t>反击式破碎机</w:t>
            </w:r>
          </w:p>
        </w:tc>
        <w:tc>
          <w:tcPr>
            <w:tcW w:w="503" w:type="pct"/>
            <w:vAlign w:val="center"/>
          </w:tcPr>
          <w:p>
            <w:pPr>
              <w:spacing w:line="240" w:lineRule="auto"/>
              <w:ind w:firstLine="0" w:firstLineChars="0"/>
              <w:jc w:val="center"/>
              <w:rPr>
                <w:sz w:val="21"/>
                <w:szCs w:val="21"/>
              </w:rPr>
            </w:pPr>
            <w:r>
              <w:rPr>
                <w:sz w:val="21"/>
                <w:szCs w:val="21"/>
              </w:rPr>
              <w:t>PFY1515</w:t>
            </w:r>
          </w:p>
        </w:tc>
        <w:tc>
          <w:tcPr>
            <w:tcW w:w="478" w:type="pct"/>
            <w:vAlign w:val="center"/>
          </w:tcPr>
          <w:p>
            <w:pPr>
              <w:spacing w:line="240" w:lineRule="auto"/>
              <w:ind w:firstLine="0" w:firstLineChars="0"/>
              <w:jc w:val="center"/>
              <w:rPr>
                <w:sz w:val="21"/>
                <w:szCs w:val="21"/>
              </w:rPr>
            </w:pPr>
            <w:r>
              <w:rPr>
                <w:sz w:val="21"/>
                <w:szCs w:val="21"/>
              </w:rPr>
              <w:t>100</w:t>
            </w:r>
          </w:p>
        </w:tc>
        <w:tc>
          <w:tcPr>
            <w:tcW w:w="396" w:type="pct"/>
            <w:vAlign w:val="center"/>
          </w:tcPr>
          <w:p>
            <w:pPr>
              <w:spacing w:line="240" w:lineRule="auto"/>
              <w:ind w:firstLine="0" w:firstLineChars="0"/>
              <w:jc w:val="center"/>
              <w:rPr>
                <w:sz w:val="21"/>
                <w:szCs w:val="21"/>
              </w:rPr>
            </w:pPr>
            <w:r>
              <w:rPr>
                <w:sz w:val="21"/>
                <w:szCs w:val="21"/>
              </w:rPr>
              <w:t>基础减震</w:t>
            </w:r>
          </w:p>
        </w:tc>
        <w:tc>
          <w:tcPr>
            <w:tcW w:w="298" w:type="pct"/>
            <w:vAlign w:val="center"/>
          </w:tcPr>
          <w:p>
            <w:pPr>
              <w:spacing w:line="240" w:lineRule="auto"/>
              <w:ind w:firstLine="0" w:firstLineChars="0"/>
              <w:jc w:val="center"/>
              <w:rPr>
                <w:sz w:val="21"/>
                <w:szCs w:val="21"/>
              </w:rPr>
            </w:pPr>
            <w:r>
              <w:rPr>
                <w:sz w:val="21"/>
                <w:szCs w:val="21"/>
              </w:rPr>
              <w:t>-36</w:t>
            </w:r>
          </w:p>
        </w:tc>
        <w:tc>
          <w:tcPr>
            <w:tcW w:w="249" w:type="pct"/>
            <w:vAlign w:val="center"/>
          </w:tcPr>
          <w:p>
            <w:pPr>
              <w:spacing w:line="240" w:lineRule="auto"/>
              <w:ind w:firstLine="0" w:firstLineChars="0"/>
              <w:jc w:val="center"/>
              <w:rPr>
                <w:sz w:val="21"/>
                <w:szCs w:val="21"/>
              </w:rPr>
            </w:pPr>
            <w:r>
              <w:rPr>
                <w:sz w:val="21"/>
                <w:szCs w:val="21"/>
              </w:rPr>
              <w:t>3</w:t>
            </w:r>
          </w:p>
        </w:tc>
        <w:tc>
          <w:tcPr>
            <w:tcW w:w="248" w:type="pct"/>
            <w:vAlign w:val="center"/>
          </w:tcPr>
          <w:p>
            <w:pPr>
              <w:spacing w:line="240" w:lineRule="auto"/>
              <w:ind w:firstLine="0" w:firstLineChars="0"/>
              <w:jc w:val="center"/>
              <w:rPr>
                <w:sz w:val="21"/>
                <w:szCs w:val="21"/>
              </w:rPr>
            </w:pPr>
            <w:r>
              <w:rPr>
                <w:sz w:val="21"/>
                <w:szCs w:val="21"/>
              </w:rPr>
              <w:t>1.5</w:t>
            </w:r>
          </w:p>
        </w:tc>
        <w:tc>
          <w:tcPr>
            <w:tcW w:w="298" w:type="pct"/>
            <w:vAlign w:val="center"/>
          </w:tcPr>
          <w:p>
            <w:pPr>
              <w:spacing w:line="240" w:lineRule="auto"/>
              <w:ind w:firstLine="0" w:firstLineChars="0"/>
              <w:jc w:val="center"/>
              <w:rPr>
                <w:sz w:val="21"/>
                <w:szCs w:val="21"/>
              </w:rPr>
            </w:pPr>
            <w:r>
              <w:rPr>
                <w:sz w:val="21"/>
                <w:szCs w:val="21"/>
              </w:rPr>
              <w:t>3</w:t>
            </w:r>
          </w:p>
        </w:tc>
        <w:tc>
          <w:tcPr>
            <w:tcW w:w="298" w:type="pct"/>
            <w:vAlign w:val="center"/>
          </w:tcPr>
          <w:p>
            <w:pPr>
              <w:spacing w:line="240" w:lineRule="auto"/>
              <w:ind w:firstLine="0" w:firstLineChars="0"/>
              <w:jc w:val="center"/>
              <w:rPr>
                <w:sz w:val="21"/>
                <w:szCs w:val="21"/>
              </w:rPr>
            </w:pPr>
            <w:r>
              <w:rPr>
                <w:sz w:val="21"/>
                <w:szCs w:val="21"/>
              </w:rPr>
              <w:t>85.5</w:t>
            </w:r>
          </w:p>
        </w:tc>
        <w:tc>
          <w:tcPr>
            <w:tcW w:w="405" w:type="pct"/>
            <w:vAlign w:val="center"/>
          </w:tcPr>
          <w:p>
            <w:pPr>
              <w:spacing w:line="240" w:lineRule="auto"/>
              <w:ind w:firstLine="0" w:firstLineChars="0"/>
              <w:jc w:val="center"/>
              <w:rPr>
                <w:sz w:val="21"/>
                <w:szCs w:val="21"/>
              </w:rPr>
            </w:pPr>
            <w:r>
              <w:rPr>
                <w:sz w:val="21"/>
                <w:szCs w:val="21"/>
              </w:rPr>
              <w:t>生产期间</w:t>
            </w:r>
          </w:p>
        </w:tc>
        <w:tc>
          <w:tcPr>
            <w:tcW w:w="345" w:type="pct"/>
            <w:vAlign w:val="center"/>
          </w:tcPr>
          <w:p>
            <w:pPr>
              <w:spacing w:line="240" w:lineRule="auto"/>
              <w:ind w:firstLine="0" w:firstLineChars="0"/>
              <w:jc w:val="center"/>
              <w:rPr>
                <w:sz w:val="21"/>
                <w:szCs w:val="21"/>
              </w:rPr>
            </w:pPr>
            <w:r>
              <w:rPr>
                <w:sz w:val="21"/>
                <w:szCs w:val="21"/>
              </w:rPr>
              <w:t>20</w:t>
            </w:r>
          </w:p>
        </w:tc>
        <w:tc>
          <w:tcPr>
            <w:tcW w:w="370" w:type="pct"/>
            <w:vAlign w:val="center"/>
          </w:tcPr>
          <w:p>
            <w:pPr>
              <w:spacing w:line="240" w:lineRule="auto"/>
              <w:ind w:firstLine="0" w:firstLineChars="0"/>
              <w:jc w:val="center"/>
              <w:rPr>
                <w:sz w:val="21"/>
                <w:szCs w:val="21"/>
              </w:rPr>
            </w:pPr>
            <w:r>
              <w:rPr>
                <w:sz w:val="21"/>
                <w:szCs w:val="21"/>
              </w:rPr>
              <w:t>65.5</w:t>
            </w:r>
          </w:p>
        </w:tc>
        <w:tc>
          <w:tcPr>
            <w:tcW w:w="303" w:type="pct"/>
            <w:vAlign w:val="center"/>
          </w:tcPr>
          <w:p>
            <w:pPr>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7" w:type="pct"/>
            <w:vAlign w:val="center"/>
          </w:tcPr>
          <w:p>
            <w:pPr>
              <w:spacing w:line="240" w:lineRule="auto"/>
              <w:ind w:firstLine="0" w:firstLineChars="0"/>
              <w:jc w:val="center"/>
              <w:rPr>
                <w:sz w:val="21"/>
                <w:szCs w:val="21"/>
              </w:rPr>
            </w:pPr>
            <w:r>
              <w:rPr>
                <w:sz w:val="21"/>
                <w:szCs w:val="21"/>
              </w:rPr>
              <w:t>4</w:t>
            </w:r>
          </w:p>
        </w:tc>
        <w:tc>
          <w:tcPr>
            <w:tcW w:w="267" w:type="pct"/>
            <w:vMerge w:val="continue"/>
            <w:vAlign w:val="center"/>
          </w:tcPr>
          <w:p>
            <w:pPr>
              <w:spacing w:line="240" w:lineRule="auto"/>
              <w:ind w:firstLine="0" w:firstLineChars="0"/>
              <w:jc w:val="center"/>
              <w:rPr>
                <w:sz w:val="21"/>
                <w:szCs w:val="21"/>
              </w:rPr>
            </w:pPr>
          </w:p>
        </w:tc>
        <w:tc>
          <w:tcPr>
            <w:tcW w:w="354" w:type="pct"/>
            <w:vAlign w:val="center"/>
          </w:tcPr>
          <w:p>
            <w:pPr>
              <w:spacing w:line="240" w:lineRule="auto"/>
              <w:ind w:firstLine="0" w:firstLineChars="0"/>
              <w:jc w:val="center"/>
              <w:rPr>
                <w:sz w:val="21"/>
                <w:szCs w:val="21"/>
              </w:rPr>
            </w:pPr>
            <w:r>
              <w:rPr>
                <w:sz w:val="21"/>
                <w:szCs w:val="21"/>
              </w:rPr>
              <w:t>反击式破碎机</w:t>
            </w:r>
          </w:p>
        </w:tc>
        <w:tc>
          <w:tcPr>
            <w:tcW w:w="503" w:type="pct"/>
            <w:vAlign w:val="center"/>
          </w:tcPr>
          <w:p>
            <w:pPr>
              <w:spacing w:line="240" w:lineRule="auto"/>
              <w:ind w:firstLine="0" w:firstLineChars="0"/>
              <w:jc w:val="center"/>
              <w:rPr>
                <w:sz w:val="21"/>
                <w:szCs w:val="21"/>
              </w:rPr>
            </w:pPr>
            <w:r>
              <w:rPr>
                <w:sz w:val="21"/>
                <w:szCs w:val="21"/>
              </w:rPr>
              <w:t>PFY1515</w:t>
            </w:r>
          </w:p>
        </w:tc>
        <w:tc>
          <w:tcPr>
            <w:tcW w:w="478" w:type="pct"/>
            <w:vAlign w:val="center"/>
          </w:tcPr>
          <w:p>
            <w:pPr>
              <w:spacing w:line="240" w:lineRule="auto"/>
              <w:ind w:firstLine="0" w:firstLineChars="0"/>
              <w:jc w:val="center"/>
              <w:rPr>
                <w:sz w:val="21"/>
                <w:szCs w:val="21"/>
              </w:rPr>
            </w:pPr>
            <w:r>
              <w:rPr>
                <w:sz w:val="21"/>
                <w:szCs w:val="21"/>
              </w:rPr>
              <w:t>100</w:t>
            </w:r>
          </w:p>
        </w:tc>
        <w:tc>
          <w:tcPr>
            <w:tcW w:w="396" w:type="pct"/>
            <w:vAlign w:val="center"/>
          </w:tcPr>
          <w:p>
            <w:pPr>
              <w:spacing w:line="240" w:lineRule="auto"/>
              <w:ind w:firstLine="0" w:firstLineChars="0"/>
              <w:jc w:val="center"/>
              <w:rPr>
                <w:sz w:val="21"/>
                <w:szCs w:val="21"/>
              </w:rPr>
            </w:pPr>
            <w:r>
              <w:rPr>
                <w:sz w:val="21"/>
                <w:szCs w:val="21"/>
              </w:rPr>
              <w:t>基础减震</w:t>
            </w:r>
          </w:p>
        </w:tc>
        <w:tc>
          <w:tcPr>
            <w:tcW w:w="298" w:type="pct"/>
            <w:vAlign w:val="center"/>
          </w:tcPr>
          <w:p>
            <w:pPr>
              <w:spacing w:line="240" w:lineRule="auto"/>
              <w:ind w:firstLine="0" w:firstLineChars="0"/>
              <w:jc w:val="center"/>
              <w:rPr>
                <w:sz w:val="21"/>
                <w:szCs w:val="21"/>
              </w:rPr>
            </w:pPr>
            <w:r>
              <w:rPr>
                <w:sz w:val="21"/>
                <w:szCs w:val="21"/>
              </w:rPr>
              <w:t>-61</w:t>
            </w:r>
          </w:p>
        </w:tc>
        <w:tc>
          <w:tcPr>
            <w:tcW w:w="249" w:type="pct"/>
            <w:vAlign w:val="center"/>
          </w:tcPr>
          <w:p>
            <w:pPr>
              <w:spacing w:line="240" w:lineRule="auto"/>
              <w:ind w:firstLine="0" w:firstLineChars="0"/>
              <w:jc w:val="center"/>
              <w:rPr>
                <w:sz w:val="21"/>
                <w:szCs w:val="21"/>
              </w:rPr>
            </w:pPr>
            <w:r>
              <w:rPr>
                <w:sz w:val="21"/>
                <w:szCs w:val="21"/>
              </w:rPr>
              <w:t>-36</w:t>
            </w:r>
          </w:p>
        </w:tc>
        <w:tc>
          <w:tcPr>
            <w:tcW w:w="248" w:type="pct"/>
            <w:vAlign w:val="center"/>
          </w:tcPr>
          <w:p>
            <w:pPr>
              <w:spacing w:line="240" w:lineRule="auto"/>
              <w:ind w:firstLine="0" w:firstLineChars="0"/>
              <w:jc w:val="center"/>
              <w:rPr>
                <w:sz w:val="21"/>
                <w:szCs w:val="21"/>
              </w:rPr>
            </w:pPr>
            <w:r>
              <w:rPr>
                <w:sz w:val="21"/>
                <w:szCs w:val="21"/>
              </w:rPr>
              <w:t>1.5</w:t>
            </w:r>
          </w:p>
        </w:tc>
        <w:tc>
          <w:tcPr>
            <w:tcW w:w="298" w:type="pct"/>
            <w:vAlign w:val="center"/>
          </w:tcPr>
          <w:p>
            <w:pPr>
              <w:spacing w:line="240" w:lineRule="auto"/>
              <w:ind w:firstLine="0" w:firstLineChars="0"/>
              <w:jc w:val="center"/>
              <w:rPr>
                <w:sz w:val="21"/>
                <w:szCs w:val="21"/>
              </w:rPr>
            </w:pPr>
            <w:r>
              <w:rPr>
                <w:sz w:val="21"/>
                <w:szCs w:val="21"/>
              </w:rPr>
              <w:t>3</w:t>
            </w:r>
          </w:p>
        </w:tc>
        <w:tc>
          <w:tcPr>
            <w:tcW w:w="298" w:type="pct"/>
            <w:vAlign w:val="center"/>
          </w:tcPr>
          <w:p>
            <w:pPr>
              <w:spacing w:line="240" w:lineRule="auto"/>
              <w:ind w:firstLine="0" w:firstLineChars="0"/>
              <w:jc w:val="center"/>
              <w:rPr>
                <w:sz w:val="21"/>
                <w:szCs w:val="21"/>
              </w:rPr>
            </w:pPr>
            <w:r>
              <w:rPr>
                <w:sz w:val="21"/>
                <w:szCs w:val="21"/>
              </w:rPr>
              <w:t>85.5</w:t>
            </w:r>
          </w:p>
        </w:tc>
        <w:tc>
          <w:tcPr>
            <w:tcW w:w="405" w:type="pct"/>
            <w:vAlign w:val="center"/>
          </w:tcPr>
          <w:p>
            <w:pPr>
              <w:spacing w:line="240" w:lineRule="auto"/>
              <w:ind w:firstLine="0" w:firstLineChars="0"/>
              <w:jc w:val="center"/>
              <w:rPr>
                <w:sz w:val="21"/>
                <w:szCs w:val="21"/>
              </w:rPr>
            </w:pPr>
            <w:r>
              <w:rPr>
                <w:sz w:val="21"/>
                <w:szCs w:val="21"/>
              </w:rPr>
              <w:t>生产期间</w:t>
            </w:r>
          </w:p>
        </w:tc>
        <w:tc>
          <w:tcPr>
            <w:tcW w:w="345" w:type="pct"/>
            <w:vAlign w:val="center"/>
          </w:tcPr>
          <w:p>
            <w:pPr>
              <w:spacing w:line="240" w:lineRule="auto"/>
              <w:ind w:firstLine="0" w:firstLineChars="0"/>
              <w:jc w:val="center"/>
              <w:rPr>
                <w:sz w:val="21"/>
                <w:szCs w:val="21"/>
              </w:rPr>
            </w:pPr>
            <w:r>
              <w:rPr>
                <w:sz w:val="21"/>
                <w:szCs w:val="21"/>
              </w:rPr>
              <w:t>20</w:t>
            </w:r>
          </w:p>
        </w:tc>
        <w:tc>
          <w:tcPr>
            <w:tcW w:w="370" w:type="pct"/>
            <w:vAlign w:val="center"/>
          </w:tcPr>
          <w:p>
            <w:pPr>
              <w:spacing w:line="240" w:lineRule="auto"/>
              <w:ind w:firstLine="0" w:firstLineChars="0"/>
              <w:jc w:val="center"/>
              <w:rPr>
                <w:sz w:val="21"/>
                <w:szCs w:val="21"/>
              </w:rPr>
            </w:pPr>
            <w:r>
              <w:rPr>
                <w:sz w:val="21"/>
                <w:szCs w:val="21"/>
              </w:rPr>
              <w:t>65.5</w:t>
            </w:r>
          </w:p>
        </w:tc>
        <w:tc>
          <w:tcPr>
            <w:tcW w:w="303" w:type="pct"/>
            <w:vAlign w:val="center"/>
          </w:tcPr>
          <w:p>
            <w:pPr>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7" w:type="pct"/>
            <w:vAlign w:val="center"/>
          </w:tcPr>
          <w:p>
            <w:pPr>
              <w:spacing w:line="240" w:lineRule="auto"/>
              <w:ind w:firstLine="0" w:firstLineChars="0"/>
              <w:jc w:val="center"/>
              <w:rPr>
                <w:sz w:val="21"/>
                <w:szCs w:val="21"/>
              </w:rPr>
            </w:pPr>
            <w:r>
              <w:rPr>
                <w:sz w:val="21"/>
                <w:szCs w:val="21"/>
              </w:rPr>
              <w:t>5</w:t>
            </w:r>
          </w:p>
        </w:tc>
        <w:tc>
          <w:tcPr>
            <w:tcW w:w="267" w:type="pct"/>
            <w:vMerge w:val="continue"/>
            <w:vAlign w:val="center"/>
          </w:tcPr>
          <w:p>
            <w:pPr>
              <w:spacing w:line="240" w:lineRule="auto"/>
              <w:ind w:firstLine="0" w:firstLineChars="0"/>
              <w:jc w:val="center"/>
              <w:rPr>
                <w:sz w:val="21"/>
                <w:szCs w:val="21"/>
              </w:rPr>
            </w:pPr>
          </w:p>
        </w:tc>
        <w:tc>
          <w:tcPr>
            <w:tcW w:w="354" w:type="pct"/>
            <w:vAlign w:val="center"/>
          </w:tcPr>
          <w:p>
            <w:pPr>
              <w:spacing w:line="240" w:lineRule="auto"/>
              <w:ind w:firstLine="0" w:firstLineChars="0"/>
              <w:jc w:val="center"/>
              <w:rPr>
                <w:sz w:val="21"/>
                <w:szCs w:val="21"/>
              </w:rPr>
            </w:pPr>
            <w:r>
              <w:rPr>
                <w:sz w:val="21"/>
                <w:szCs w:val="21"/>
              </w:rPr>
              <w:t>筛分机</w:t>
            </w:r>
          </w:p>
        </w:tc>
        <w:tc>
          <w:tcPr>
            <w:tcW w:w="503" w:type="pct"/>
            <w:vAlign w:val="center"/>
          </w:tcPr>
          <w:p>
            <w:pPr>
              <w:spacing w:line="240" w:lineRule="auto"/>
              <w:ind w:firstLine="0" w:firstLineChars="0"/>
              <w:jc w:val="center"/>
              <w:rPr>
                <w:sz w:val="21"/>
                <w:szCs w:val="21"/>
              </w:rPr>
            </w:pPr>
            <w:r>
              <w:rPr>
                <w:sz w:val="21"/>
                <w:szCs w:val="21"/>
              </w:rPr>
              <w:t>/</w:t>
            </w:r>
          </w:p>
        </w:tc>
        <w:tc>
          <w:tcPr>
            <w:tcW w:w="478" w:type="pct"/>
            <w:vAlign w:val="center"/>
          </w:tcPr>
          <w:p>
            <w:pPr>
              <w:spacing w:line="240" w:lineRule="auto"/>
              <w:ind w:firstLine="0" w:firstLineChars="0"/>
              <w:jc w:val="center"/>
              <w:rPr>
                <w:sz w:val="21"/>
                <w:szCs w:val="21"/>
              </w:rPr>
            </w:pPr>
            <w:r>
              <w:rPr>
                <w:sz w:val="21"/>
                <w:szCs w:val="21"/>
              </w:rPr>
              <w:t>95</w:t>
            </w:r>
          </w:p>
        </w:tc>
        <w:tc>
          <w:tcPr>
            <w:tcW w:w="396" w:type="pct"/>
            <w:vAlign w:val="center"/>
          </w:tcPr>
          <w:p>
            <w:pPr>
              <w:spacing w:line="240" w:lineRule="auto"/>
              <w:ind w:firstLine="0" w:firstLineChars="0"/>
              <w:jc w:val="center"/>
              <w:rPr>
                <w:sz w:val="21"/>
                <w:szCs w:val="21"/>
              </w:rPr>
            </w:pPr>
            <w:r>
              <w:rPr>
                <w:sz w:val="21"/>
                <w:szCs w:val="21"/>
              </w:rPr>
              <w:t>基础减震</w:t>
            </w:r>
          </w:p>
        </w:tc>
        <w:tc>
          <w:tcPr>
            <w:tcW w:w="298" w:type="pct"/>
            <w:vAlign w:val="center"/>
          </w:tcPr>
          <w:p>
            <w:pPr>
              <w:spacing w:line="240" w:lineRule="auto"/>
              <w:ind w:firstLine="0" w:firstLineChars="0"/>
              <w:jc w:val="center"/>
              <w:rPr>
                <w:sz w:val="21"/>
                <w:szCs w:val="21"/>
              </w:rPr>
            </w:pPr>
            <w:r>
              <w:rPr>
                <w:sz w:val="21"/>
                <w:szCs w:val="21"/>
              </w:rPr>
              <w:t>31</w:t>
            </w:r>
          </w:p>
        </w:tc>
        <w:tc>
          <w:tcPr>
            <w:tcW w:w="249" w:type="pct"/>
            <w:vAlign w:val="center"/>
          </w:tcPr>
          <w:p>
            <w:pPr>
              <w:spacing w:line="240" w:lineRule="auto"/>
              <w:ind w:firstLine="0" w:firstLineChars="0"/>
              <w:jc w:val="center"/>
              <w:rPr>
                <w:sz w:val="21"/>
                <w:szCs w:val="21"/>
              </w:rPr>
            </w:pPr>
            <w:r>
              <w:rPr>
                <w:sz w:val="21"/>
                <w:szCs w:val="21"/>
              </w:rPr>
              <w:t>44</w:t>
            </w:r>
          </w:p>
        </w:tc>
        <w:tc>
          <w:tcPr>
            <w:tcW w:w="248" w:type="pct"/>
            <w:vAlign w:val="center"/>
          </w:tcPr>
          <w:p>
            <w:pPr>
              <w:spacing w:line="240" w:lineRule="auto"/>
              <w:ind w:firstLine="0" w:firstLineChars="0"/>
              <w:jc w:val="center"/>
              <w:rPr>
                <w:sz w:val="21"/>
                <w:szCs w:val="21"/>
              </w:rPr>
            </w:pPr>
            <w:r>
              <w:rPr>
                <w:sz w:val="21"/>
                <w:szCs w:val="21"/>
              </w:rPr>
              <w:t>3.0</w:t>
            </w:r>
          </w:p>
        </w:tc>
        <w:tc>
          <w:tcPr>
            <w:tcW w:w="298" w:type="pct"/>
            <w:vAlign w:val="center"/>
          </w:tcPr>
          <w:p>
            <w:pPr>
              <w:spacing w:line="240" w:lineRule="auto"/>
              <w:ind w:firstLine="0" w:firstLineChars="0"/>
              <w:jc w:val="center"/>
              <w:rPr>
                <w:sz w:val="21"/>
                <w:szCs w:val="21"/>
              </w:rPr>
            </w:pPr>
            <w:r>
              <w:rPr>
                <w:sz w:val="21"/>
                <w:szCs w:val="21"/>
              </w:rPr>
              <w:t>4</w:t>
            </w:r>
          </w:p>
        </w:tc>
        <w:tc>
          <w:tcPr>
            <w:tcW w:w="298" w:type="pct"/>
            <w:vAlign w:val="center"/>
          </w:tcPr>
          <w:p>
            <w:pPr>
              <w:spacing w:line="240" w:lineRule="auto"/>
              <w:ind w:firstLine="0" w:firstLineChars="0"/>
              <w:jc w:val="center"/>
              <w:rPr>
                <w:sz w:val="21"/>
                <w:szCs w:val="21"/>
              </w:rPr>
            </w:pPr>
            <w:r>
              <w:rPr>
                <w:sz w:val="21"/>
                <w:szCs w:val="21"/>
              </w:rPr>
              <w:t>80.6</w:t>
            </w:r>
          </w:p>
        </w:tc>
        <w:tc>
          <w:tcPr>
            <w:tcW w:w="405" w:type="pct"/>
            <w:vAlign w:val="center"/>
          </w:tcPr>
          <w:p>
            <w:pPr>
              <w:spacing w:line="240" w:lineRule="auto"/>
              <w:ind w:firstLine="0" w:firstLineChars="0"/>
              <w:jc w:val="center"/>
              <w:rPr>
                <w:sz w:val="21"/>
                <w:szCs w:val="21"/>
              </w:rPr>
            </w:pPr>
            <w:r>
              <w:rPr>
                <w:sz w:val="21"/>
                <w:szCs w:val="21"/>
              </w:rPr>
              <w:t>生产期间</w:t>
            </w:r>
          </w:p>
        </w:tc>
        <w:tc>
          <w:tcPr>
            <w:tcW w:w="345" w:type="pct"/>
            <w:vAlign w:val="center"/>
          </w:tcPr>
          <w:p>
            <w:pPr>
              <w:spacing w:line="240" w:lineRule="auto"/>
              <w:ind w:firstLine="0" w:firstLineChars="0"/>
              <w:jc w:val="center"/>
              <w:rPr>
                <w:sz w:val="21"/>
                <w:szCs w:val="21"/>
              </w:rPr>
            </w:pPr>
            <w:r>
              <w:rPr>
                <w:sz w:val="21"/>
                <w:szCs w:val="21"/>
              </w:rPr>
              <w:t>20</w:t>
            </w:r>
          </w:p>
        </w:tc>
        <w:tc>
          <w:tcPr>
            <w:tcW w:w="370" w:type="pct"/>
            <w:vAlign w:val="center"/>
          </w:tcPr>
          <w:p>
            <w:pPr>
              <w:spacing w:line="240" w:lineRule="auto"/>
              <w:ind w:firstLine="0" w:firstLineChars="0"/>
              <w:jc w:val="center"/>
              <w:rPr>
                <w:sz w:val="21"/>
                <w:szCs w:val="21"/>
              </w:rPr>
            </w:pPr>
            <w:r>
              <w:rPr>
                <w:sz w:val="21"/>
                <w:szCs w:val="21"/>
              </w:rPr>
              <w:t>60.6</w:t>
            </w:r>
          </w:p>
        </w:tc>
        <w:tc>
          <w:tcPr>
            <w:tcW w:w="303" w:type="pct"/>
            <w:vAlign w:val="center"/>
          </w:tcPr>
          <w:p>
            <w:pPr>
              <w:spacing w:line="240" w:lineRule="auto"/>
              <w:ind w:firstLine="0" w:firstLineChars="0"/>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7" w:type="pct"/>
            <w:vAlign w:val="center"/>
          </w:tcPr>
          <w:p>
            <w:pPr>
              <w:spacing w:line="240" w:lineRule="auto"/>
              <w:ind w:firstLine="0" w:firstLineChars="0"/>
              <w:jc w:val="center"/>
              <w:rPr>
                <w:sz w:val="21"/>
                <w:szCs w:val="21"/>
              </w:rPr>
            </w:pPr>
            <w:r>
              <w:rPr>
                <w:sz w:val="21"/>
                <w:szCs w:val="21"/>
              </w:rPr>
              <w:t>6</w:t>
            </w:r>
          </w:p>
        </w:tc>
        <w:tc>
          <w:tcPr>
            <w:tcW w:w="267" w:type="pct"/>
            <w:vMerge w:val="continue"/>
            <w:vAlign w:val="center"/>
          </w:tcPr>
          <w:p>
            <w:pPr>
              <w:spacing w:line="240" w:lineRule="auto"/>
              <w:ind w:firstLine="0" w:firstLineChars="0"/>
              <w:jc w:val="center"/>
              <w:rPr>
                <w:sz w:val="21"/>
                <w:szCs w:val="21"/>
              </w:rPr>
            </w:pPr>
          </w:p>
        </w:tc>
        <w:tc>
          <w:tcPr>
            <w:tcW w:w="354" w:type="pct"/>
            <w:vAlign w:val="center"/>
          </w:tcPr>
          <w:p>
            <w:pPr>
              <w:spacing w:line="240" w:lineRule="auto"/>
              <w:ind w:firstLine="0" w:firstLineChars="0"/>
              <w:jc w:val="center"/>
              <w:rPr>
                <w:sz w:val="21"/>
                <w:szCs w:val="21"/>
              </w:rPr>
            </w:pPr>
            <w:r>
              <w:rPr>
                <w:sz w:val="21"/>
                <w:szCs w:val="21"/>
              </w:rPr>
              <w:t>筛分机</w:t>
            </w:r>
          </w:p>
        </w:tc>
        <w:tc>
          <w:tcPr>
            <w:tcW w:w="503" w:type="pct"/>
            <w:vAlign w:val="center"/>
          </w:tcPr>
          <w:p>
            <w:pPr>
              <w:spacing w:line="240" w:lineRule="auto"/>
              <w:ind w:firstLine="0" w:firstLineChars="0"/>
              <w:jc w:val="center"/>
              <w:rPr>
                <w:sz w:val="21"/>
                <w:szCs w:val="21"/>
              </w:rPr>
            </w:pPr>
            <w:r>
              <w:rPr>
                <w:sz w:val="21"/>
                <w:szCs w:val="21"/>
              </w:rPr>
              <w:t>/</w:t>
            </w:r>
          </w:p>
        </w:tc>
        <w:tc>
          <w:tcPr>
            <w:tcW w:w="478" w:type="pct"/>
            <w:vAlign w:val="center"/>
          </w:tcPr>
          <w:p>
            <w:pPr>
              <w:spacing w:line="240" w:lineRule="auto"/>
              <w:ind w:firstLine="0" w:firstLineChars="0"/>
              <w:jc w:val="center"/>
              <w:rPr>
                <w:sz w:val="21"/>
                <w:szCs w:val="21"/>
              </w:rPr>
            </w:pPr>
            <w:r>
              <w:rPr>
                <w:sz w:val="21"/>
                <w:szCs w:val="21"/>
              </w:rPr>
              <w:t>95</w:t>
            </w:r>
          </w:p>
        </w:tc>
        <w:tc>
          <w:tcPr>
            <w:tcW w:w="396" w:type="pct"/>
            <w:vAlign w:val="center"/>
          </w:tcPr>
          <w:p>
            <w:pPr>
              <w:spacing w:line="240" w:lineRule="auto"/>
              <w:ind w:firstLine="0" w:firstLineChars="0"/>
              <w:jc w:val="center"/>
              <w:rPr>
                <w:sz w:val="21"/>
                <w:szCs w:val="21"/>
              </w:rPr>
            </w:pPr>
            <w:r>
              <w:rPr>
                <w:sz w:val="21"/>
                <w:szCs w:val="21"/>
              </w:rPr>
              <w:t>基础减震</w:t>
            </w:r>
          </w:p>
        </w:tc>
        <w:tc>
          <w:tcPr>
            <w:tcW w:w="298" w:type="pct"/>
            <w:vAlign w:val="center"/>
          </w:tcPr>
          <w:p>
            <w:pPr>
              <w:spacing w:line="240" w:lineRule="auto"/>
              <w:ind w:firstLine="0" w:firstLineChars="0"/>
              <w:jc w:val="center"/>
              <w:rPr>
                <w:sz w:val="21"/>
                <w:szCs w:val="21"/>
              </w:rPr>
            </w:pPr>
            <w:r>
              <w:rPr>
                <w:sz w:val="21"/>
                <w:szCs w:val="21"/>
              </w:rPr>
              <w:t>32</w:t>
            </w:r>
          </w:p>
        </w:tc>
        <w:tc>
          <w:tcPr>
            <w:tcW w:w="249" w:type="pct"/>
            <w:vAlign w:val="center"/>
          </w:tcPr>
          <w:p>
            <w:pPr>
              <w:spacing w:line="240" w:lineRule="auto"/>
              <w:ind w:firstLine="0" w:firstLineChars="0"/>
              <w:jc w:val="center"/>
              <w:rPr>
                <w:sz w:val="21"/>
                <w:szCs w:val="21"/>
              </w:rPr>
            </w:pPr>
            <w:r>
              <w:rPr>
                <w:sz w:val="21"/>
                <w:szCs w:val="21"/>
              </w:rPr>
              <w:t>43</w:t>
            </w:r>
          </w:p>
        </w:tc>
        <w:tc>
          <w:tcPr>
            <w:tcW w:w="248" w:type="pct"/>
            <w:vAlign w:val="center"/>
          </w:tcPr>
          <w:p>
            <w:pPr>
              <w:spacing w:line="240" w:lineRule="auto"/>
              <w:ind w:firstLine="0" w:firstLineChars="0"/>
              <w:jc w:val="center"/>
              <w:rPr>
                <w:sz w:val="21"/>
                <w:szCs w:val="21"/>
              </w:rPr>
            </w:pPr>
            <w:r>
              <w:rPr>
                <w:sz w:val="21"/>
                <w:szCs w:val="21"/>
              </w:rPr>
              <w:t>3.0</w:t>
            </w:r>
          </w:p>
        </w:tc>
        <w:tc>
          <w:tcPr>
            <w:tcW w:w="298" w:type="pct"/>
            <w:vAlign w:val="center"/>
          </w:tcPr>
          <w:p>
            <w:pPr>
              <w:spacing w:line="240" w:lineRule="auto"/>
              <w:ind w:firstLine="0" w:firstLineChars="0"/>
              <w:jc w:val="center"/>
              <w:rPr>
                <w:sz w:val="21"/>
                <w:szCs w:val="21"/>
              </w:rPr>
            </w:pPr>
            <w:r>
              <w:rPr>
                <w:sz w:val="21"/>
                <w:szCs w:val="21"/>
              </w:rPr>
              <w:t>4</w:t>
            </w:r>
          </w:p>
        </w:tc>
        <w:tc>
          <w:tcPr>
            <w:tcW w:w="298" w:type="pct"/>
            <w:vAlign w:val="center"/>
          </w:tcPr>
          <w:p>
            <w:pPr>
              <w:spacing w:line="240" w:lineRule="auto"/>
              <w:ind w:firstLine="0" w:firstLineChars="0"/>
              <w:jc w:val="center"/>
              <w:rPr>
                <w:sz w:val="21"/>
                <w:szCs w:val="21"/>
              </w:rPr>
            </w:pPr>
            <w:r>
              <w:rPr>
                <w:sz w:val="21"/>
                <w:szCs w:val="21"/>
              </w:rPr>
              <w:t>80.6</w:t>
            </w:r>
          </w:p>
        </w:tc>
        <w:tc>
          <w:tcPr>
            <w:tcW w:w="405" w:type="pct"/>
            <w:vAlign w:val="center"/>
          </w:tcPr>
          <w:p>
            <w:pPr>
              <w:spacing w:line="240" w:lineRule="auto"/>
              <w:ind w:firstLine="0" w:firstLineChars="0"/>
              <w:jc w:val="center"/>
              <w:rPr>
                <w:sz w:val="21"/>
                <w:szCs w:val="21"/>
              </w:rPr>
            </w:pPr>
            <w:r>
              <w:rPr>
                <w:sz w:val="21"/>
                <w:szCs w:val="21"/>
              </w:rPr>
              <w:t>生产车间</w:t>
            </w:r>
          </w:p>
        </w:tc>
        <w:tc>
          <w:tcPr>
            <w:tcW w:w="345" w:type="pct"/>
            <w:vAlign w:val="center"/>
          </w:tcPr>
          <w:p>
            <w:pPr>
              <w:spacing w:line="240" w:lineRule="auto"/>
              <w:ind w:firstLine="0" w:firstLineChars="0"/>
              <w:jc w:val="center"/>
              <w:rPr>
                <w:sz w:val="21"/>
                <w:szCs w:val="21"/>
              </w:rPr>
            </w:pPr>
            <w:r>
              <w:rPr>
                <w:sz w:val="21"/>
                <w:szCs w:val="21"/>
              </w:rPr>
              <w:t>20</w:t>
            </w:r>
          </w:p>
        </w:tc>
        <w:tc>
          <w:tcPr>
            <w:tcW w:w="370" w:type="pct"/>
            <w:vAlign w:val="center"/>
          </w:tcPr>
          <w:p>
            <w:pPr>
              <w:spacing w:line="240" w:lineRule="auto"/>
              <w:ind w:firstLine="0" w:firstLineChars="0"/>
              <w:jc w:val="center"/>
              <w:rPr>
                <w:sz w:val="21"/>
                <w:szCs w:val="21"/>
              </w:rPr>
            </w:pPr>
            <w:r>
              <w:rPr>
                <w:sz w:val="21"/>
                <w:szCs w:val="21"/>
              </w:rPr>
              <w:t>60.6</w:t>
            </w:r>
          </w:p>
        </w:tc>
        <w:tc>
          <w:tcPr>
            <w:tcW w:w="303" w:type="pct"/>
            <w:vAlign w:val="center"/>
          </w:tcPr>
          <w:p>
            <w:pPr>
              <w:spacing w:line="240" w:lineRule="auto"/>
              <w:ind w:firstLine="0" w:firstLineChars="0"/>
              <w:jc w:val="center"/>
              <w:rPr>
                <w:sz w:val="21"/>
                <w:szCs w:val="21"/>
              </w:rPr>
            </w:pPr>
            <w:r>
              <w:rPr>
                <w:sz w:val="21"/>
                <w:szCs w:val="21"/>
              </w:rPr>
              <w:t>/</w:t>
            </w:r>
          </w:p>
        </w:tc>
      </w:tr>
    </w:tbl>
    <w:p>
      <w:pPr>
        <w:ind w:firstLine="480"/>
        <w:jc w:val="both"/>
        <w:rPr>
          <w:sz w:val="24"/>
          <w:szCs w:val="21"/>
        </w:rPr>
      </w:pPr>
      <w:r>
        <w:rPr>
          <w:sz w:val="24"/>
          <w:szCs w:val="21"/>
        </w:rPr>
        <w:t>注：工业场地建筑物考虑吸声系数为0.5。</w:t>
      </w:r>
    </w:p>
    <w:p>
      <w:pPr>
        <w:ind w:firstLine="520"/>
        <w:jc w:val="both"/>
      </w:pPr>
    </w:p>
    <w:p>
      <w:pPr>
        <w:ind w:firstLine="520"/>
        <w:jc w:val="both"/>
        <w:sectPr>
          <w:pgSz w:w="16840" w:h="11907" w:orient="landscape"/>
          <w:pgMar w:top="1588" w:right="1418" w:bottom="1588" w:left="1418" w:header="1134" w:footer="1134" w:gutter="0"/>
          <w:cols w:space="425" w:num="1"/>
          <w:docGrid w:linePitch="354" w:charSpace="0"/>
        </w:sectPr>
      </w:pPr>
    </w:p>
    <w:p>
      <w:pPr>
        <w:pStyle w:val="6"/>
        <w:numPr>
          <w:ilvl w:val="3"/>
          <w:numId w:val="0"/>
        </w:numPr>
      </w:pPr>
      <w:r>
        <w:t>3.3.3.4固体废物</w:t>
      </w:r>
    </w:p>
    <w:p>
      <w:pPr>
        <w:pStyle w:val="300"/>
      </w:pPr>
      <w:r>
        <w:t>本项目运营期固体废物主要为沉淀池沉沙、生活垃圾、含油废物、含油棉纱手套。</w:t>
      </w:r>
    </w:p>
    <w:p>
      <w:pPr>
        <w:pStyle w:val="300"/>
      </w:pPr>
      <w:r>
        <w:rPr>
          <w:szCs w:val="24"/>
        </w:rPr>
        <w:t>布袋除尘器收集粉尘作为产品外售，根据</w:t>
      </w:r>
      <w:r>
        <w:t>《固体废物鉴别标准 通则》（GB34330-2017）不纳入固体废物管理。</w:t>
      </w:r>
    </w:p>
    <w:p>
      <w:pPr>
        <w:pStyle w:val="300"/>
      </w:pPr>
      <w:r>
        <w:t>矿山采取边开采边复垦的方式，随着开采工作面的递进，产生的表土、弃石等剥离物作为生态环境修复工程填方使用。根据《固体废物鉴别标准 通则》（GB34330-2017）中“6.2 按照以下方式进行处置后的物质，不作为固体废物管理：a）金属矿、非金属矿和煤炭采选过程中直接留在或返回到采空区的符合GB18599中第I类一般工业固体废物要求的采矿废石、尾矿和煤矸石。”本项目采矿过程中采用喷水进行降尘，不添加其他污染物质，故本项目产生的剥离物不按照固体废物进行管理。</w:t>
      </w:r>
    </w:p>
    <w:p>
      <w:pPr>
        <w:pStyle w:val="300"/>
      </w:pPr>
      <w:r>
        <w:t>（1）沉淀污泥</w:t>
      </w:r>
    </w:p>
    <w:p>
      <w:pPr>
        <w:pStyle w:val="300"/>
      </w:pPr>
      <w:r>
        <w:t>矿山建设的沉淀池含有少量的污泥，结合同类项目，按照年开采量的1%计，则年产生量为1万吨/a，作为矿区复垦绿化使用。</w:t>
      </w:r>
    </w:p>
    <w:p>
      <w:pPr>
        <w:pStyle w:val="300"/>
      </w:pPr>
      <w:r>
        <w:t>工业场地喷雾废水、车辆清洗废水经沉淀池沉淀处理后，定期清掏沉淀池内的污泥，少量的污泥运至堆土场进行堆放，用于矿山复绿做表土绿化使用。</w:t>
      </w:r>
    </w:p>
    <w:p>
      <w:pPr>
        <w:pStyle w:val="300"/>
      </w:pPr>
      <w:r>
        <w:t>（2）生活垃圾</w:t>
      </w:r>
    </w:p>
    <w:p>
      <w:pPr>
        <w:pStyle w:val="300"/>
      </w:pPr>
      <w:r>
        <w:t>每人产生量按0.5kg/d计，建设项目开采区劳动定员为10人、工业场地劳动定员为26人，生活垃圾产生量分别为5kg/d、13kg/d，合计18kg/d，5.94t/a。矿区设垃圾桶收集，收集后交由当地环卫部门。</w:t>
      </w:r>
    </w:p>
    <w:p>
      <w:pPr>
        <w:pStyle w:val="300"/>
      </w:pPr>
      <w:r>
        <w:t>（3）废润滑油</w:t>
      </w:r>
    </w:p>
    <w:p>
      <w:pPr>
        <w:pStyle w:val="300"/>
      </w:pPr>
      <w:r>
        <w:t>矿区机械仅进行日常维护性修理，大的机修主要是委外进行修理，简单的维检修过程会产生少量的废润滑油和含油棉纱手套，润滑油、废润滑油属于《国家危险废物名录》（2021版）中HW08废矿物油与含矿物油废物900-214-08车辆、轮船及其他机械维修过程中产生的废发动机油、制动器油、自动变速器油、齿轮油等废润滑油，产生量约0.20t/a，收集暂存后定期交由资质单位进行处置。</w:t>
      </w:r>
    </w:p>
    <w:p>
      <w:pPr>
        <w:pStyle w:val="300"/>
      </w:pPr>
      <w:r>
        <w:t>（4）含油棉纱手套</w:t>
      </w:r>
    </w:p>
    <w:p>
      <w:pPr>
        <w:pStyle w:val="300"/>
      </w:pPr>
      <w:r>
        <w:t>含油棉纱手套属于《国家危险废物名录》（2021版）中HW49其他废物900-041-49废弃的含油抹布、劳保用品固态，产生量约0.01t/a，收集暂存后定期交由资质单位进行处置。</w:t>
      </w:r>
    </w:p>
    <w:p>
      <w:pPr>
        <w:pStyle w:val="300"/>
        <w:rPr>
          <w:szCs w:val="24"/>
        </w:rPr>
      </w:pPr>
      <w:r>
        <w:rPr>
          <w:szCs w:val="24"/>
        </w:rPr>
        <w:t>固废产生及处置情况见下表。</w:t>
      </w:r>
    </w:p>
    <w:p>
      <w:pPr>
        <w:pStyle w:val="84"/>
      </w:pPr>
      <w:r>
        <w:t>表3.3-7  本项目固废产生及处置情况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763"/>
        <w:gridCol w:w="1107"/>
        <w:gridCol w:w="992"/>
        <w:gridCol w:w="971"/>
        <w:gridCol w:w="1596"/>
        <w:gridCol w:w="975"/>
        <w:gridCol w:w="1298"/>
        <w:gridCol w:w="1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36" w:type="pct"/>
            <w:shd w:val="clear" w:color="auto" w:fill="D8D8D8" w:themeFill="background1" w:themeFillShade="D9"/>
            <w:vAlign w:val="center"/>
          </w:tcPr>
          <w:p>
            <w:pPr>
              <w:pStyle w:val="45"/>
              <w:rPr>
                <w:rFonts w:ascii="Times New Roman" w:hAnsi="Times New Roman"/>
              </w:rPr>
            </w:pPr>
            <w:r>
              <w:rPr>
                <w:rFonts w:ascii="Times New Roman" w:hAnsi="Times New Roman"/>
              </w:rPr>
              <w:t>序号</w:t>
            </w:r>
          </w:p>
        </w:tc>
        <w:tc>
          <w:tcPr>
            <w:tcW w:w="411" w:type="pct"/>
            <w:shd w:val="clear" w:color="auto" w:fill="D8D8D8" w:themeFill="background1" w:themeFillShade="D9"/>
            <w:vAlign w:val="center"/>
          </w:tcPr>
          <w:p>
            <w:pPr>
              <w:pStyle w:val="45"/>
              <w:rPr>
                <w:rFonts w:ascii="Times New Roman" w:hAnsi="Times New Roman"/>
              </w:rPr>
            </w:pPr>
            <w:r>
              <w:rPr>
                <w:rFonts w:ascii="Times New Roman" w:hAnsi="Times New Roman"/>
              </w:rPr>
              <w:t>固废名称</w:t>
            </w:r>
          </w:p>
        </w:tc>
        <w:tc>
          <w:tcPr>
            <w:tcW w:w="596" w:type="pct"/>
            <w:shd w:val="clear" w:color="auto" w:fill="D8D8D8" w:themeFill="background1" w:themeFillShade="D9"/>
            <w:vAlign w:val="center"/>
          </w:tcPr>
          <w:p>
            <w:pPr>
              <w:pStyle w:val="45"/>
              <w:rPr>
                <w:rFonts w:ascii="Times New Roman" w:hAnsi="Times New Roman"/>
              </w:rPr>
            </w:pPr>
            <w:r>
              <w:rPr>
                <w:rFonts w:ascii="Times New Roman" w:hAnsi="Times New Roman"/>
              </w:rPr>
              <w:t>废物代码</w:t>
            </w:r>
          </w:p>
        </w:tc>
        <w:tc>
          <w:tcPr>
            <w:tcW w:w="534" w:type="pct"/>
            <w:shd w:val="clear" w:color="auto" w:fill="D8D8D8" w:themeFill="background1" w:themeFillShade="D9"/>
            <w:vAlign w:val="center"/>
          </w:tcPr>
          <w:p>
            <w:pPr>
              <w:pStyle w:val="45"/>
              <w:rPr>
                <w:rFonts w:ascii="Times New Roman" w:hAnsi="Times New Roman"/>
              </w:rPr>
            </w:pPr>
            <w:r>
              <w:rPr>
                <w:rFonts w:ascii="Times New Roman" w:hAnsi="Times New Roman"/>
              </w:rPr>
              <w:t>产生量（t/a）</w:t>
            </w:r>
          </w:p>
        </w:tc>
        <w:tc>
          <w:tcPr>
            <w:tcW w:w="523" w:type="pct"/>
            <w:shd w:val="clear" w:color="auto" w:fill="D8D8D8" w:themeFill="background1" w:themeFillShade="D9"/>
            <w:vAlign w:val="center"/>
          </w:tcPr>
          <w:p>
            <w:pPr>
              <w:pStyle w:val="45"/>
              <w:rPr>
                <w:rFonts w:ascii="Times New Roman" w:hAnsi="Times New Roman"/>
              </w:rPr>
            </w:pPr>
            <w:r>
              <w:rPr>
                <w:rFonts w:ascii="Times New Roman" w:hAnsi="Times New Roman"/>
              </w:rPr>
              <w:t>固废属性</w:t>
            </w:r>
          </w:p>
        </w:tc>
        <w:tc>
          <w:tcPr>
            <w:tcW w:w="859" w:type="pct"/>
            <w:shd w:val="clear" w:color="auto" w:fill="D8D8D8" w:themeFill="background1" w:themeFillShade="D9"/>
            <w:vAlign w:val="center"/>
          </w:tcPr>
          <w:p>
            <w:pPr>
              <w:pStyle w:val="45"/>
              <w:rPr>
                <w:rFonts w:ascii="Times New Roman" w:hAnsi="Times New Roman"/>
              </w:rPr>
            </w:pPr>
            <w:r>
              <w:rPr>
                <w:rFonts w:ascii="Times New Roman" w:hAnsi="Times New Roman"/>
              </w:rPr>
              <w:t>处置方式</w:t>
            </w:r>
          </w:p>
        </w:tc>
        <w:tc>
          <w:tcPr>
            <w:tcW w:w="525" w:type="pct"/>
            <w:shd w:val="clear" w:color="auto" w:fill="D8D8D8" w:themeFill="background1" w:themeFillShade="D9"/>
            <w:vAlign w:val="center"/>
          </w:tcPr>
          <w:p>
            <w:pPr>
              <w:pStyle w:val="45"/>
              <w:rPr>
                <w:rFonts w:ascii="Times New Roman" w:hAnsi="Times New Roman"/>
              </w:rPr>
            </w:pPr>
            <w:r>
              <w:rPr>
                <w:rFonts w:ascii="Times New Roman" w:hAnsi="Times New Roman"/>
              </w:rPr>
              <w:t>处置量（t/a）</w:t>
            </w:r>
          </w:p>
        </w:tc>
        <w:tc>
          <w:tcPr>
            <w:tcW w:w="699" w:type="pct"/>
            <w:shd w:val="clear" w:color="auto" w:fill="D8D8D8" w:themeFill="background1" w:themeFillShade="D9"/>
            <w:vAlign w:val="center"/>
          </w:tcPr>
          <w:p>
            <w:pPr>
              <w:pStyle w:val="45"/>
              <w:rPr>
                <w:rFonts w:ascii="Times New Roman" w:hAnsi="Times New Roman"/>
              </w:rPr>
            </w:pPr>
            <w:r>
              <w:rPr>
                <w:rFonts w:ascii="Times New Roman" w:hAnsi="Times New Roman"/>
              </w:rPr>
              <w:t>最终去向</w:t>
            </w:r>
          </w:p>
        </w:tc>
        <w:tc>
          <w:tcPr>
            <w:tcW w:w="617" w:type="pct"/>
            <w:shd w:val="clear" w:color="auto" w:fill="D8D8D8" w:themeFill="background1" w:themeFillShade="D9"/>
            <w:vAlign w:val="center"/>
          </w:tcPr>
          <w:p>
            <w:pPr>
              <w:pStyle w:val="45"/>
              <w:rPr>
                <w:rFonts w:ascii="Times New Roman" w:hAnsi="Times New Roman"/>
              </w:rPr>
            </w:pPr>
            <w:r>
              <w:rPr>
                <w:rFonts w:ascii="Times New Roman" w:hAnsi="Times New Roman"/>
              </w:rPr>
              <w:t>环境管理要求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36" w:type="pct"/>
            <w:vAlign w:val="center"/>
          </w:tcPr>
          <w:p>
            <w:pPr>
              <w:pStyle w:val="45"/>
              <w:rPr>
                <w:rFonts w:ascii="Times New Roman" w:hAnsi="Times New Roman"/>
              </w:rPr>
            </w:pPr>
            <w:r>
              <w:rPr>
                <w:rFonts w:ascii="Times New Roman" w:hAnsi="Times New Roman"/>
              </w:rPr>
              <w:t>1</w:t>
            </w:r>
          </w:p>
        </w:tc>
        <w:tc>
          <w:tcPr>
            <w:tcW w:w="411" w:type="pct"/>
            <w:vAlign w:val="center"/>
          </w:tcPr>
          <w:p>
            <w:pPr>
              <w:pStyle w:val="45"/>
              <w:rPr>
                <w:rFonts w:ascii="Times New Roman" w:hAnsi="Times New Roman"/>
              </w:rPr>
            </w:pPr>
            <w:r>
              <w:rPr>
                <w:rFonts w:ascii="Times New Roman" w:hAnsi="Times New Roman"/>
              </w:rPr>
              <w:t>沉淀污泥</w:t>
            </w:r>
          </w:p>
        </w:tc>
        <w:tc>
          <w:tcPr>
            <w:tcW w:w="596" w:type="pct"/>
            <w:vAlign w:val="center"/>
          </w:tcPr>
          <w:p>
            <w:pPr>
              <w:pStyle w:val="45"/>
              <w:rPr>
                <w:rFonts w:ascii="Times New Roman" w:hAnsi="Times New Roman"/>
              </w:rPr>
            </w:pPr>
            <w:r>
              <w:rPr>
                <w:rFonts w:ascii="Times New Roman" w:hAnsi="Times New Roman"/>
              </w:rPr>
              <w:t>/</w:t>
            </w:r>
          </w:p>
        </w:tc>
        <w:tc>
          <w:tcPr>
            <w:tcW w:w="534" w:type="pct"/>
            <w:vAlign w:val="center"/>
          </w:tcPr>
          <w:p>
            <w:pPr>
              <w:pStyle w:val="45"/>
              <w:rPr>
                <w:rFonts w:ascii="Times New Roman" w:hAnsi="Times New Roman"/>
              </w:rPr>
            </w:pPr>
            <w:r>
              <w:rPr>
                <w:rFonts w:ascii="Times New Roman" w:hAnsi="Times New Roman"/>
              </w:rPr>
              <w:t>10000</w:t>
            </w:r>
          </w:p>
        </w:tc>
        <w:tc>
          <w:tcPr>
            <w:tcW w:w="523" w:type="pct"/>
            <w:vAlign w:val="center"/>
          </w:tcPr>
          <w:p>
            <w:pPr>
              <w:pStyle w:val="45"/>
              <w:rPr>
                <w:rFonts w:ascii="Times New Roman" w:hAnsi="Times New Roman"/>
              </w:rPr>
            </w:pPr>
            <w:r>
              <w:rPr>
                <w:rFonts w:ascii="Times New Roman" w:hAnsi="Times New Roman"/>
              </w:rPr>
              <w:t>一般工业固体废物</w:t>
            </w:r>
          </w:p>
        </w:tc>
        <w:tc>
          <w:tcPr>
            <w:tcW w:w="859" w:type="pct"/>
            <w:vAlign w:val="center"/>
          </w:tcPr>
          <w:p>
            <w:pPr>
              <w:pStyle w:val="45"/>
              <w:rPr>
                <w:rFonts w:ascii="Times New Roman" w:hAnsi="Times New Roman"/>
              </w:rPr>
            </w:pPr>
            <w:r>
              <w:rPr>
                <w:rFonts w:ascii="Times New Roman" w:hAnsi="Times New Roman"/>
              </w:rPr>
              <w:t>矿区复垦绿化使用</w:t>
            </w:r>
          </w:p>
        </w:tc>
        <w:tc>
          <w:tcPr>
            <w:tcW w:w="525" w:type="pct"/>
            <w:vAlign w:val="center"/>
          </w:tcPr>
          <w:p>
            <w:pPr>
              <w:pStyle w:val="45"/>
              <w:rPr>
                <w:rFonts w:ascii="Times New Roman" w:hAnsi="Times New Roman"/>
              </w:rPr>
            </w:pPr>
            <w:r>
              <w:rPr>
                <w:rFonts w:ascii="Times New Roman" w:hAnsi="Times New Roman"/>
              </w:rPr>
              <w:t>10000</w:t>
            </w:r>
          </w:p>
        </w:tc>
        <w:tc>
          <w:tcPr>
            <w:tcW w:w="699" w:type="pct"/>
            <w:vAlign w:val="center"/>
          </w:tcPr>
          <w:p>
            <w:pPr>
              <w:pStyle w:val="45"/>
              <w:rPr>
                <w:rFonts w:ascii="Times New Roman" w:hAnsi="Times New Roman"/>
              </w:rPr>
            </w:pPr>
            <w:r>
              <w:rPr>
                <w:rFonts w:ascii="Times New Roman" w:hAnsi="Times New Roman"/>
              </w:rPr>
              <w:t>作为矿区复垦绿化使用</w:t>
            </w:r>
          </w:p>
        </w:tc>
        <w:tc>
          <w:tcPr>
            <w:tcW w:w="617" w:type="pct"/>
            <w:vMerge w:val="restart"/>
            <w:vAlign w:val="center"/>
          </w:tcPr>
          <w:p>
            <w:pPr>
              <w:pStyle w:val="45"/>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36" w:type="pct"/>
            <w:vAlign w:val="center"/>
          </w:tcPr>
          <w:p>
            <w:pPr>
              <w:pStyle w:val="45"/>
              <w:rPr>
                <w:rFonts w:ascii="Times New Roman" w:hAnsi="Times New Roman"/>
              </w:rPr>
            </w:pPr>
            <w:r>
              <w:rPr>
                <w:rFonts w:ascii="Times New Roman" w:hAnsi="Times New Roman"/>
              </w:rPr>
              <w:t>2</w:t>
            </w:r>
          </w:p>
        </w:tc>
        <w:tc>
          <w:tcPr>
            <w:tcW w:w="411" w:type="pct"/>
            <w:vAlign w:val="center"/>
          </w:tcPr>
          <w:p>
            <w:pPr>
              <w:pStyle w:val="45"/>
              <w:rPr>
                <w:rFonts w:ascii="Times New Roman" w:hAnsi="Times New Roman"/>
              </w:rPr>
            </w:pPr>
            <w:r>
              <w:rPr>
                <w:rFonts w:ascii="Times New Roman" w:hAnsi="Times New Roman"/>
              </w:rPr>
              <w:t>生活垃圾</w:t>
            </w:r>
          </w:p>
        </w:tc>
        <w:tc>
          <w:tcPr>
            <w:tcW w:w="596" w:type="pct"/>
            <w:vAlign w:val="center"/>
          </w:tcPr>
          <w:p>
            <w:pPr>
              <w:pStyle w:val="45"/>
              <w:rPr>
                <w:rFonts w:ascii="Times New Roman" w:hAnsi="Times New Roman"/>
              </w:rPr>
            </w:pPr>
            <w:r>
              <w:rPr>
                <w:rFonts w:ascii="Times New Roman" w:hAnsi="Times New Roman"/>
              </w:rPr>
              <w:t>/</w:t>
            </w:r>
          </w:p>
        </w:tc>
        <w:tc>
          <w:tcPr>
            <w:tcW w:w="534" w:type="pct"/>
            <w:vAlign w:val="center"/>
          </w:tcPr>
          <w:p>
            <w:pPr>
              <w:pStyle w:val="45"/>
              <w:rPr>
                <w:rFonts w:ascii="Times New Roman" w:hAnsi="Times New Roman"/>
              </w:rPr>
            </w:pPr>
            <w:r>
              <w:rPr>
                <w:rFonts w:ascii="Times New Roman" w:hAnsi="Times New Roman"/>
              </w:rPr>
              <w:t>5.94</w:t>
            </w:r>
          </w:p>
        </w:tc>
        <w:tc>
          <w:tcPr>
            <w:tcW w:w="523" w:type="pct"/>
            <w:vAlign w:val="center"/>
          </w:tcPr>
          <w:p>
            <w:pPr>
              <w:pStyle w:val="45"/>
              <w:rPr>
                <w:rFonts w:ascii="Times New Roman" w:hAnsi="Times New Roman"/>
              </w:rPr>
            </w:pPr>
            <w:r>
              <w:rPr>
                <w:rFonts w:ascii="Times New Roman" w:hAnsi="Times New Roman"/>
              </w:rPr>
              <w:t>生活垃圾</w:t>
            </w:r>
          </w:p>
        </w:tc>
        <w:tc>
          <w:tcPr>
            <w:tcW w:w="859" w:type="pct"/>
            <w:vAlign w:val="center"/>
          </w:tcPr>
          <w:p>
            <w:pPr>
              <w:pStyle w:val="45"/>
              <w:rPr>
                <w:rFonts w:ascii="Times New Roman" w:hAnsi="Times New Roman"/>
              </w:rPr>
            </w:pPr>
            <w:r>
              <w:rPr>
                <w:rFonts w:ascii="Times New Roman" w:hAnsi="Times New Roman"/>
              </w:rPr>
              <w:t>收集后交环卫部门统一处置</w:t>
            </w:r>
          </w:p>
        </w:tc>
        <w:tc>
          <w:tcPr>
            <w:tcW w:w="525" w:type="pct"/>
            <w:vAlign w:val="center"/>
          </w:tcPr>
          <w:p>
            <w:pPr>
              <w:pStyle w:val="45"/>
              <w:rPr>
                <w:rFonts w:ascii="Times New Roman" w:hAnsi="Times New Roman"/>
              </w:rPr>
            </w:pPr>
            <w:r>
              <w:rPr>
                <w:rFonts w:ascii="Times New Roman" w:hAnsi="Times New Roman"/>
              </w:rPr>
              <w:t>5.94</w:t>
            </w:r>
          </w:p>
        </w:tc>
        <w:tc>
          <w:tcPr>
            <w:tcW w:w="699" w:type="pct"/>
            <w:vAlign w:val="center"/>
          </w:tcPr>
          <w:p>
            <w:pPr>
              <w:pStyle w:val="45"/>
              <w:rPr>
                <w:rFonts w:ascii="Times New Roman" w:hAnsi="Times New Roman"/>
              </w:rPr>
            </w:pPr>
            <w:r>
              <w:rPr>
                <w:rFonts w:ascii="Times New Roman" w:hAnsi="Times New Roman"/>
              </w:rPr>
              <w:t>垃圾处置场</w:t>
            </w:r>
          </w:p>
        </w:tc>
        <w:tc>
          <w:tcPr>
            <w:tcW w:w="617" w:type="pct"/>
            <w:vMerge w:val="continue"/>
            <w:vAlign w:val="center"/>
          </w:tcPr>
          <w:p>
            <w:pPr>
              <w:pStyle w:val="45"/>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36" w:type="pct"/>
            <w:vAlign w:val="center"/>
          </w:tcPr>
          <w:p>
            <w:pPr>
              <w:pStyle w:val="45"/>
              <w:rPr>
                <w:rFonts w:ascii="Times New Roman" w:hAnsi="Times New Roman"/>
              </w:rPr>
            </w:pPr>
            <w:r>
              <w:rPr>
                <w:rFonts w:ascii="Times New Roman" w:hAnsi="Times New Roman"/>
              </w:rPr>
              <w:t>3</w:t>
            </w:r>
          </w:p>
        </w:tc>
        <w:tc>
          <w:tcPr>
            <w:tcW w:w="411" w:type="pct"/>
            <w:vAlign w:val="center"/>
          </w:tcPr>
          <w:p>
            <w:pPr>
              <w:pStyle w:val="45"/>
              <w:rPr>
                <w:rFonts w:ascii="Times New Roman" w:hAnsi="Times New Roman"/>
              </w:rPr>
            </w:pPr>
            <w:r>
              <w:rPr>
                <w:rFonts w:ascii="Times New Roman" w:hAnsi="Times New Roman"/>
              </w:rPr>
              <w:t>含油废物</w:t>
            </w:r>
          </w:p>
        </w:tc>
        <w:tc>
          <w:tcPr>
            <w:tcW w:w="596" w:type="pct"/>
            <w:vAlign w:val="center"/>
          </w:tcPr>
          <w:p>
            <w:pPr>
              <w:pStyle w:val="45"/>
              <w:rPr>
                <w:rFonts w:ascii="Times New Roman" w:hAnsi="Times New Roman"/>
              </w:rPr>
            </w:pPr>
            <w:r>
              <w:rPr>
                <w:rFonts w:ascii="Times New Roman" w:hAnsi="Times New Roman"/>
              </w:rPr>
              <w:t>900-214-08</w:t>
            </w:r>
          </w:p>
        </w:tc>
        <w:tc>
          <w:tcPr>
            <w:tcW w:w="534" w:type="pct"/>
            <w:vAlign w:val="center"/>
          </w:tcPr>
          <w:p>
            <w:pPr>
              <w:pStyle w:val="45"/>
              <w:rPr>
                <w:rFonts w:ascii="Times New Roman" w:hAnsi="Times New Roman"/>
              </w:rPr>
            </w:pPr>
            <w:r>
              <w:rPr>
                <w:rFonts w:ascii="Times New Roman" w:hAnsi="Times New Roman"/>
              </w:rPr>
              <w:t>0.20</w:t>
            </w:r>
          </w:p>
        </w:tc>
        <w:tc>
          <w:tcPr>
            <w:tcW w:w="523" w:type="pct"/>
            <w:vAlign w:val="center"/>
          </w:tcPr>
          <w:p>
            <w:pPr>
              <w:pStyle w:val="45"/>
              <w:rPr>
                <w:rFonts w:ascii="Times New Roman" w:hAnsi="Times New Roman"/>
              </w:rPr>
            </w:pPr>
            <w:r>
              <w:rPr>
                <w:rFonts w:ascii="Times New Roman" w:hAnsi="Times New Roman"/>
              </w:rPr>
              <w:t>危险废物</w:t>
            </w:r>
          </w:p>
        </w:tc>
        <w:tc>
          <w:tcPr>
            <w:tcW w:w="859" w:type="pct"/>
            <w:vAlign w:val="center"/>
          </w:tcPr>
          <w:p>
            <w:pPr>
              <w:pStyle w:val="45"/>
              <w:rPr>
                <w:rFonts w:ascii="Times New Roman" w:hAnsi="Times New Roman"/>
              </w:rPr>
            </w:pPr>
            <w:r>
              <w:rPr>
                <w:rFonts w:ascii="Times New Roman" w:hAnsi="Times New Roman"/>
              </w:rPr>
              <w:t>收集暂存后定期交由资质单位进行处置。</w:t>
            </w:r>
          </w:p>
        </w:tc>
        <w:tc>
          <w:tcPr>
            <w:tcW w:w="525" w:type="pct"/>
            <w:vAlign w:val="center"/>
          </w:tcPr>
          <w:p>
            <w:pPr>
              <w:pStyle w:val="45"/>
              <w:rPr>
                <w:rFonts w:ascii="Times New Roman" w:hAnsi="Times New Roman"/>
              </w:rPr>
            </w:pPr>
            <w:r>
              <w:rPr>
                <w:rFonts w:ascii="Times New Roman" w:hAnsi="Times New Roman"/>
              </w:rPr>
              <w:t>0.20</w:t>
            </w:r>
          </w:p>
        </w:tc>
        <w:tc>
          <w:tcPr>
            <w:tcW w:w="699" w:type="pct"/>
            <w:vAlign w:val="center"/>
          </w:tcPr>
          <w:p>
            <w:pPr>
              <w:pStyle w:val="45"/>
              <w:rPr>
                <w:rFonts w:ascii="Times New Roman" w:hAnsi="Times New Roman"/>
              </w:rPr>
            </w:pPr>
            <w:r>
              <w:rPr>
                <w:rFonts w:ascii="Times New Roman" w:hAnsi="Times New Roman"/>
              </w:rPr>
              <w:t>危废处置单位</w:t>
            </w:r>
          </w:p>
        </w:tc>
        <w:tc>
          <w:tcPr>
            <w:tcW w:w="617" w:type="pct"/>
            <w:vMerge w:val="restart"/>
            <w:vAlign w:val="center"/>
          </w:tcPr>
          <w:p>
            <w:pPr>
              <w:pStyle w:val="45"/>
              <w:rPr>
                <w:rFonts w:ascii="Times New Roman" w:hAnsi="Times New Roman"/>
              </w:rPr>
            </w:pPr>
            <w:r>
              <w:rPr>
                <w:rFonts w:ascii="Times New Roman" w:hAnsi="Times New Roman"/>
              </w:rPr>
              <w:t>填写危废转运联单，交于有危废处置资质单位处置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36" w:type="pct"/>
            <w:vAlign w:val="center"/>
          </w:tcPr>
          <w:p>
            <w:pPr>
              <w:pStyle w:val="45"/>
              <w:rPr>
                <w:rFonts w:ascii="Times New Roman" w:hAnsi="Times New Roman"/>
              </w:rPr>
            </w:pPr>
            <w:r>
              <w:rPr>
                <w:rFonts w:ascii="Times New Roman" w:hAnsi="Times New Roman"/>
              </w:rPr>
              <w:t>4</w:t>
            </w:r>
          </w:p>
        </w:tc>
        <w:tc>
          <w:tcPr>
            <w:tcW w:w="411" w:type="pct"/>
            <w:vAlign w:val="center"/>
          </w:tcPr>
          <w:p>
            <w:pPr>
              <w:pStyle w:val="45"/>
              <w:rPr>
                <w:rFonts w:ascii="Times New Roman" w:hAnsi="Times New Roman"/>
              </w:rPr>
            </w:pPr>
            <w:r>
              <w:rPr>
                <w:rFonts w:ascii="Times New Roman" w:hAnsi="Times New Roman"/>
              </w:rPr>
              <w:t>含油棉纱手套</w:t>
            </w:r>
          </w:p>
        </w:tc>
        <w:tc>
          <w:tcPr>
            <w:tcW w:w="596" w:type="pct"/>
            <w:vAlign w:val="center"/>
          </w:tcPr>
          <w:p>
            <w:pPr>
              <w:pStyle w:val="45"/>
              <w:rPr>
                <w:rFonts w:ascii="Times New Roman" w:hAnsi="Times New Roman"/>
              </w:rPr>
            </w:pPr>
            <w:r>
              <w:rPr>
                <w:rFonts w:ascii="Times New Roman" w:hAnsi="Times New Roman"/>
              </w:rPr>
              <w:t>900-041-49</w:t>
            </w:r>
          </w:p>
        </w:tc>
        <w:tc>
          <w:tcPr>
            <w:tcW w:w="534" w:type="pct"/>
            <w:vAlign w:val="center"/>
          </w:tcPr>
          <w:p>
            <w:pPr>
              <w:pStyle w:val="45"/>
              <w:rPr>
                <w:rFonts w:ascii="Times New Roman" w:hAnsi="Times New Roman"/>
              </w:rPr>
            </w:pPr>
            <w:r>
              <w:rPr>
                <w:rFonts w:ascii="Times New Roman" w:hAnsi="Times New Roman"/>
              </w:rPr>
              <w:t>0.01</w:t>
            </w:r>
          </w:p>
        </w:tc>
        <w:tc>
          <w:tcPr>
            <w:tcW w:w="523" w:type="pct"/>
            <w:vAlign w:val="center"/>
          </w:tcPr>
          <w:p>
            <w:pPr>
              <w:pStyle w:val="45"/>
              <w:rPr>
                <w:rFonts w:ascii="Times New Roman" w:hAnsi="Times New Roman"/>
              </w:rPr>
            </w:pPr>
            <w:r>
              <w:rPr>
                <w:rFonts w:ascii="Times New Roman" w:hAnsi="Times New Roman"/>
              </w:rPr>
              <w:t>危险废物</w:t>
            </w:r>
          </w:p>
        </w:tc>
        <w:tc>
          <w:tcPr>
            <w:tcW w:w="859" w:type="pct"/>
            <w:vAlign w:val="center"/>
          </w:tcPr>
          <w:p>
            <w:pPr>
              <w:pStyle w:val="45"/>
              <w:rPr>
                <w:rFonts w:ascii="Times New Roman" w:hAnsi="Times New Roman"/>
              </w:rPr>
            </w:pPr>
            <w:r>
              <w:rPr>
                <w:rFonts w:ascii="Times New Roman" w:hAnsi="Times New Roman"/>
              </w:rPr>
              <w:t>收集暂存后定期交由资质单位进行处置。</w:t>
            </w:r>
          </w:p>
        </w:tc>
        <w:tc>
          <w:tcPr>
            <w:tcW w:w="525" w:type="pct"/>
            <w:vAlign w:val="center"/>
          </w:tcPr>
          <w:p>
            <w:pPr>
              <w:pStyle w:val="45"/>
              <w:rPr>
                <w:rFonts w:ascii="Times New Roman" w:hAnsi="Times New Roman"/>
              </w:rPr>
            </w:pPr>
            <w:r>
              <w:rPr>
                <w:rFonts w:ascii="Times New Roman" w:hAnsi="Times New Roman"/>
              </w:rPr>
              <w:t>0.01</w:t>
            </w:r>
          </w:p>
        </w:tc>
        <w:tc>
          <w:tcPr>
            <w:tcW w:w="699" w:type="pct"/>
            <w:vAlign w:val="center"/>
          </w:tcPr>
          <w:p>
            <w:pPr>
              <w:pStyle w:val="45"/>
              <w:rPr>
                <w:rFonts w:ascii="Times New Roman" w:hAnsi="Times New Roman"/>
              </w:rPr>
            </w:pPr>
            <w:r>
              <w:rPr>
                <w:rFonts w:ascii="Times New Roman" w:hAnsi="Times New Roman"/>
              </w:rPr>
              <w:t>危废处置单位</w:t>
            </w:r>
          </w:p>
        </w:tc>
        <w:tc>
          <w:tcPr>
            <w:tcW w:w="617" w:type="pct"/>
            <w:vMerge w:val="continue"/>
            <w:vAlign w:val="center"/>
          </w:tcPr>
          <w:p>
            <w:pPr>
              <w:pStyle w:val="45"/>
              <w:rPr>
                <w:rFonts w:ascii="Times New Roman" w:hAnsi="Times New Roman"/>
              </w:rPr>
            </w:pPr>
          </w:p>
        </w:tc>
      </w:tr>
    </w:tbl>
    <w:p>
      <w:pPr>
        <w:pStyle w:val="84"/>
      </w:pPr>
      <w:r>
        <w:t>表3.3-8   拟建项目危险废物汇总表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743"/>
        <w:gridCol w:w="865"/>
        <w:gridCol w:w="997"/>
        <w:gridCol w:w="975"/>
        <w:gridCol w:w="617"/>
        <w:gridCol w:w="617"/>
        <w:gridCol w:w="770"/>
        <w:gridCol w:w="771"/>
        <w:gridCol w:w="931"/>
        <w:gridCol w:w="622"/>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430"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序号</w:t>
            </w:r>
          </w:p>
        </w:tc>
        <w:tc>
          <w:tcPr>
            <w:tcW w:w="729"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危险废物名称</w:t>
            </w:r>
          </w:p>
        </w:tc>
        <w:tc>
          <w:tcPr>
            <w:tcW w:w="785"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危险废物类别</w:t>
            </w:r>
          </w:p>
        </w:tc>
        <w:tc>
          <w:tcPr>
            <w:tcW w:w="979"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危险废物代码</w:t>
            </w:r>
          </w:p>
        </w:tc>
        <w:tc>
          <w:tcPr>
            <w:tcW w:w="855"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产生量（t/a）</w:t>
            </w:r>
          </w:p>
        </w:tc>
        <w:tc>
          <w:tcPr>
            <w:tcW w:w="606"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产生工序</w:t>
            </w:r>
          </w:p>
        </w:tc>
        <w:tc>
          <w:tcPr>
            <w:tcW w:w="606"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形态</w:t>
            </w:r>
          </w:p>
        </w:tc>
        <w:tc>
          <w:tcPr>
            <w:tcW w:w="756"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主要</w:t>
            </w:r>
          </w:p>
          <w:p>
            <w:pPr>
              <w:adjustRightInd/>
              <w:snapToGrid/>
              <w:spacing w:line="240" w:lineRule="auto"/>
              <w:ind w:firstLine="0" w:firstLineChars="0"/>
              <w:jc w:val="center"/>
              <w:rPr>
                <w:b/>
                <w:bCs/>
                <w:iCs/>
                <w:sz w:val="21"/>
                <w:szCs w:val="21"/>
              </w:rPr>
            </w:pPr>
            <w:r>
              <w:rPr>
                <w:b/>
                <w:bCs/>
                <w:iCs/>
                <w:sz w:val="21"/>
                <w:szCs w:val="21"/>
              </w:rPr>
              <w:t>成分</w:t>
            </w:r>
          </w:p>
        </w:tc>
        <w:tc>
          <w:tcPr>
            <w:tcW w:w="757"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有害</w:t>
            </w:r>
          </w:p>
          <w:p>
            <w:pPr>
              <w:adjustRightInd/>
              <w:snapToGrid/>
              <w:spacing w:line="240" w:lineRule="auto"/>
              <w:ind w:firstLine="0" w:firstLineChars="0"/>
              <w:jc w:val="center"/>
              <w:rPr>
                <w:b/>
                <w:bCs/>
                <w:iCs/>
                <w:sz w:val="21"/>
                <w:szCs w:val="21"/>
              </w:rPr>
            </w:pPr>
            <w:r>
              <w:rPr>
                <w:b/>
                <w:bCs/>
                <w:iCs/>
                <w:sz w:val="21"/>
                <w:szCs w:val="21"/>
              </w:rPr>
              <w:t>成分</w:t>
            </w:r>
          </w:p>
        </w:tc>
        <w:tc>
          <w:tcPr>
            <w:tcW w:w="914"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产废周期</w:t>
            </w:r>
          </w:p>
        </w:tc>
        <w:tc>
          <w:tcPr>
            <w:tcW w:w="606"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危险</w:t>
            </w:r>
          </w:p>
          <w:p>
            <w:pPr>
              <w:adjustRightInd/>
              <w:snapToGrid/>
              <w:spacing w:line="240" w:lineRule="auto"/>
              <w:ind w:firstLine="0" w:firstLineChars="0"/>
              <w:jc w:val="center"/>
              <w:rPr>
                <w:b/>
                <w:bCs/>
                <w:iCs/>
                <w:sz w:val="21"/>
                <w:szCs w:val="21"/>
              </w:rPr>
            </w:pPr>
            <w:r>
              <w:rPr>
                <w:b/>
                <w:bCs/>
                <w:iCs/>
                <w:sz w:val="21"/>
                <w:szCs w:val="21"/>
              </w:rPr>
              <w:t>特性</w:t>
            </w:r>
          </w:p>
        </w:tc>
        <w:tc>
          <w:tcPr>
            <w:tcW w:w="924" w:type="dxa"/>
            <w:shd w:val="clear" w:color="auto" w:fill="D8D8D8" w:themeFill="background1" w:themeFillShade="D9"/>
            <w:vAlign w:val="center"/>
          </w:tcPr>
          <w:p>
            <w:pPr>
              <w:adjustRightInd/>
              <w:snapToGrid/>
              <w:spacing w:line="240" w:lineRule="auto"/>
              <w:ind w:firstLine="0" w:firstLineChars="0"/>
              <w:jc w:val="center"/>
              <w:rPr>
                <w:b/>
                <w:bCs/>
                <w:iCs/>
                <w:sz w:val="21"/>
                <w:szCs w:val="21"/>
              </w:rPr>
            </w:pPr>
            <w:r>
              <w:rPr>
                <w:b/>
                <w:bCs/>
                <w:iCs/>
                <w:sz w:val="21"/>
                <w:szCs w:val="21"/>
              </w:rPr>
              <w:t>污染防</w:t>
            </w:r>
          </w:p>
          <w:p>
            <w:pPr>
              <w:adjustRightInd/>
              <w:snapToGrid/>
              <w:spacing w:line="240" w:lineRule="auto"/>
              <w:ind w:firstLine="0" w:firstLineChars="0"/>
              <w:jc w:val="center"/>
              <w:rPr>
                <w:b/>
                <w:bCs/>
                <w:iCs/>
                <w:sz w:val="21"/>
                <w:szCs w:val="21"/>
              </w:rPr>
            </w:pPr>
            <w:r>
              <w:rPr>
                <w:b/>
                <w:bCs/>
                <w:iCs/>
                <w:sz w:val="21"/>
                <w:szCs w:val="21"/>
              </w:rPr>
              <w:t>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430" w:type="dxa"/>
            <w:vAlign w:val="center"/>
          </w:tcPr>
          <w:p>
            <w:pPr>
              <w:adjustRightInd/>
              <w:snapToGrid/>
              <w:spacing w:line="240" w:lineRule="auto"/>
              <w:ind w:firstLine="0" w:firstLineChars="0"/>
              <w:jc w:val="center"/>
              <w:rPr>
                <w:iCs/>
                <w:sz w:val="21"/>
                <w:szCs w:val="21"/>
              </w:rPr>
            </w:pPr>
            <w:r>
              <w:rPr>
                <w:iCs/>
                <w:sz w:val="21"/>
                <w:szCs w:val="21"/>
              </w:rPr>
              <w:t>1</w:t>
            </w:r>
          </w:p>
        </w:tc>
        <w:tc>
          <w:tcPr>
            <w:tcW w:w="729" w:type="dxa"/>
            <w:vAlign w:val="center"/>
          </w:tcPr>
          <w:p>
            <w:pPr>
              <w:adjustRightInd/>
              <w:snapToGrid/>
              <w:spacing w:line="240" w:lineRule="auto"/>
              <w:ind w:firstLine="0" w:firstLineChars="0"/>
              <w:jc w:val="center"/>
              <w:rPr>
                <w:iCs/>
                <w:sz w:val="21"/>
                <w:szCs w:val="21"/>
              </w:rPr>
            </w:pPr>
            <w:r>
              <w:rPr>
                <w:iCs/>
                <w:sz w:val="21"/>
                <w:szCs w:val="21"/>
              </w:rPr>
              <w:t>含油废物</w:t>
            </w:r>
          </w:p>
        </w:tc>
        <w:tc>
          <w:tcPr>
            <w:tcW w:w="785" w:type="dxa"/>
            <w:vAlign w:val="center"/>
          </w:tcPr>
          <w:p>
            <w:pPr>
              <w:adjustRightInd/>
              <w:snapToGrid/>
              <w:spacing w:line="240" w:lineRule="auto"/>
              <w:ind w:firstLine="0" w:firstLineChars="0"/>
              <w:jc w:val="center"/>
              <w:rPr>
                <w:iCs/>
                <w:sz w:val="21"/>
                <w:szCs w:val="21"/>
              </w:rPr>
            </w:pPr>
            <w:r>
              <w:rPr>
                <w:iCs/>
                <w:sz w:val="21"/>
                <w:szCs w:val="21"/>
              </w:rPr>
              <w:t>HW08</w:t>
            </w:r>
          </w:p>
        </w:tc>
        <w:tc>
          <w:tcPr>
            <w:tcW w:w="979" w:type="dxa"/>
            <w:vAlign w:val="center"/>
          </w:tcPr>
          <w:p>
            <w:pPr>
              <w:adjustRightInd/>
              <w:snapToGrid/>
              <w:spacing w:line="240" w:lineRule="auto"/>
              <w:ind w:firstLine="0" w:firstLineChars="0"/>
              <w:jc w:val="center"/>
              <w:rPr>
                <w:iCs/>
                <w:sz w:val="21"/>
                <w:szCs w:val="21"/>
              </w:rPr>
            </w:pPr>
            <w:r>
              <w:rPr>
                <w:iCs/>
                <w:sz w:val="21"/>
                <w:szCs w:val="21"/>
              </w:rPr>
              <w:t>900-214-08</w:t>
            </w:r>
          </w:p>
        </w:tc>
        <w:tc>
          <w:tcPr>
            <w:tcW w:w="855" w:type="dxa"/>
            <w:vAlign w:val="center"/>
          </w:tcPr>
          <w:p>
            <w:pPr>
              <w:adjustRightInd/>
              <w:snapToGrid/>
              <w:spacing w:line="240" w:lineRule="auto"/>
              <w:ind w:firstLine="0" w:firstLineChars="0"/>
              <w:jc w:val="center"/>
              <w:rPr>
                <w:iCs/>
                <w:sz w:val="21"/>
                <w:szCs w:val="21"/>
              </w:rPr>
            </w:pPr>
            <w:r>
              <w:rPr>
                <w:iCs/>
                <w:sz w:val="21"/>
                <w:szCs w:val="21"/>
              </w:rPr>
              <w:t>0.20</w:t>
            </w:r>
          </w:p>
        </w:tc>
        <w:tc>
          <w:tcPr>
            <w:tcW w:w="606" w:type="dxa"/>
            <w:vMerge w:val="restart"/>
            <w:vAlign w:val="center"/>
          </w:tcPr>
          <w:p>
            <w:pPr>
              <w:adjustRightInd/>
              <w:snapToGrid/>
              <w:spacing w:line="240" w:lineRule="auto"/>
              <w:ind w:firstLine="0" w:firstLineChars="0"/>
              <w:jc w:val="center"/>
              <w:rPr>
                <w:iCs/>
                <w:sz w:val="21"/>
                <w:szCs w:val="21"/>
              </w:rPr>
            </w:pPr>
            <w:r>
              <w:rPr>
                <w:iCs/>
                <w:sz w:val="21"/>
                <w:szCs w:val="21"/>
              </w:rPr>
              <w:t>机器保养</w:t>
            </w:r>
          </w:p>
        </w:tc>
        <w:tc>
          <w:tcPr>
            <w:tcW w:w="606" w:type="dxa"/>
            <w:vAlign w:val="center"/>
          </w:tcPr>
          <w:p>
            <w:pPr>
              <w:adjustRightInd/>
              <w:snapToGrid/>
              <w:spacing w:line="240" w:lineRule="auto"/>
              <w:ind w:firstLine="0" w:firstLineChars="0"/>
              <w:jc w:val="center"/>
              <w:rPr>
                <w:iCs/>
                <w:sz w:val="21"/>
                <w:szCs w:val="21"/>
              </w:rPr>
            </w:pPr>
            <w:r>
              <w:rPr>
                <w:iCs/>
                <w:sz w:val="21"/>
                <w:szCs w:val="21"/>
              </w:rPr>
              <w:t>液态</w:t>
            </w:r>
          </w:p>
        </w:tc>
        <w:tc>
          <w:tcPr>
            <w:tcW w:w="756" w:type="dxa"/>
            <w:vAlign w:val="center"/>
          </w:tcPr>
          <w:p>
            <w:pPr>
              <w:adjustRightInd/>
              <w:snapToGrid/>
              <w:spacing w:line="240" w:lineRule="auto"/>
              <w:ind w:firstLine="0" w:firstLineChars="0"/>
              <w:jc w:val="center"/>
              <w:rPr>
                <w:iCs/>
                <w:sz w:val="21"/>
                <w:szCs w:val="21"/>
              </w:rPr>
            </w:pPr>
            <w:r>
              <w:rPr>
                <w:iCs/>
                <w:sz w:val="21"/>
                <w:szCs w:val="21"/>
              </w:rPr>
              <w:t>石油类</w:t>
            </w:r>
          </w:p>
        </w:tc>
        <w:tc>
          <w:tcPr>
            <w:tcW w:w="757" w:type="dxa"/>
            <w:vAlign w:val="center"/>
          </w:tcPr>
          <w:p>
            <w:pPr>
              <w:adjustRightInd/>
              <w:snapToGrid/>
              <w:spacing w:line="240" w:lineRule="auto"/>
              <w:ind w:firstLine="0" w:firstLineChars="0"/>
              <w:jc w:val="center"/>
              <w:rPr>
                <w:iCs/>
                <w:sz w:val="21"/>
                <w:szCs w:val="21"/>
              </w:rPr>
            </w:pPr>
            <w:r>
              <w:rPr>
                <w:iCs/>
                <w:sz w:val="21"/>
                <w:szCs w:val="21"/>
              </w:rPr>
              <w:t>矿物油</w:t>
            </w:r>
          </w:p>
        </w:tc>
        <w:tc>
          <w:tcPr>
            <w:tcW w:w="914" w:type="dxa"/>
            <w:vAlign w:val="center"/>
          </w:tcPr>
          <w:p>
            <w:pPr>
              <w:adjustRightInd/>
              <w:snapToGrid/>
              <w:spacing w:line="240" w:lineRule="auto"/>
              <w:ind w:firstLine="0" w:firstLineChars="0"/>
              <w:jc w:val="center"/>
              <w:rPr>
                <w:iCs/>
                <w:sz w:val="21"/>
                <w:szCs w:val="21"/>
              </w:rPr>
            </w:pPr>
            <w:r>
              <w:rPr>
                <w:iCs/>
                <w:sz w:val="21"/>
                <w:szCs w:val="21"/>
              </w:rPr>
              <w:t>1个月</w:t>
            </w:r>
          </w:p>
        </w:tc>
        <w:tc>
          <w:tcPr>
            <w:tcW w:w="606" w:type="dxa"/>
            <w:vAlign w:val="center"/>
          </w:tcPr>
          <w:p>
            <w:pPr>
              <w:adjustRightInd/>
              <w:snapToGrid/>
              <w:spacing w:line="240" w:lineRule="auto"/>
              <w:ind w:firstLine="0" w:firstLineChars="0"/>
              <w:jc w:val="center"/>
              <w:rPr>
                <w:iCs/>
                <w:sz w:val="21"/>
                <w:szCs w:val="21"/>
              </w:rPr>
            </w:pPr>
            <w:r>
              <w:rPr>
                <w:iCs/>
                <w:sz w:val="21"/>
                <w:szCs w:val="21"/>
              </w:rPr>
              <w:t>T/I</w:t>
            </w:r>
          </w:p>
        </w:tc>
        <w:tc>
          <w:tcPr>
            <w:tcW w:w="924" w:type="dxa"/>
            <w:vMerge w:val="restart"/>
            <w:vAlign w:val="center"/>
          </w:tcPr>
          <w:p>
            <w:pPr>
              <w:adjustRightInd/>
              <w:snapToGrid/>
              <w:spacing w:line="240" w:lineRule="auto"/>
              <w:ind w:firstLine="0" w:firstLineChars="0"/>
              <w:jc w:val="center"/>
              <w:rPr>
                <w:iCs/>
                <w:sz w:val="21"/>
                <w:szCs w:val="21"/>
              </w:rPr>
            </w:pPr>
            <w:r>
              <w:rPr>
                <w:bCs/>
                <w:iCs/>
                <w:sz w:val="21"/>
                <w:szCs w:val="21"/>
              </w:rPr>
              <w:t>交由资质单位进行处置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430" w:type="dxa"/>
            <w:vAlign w:val="center"/>
          </w:tcPr>
          <w:p>
            <w:pPr>
              <w:adjustRightInd/>
              <w:snapToGrid/>
              <w:spacing w:line="240" w:lineRule="auto"/>
              <w:ind w:firstLine="0" w:firstLineChars="0"/>
              <w:jc w:val="center"/>
              <w:rPr>
                <w:iCs/>
                <w:sz w:val="21"/>
                <w:szCs w:val="21"/>
              </w:rPr>
            </w:pPr>
            <w:r>
              <w:rPr>
                <w:iCs/>
                <w:sz w:val="21"/>
                <w:szCs w:val="21"/>
              </w:rPr>
              <w:t>2</w:t>
            </w:r>
          </w:p>
        </w:tc>
        <w:tc>
          <w:tcPr>
            <w:tcW w:w="729" w:type="dxa"/>
            <w:vAlign w:val="center"/>
          </w:tcPr>
          <w:p>
            <w:pPr>
              <w:adjustRightInd/>
              <w:snapToGrid/>
              <w:spacing w:line="240" w:lineRule="auto"/>
              <w:ind w:firstLine="0" w:firstLineChars="0"/>
              <w:jc w:val="center"/>
              <w:rPr>
                <w:iCs/>
                <w:sz w:val="21"/>
                <w:szCs w:val="21"/>
              </w:rPr>
            </w:pPr>
            <w:r>
              <w:rPr>
                <w:iCs/>
                <w:sz w:val="21"/>
                <w:szCs w:val="21"/>
              </w:rPr>
              <w:t>含油棉纱手套</w:t>
            </w:r>
          </w:p>
        </w:tc>
        <w:tc>
          <w:tcPr>
            <w:tcW w:w="785" w:type="dxa"/>
            <w:vAlign w:val="center"/>
          </w:tcPr>
          <w:p>
            <w:pPr>
              <w:adjustRightInd/>
              <w:snapToGrid/>
              <w:spacing w:line="240" w:lineRule="auto"/>
              <w:ind w:firstLine="0" w:firstLineChars="0"/>
              <w:jc w:val="center"/>
              <w:rPr>
                <w:iCs/>
                <w:sz w:val="21"/>
                <w:szCs w:val="21"/>
              </w:rPr>
            </w:pPr>
            <w:r>
              <w:rPr>
                <w:iCs/>
                <w:sz w:val="21"/>
                <w:szCs w:val="21"/>
              </w:rPr>
              <w:t>HW49</w:t>
            </w:r>
          </w:p>
        </w:tc>
        <w:tc>
          <w:tcPr>
            <w:tcW w:w="979" w:type="dxa"/>
            <w:vAlign w:val="center"/>
          </w:tcPr>
          <w:p>
            <w:pPr>
              <w:adjustRightInd/>
              <w:snapToGrid/>
              <w:spacing w:line="240" w:lineRule="auto"/>
              <w:ind w:firstLine="0" w:firstLineChars="0"/>
              <w:jc w:val="center"/>
              <w:rPr>
                <w:iCs/>
                <w:sz w:val="21"/>
                <w:szCs w:val="21"/>
              </w:rPr>
            </w:pPr>
            <w:r>
              <w:rPr>
                <w:iCs/>
                <w:sz w:val="21"/>
                <w:szCs w:val="21"/>
              </w:rPr>
              <w:t>900-041-49</w:t>
            </w:r>
          </w:p>
        </w:tc>
        <w:tc>
          <w:tcPr>
            <w:tcW w:w="855" w:type="dxa"/>
            <w:vAlign w:val="center"/>
          </w:tcPr>
          <w:p>
            <w:pPr>
              <w:adjustRightInd/>
              <w:snapToGrid/>
              <w:spacing w:line="240" w:lineRule="auto"/>
              <w:ind w:firstLine="0" w:firstLineChars="0"/>
              <w:jc w:val="center"/>
              <w:rPr>
                <w:iCs/>
                <w:sz w:val="21"/>
                <w:szCs w:val="21"/>
              </w:rPr>
            </w:pPr>
            <w:r>
              <w:rPr>
                <w:iCs/>
                <w:sz w:val="21"/>
                <w:szCs w:val="21"/>
              </w:rPr>
              <w:t>0.01</w:t>
            </w:r>
          </w:p>
        </w:tc>
        <w:tc>
          <w:tcPr>
            <w:tcW w:w="606" w:type="dxa"/>
            <w:vMerge w:val="continue"/>
            <w:vAlign w:val="center"/>
          </w:tcPr>
          <w:p>
            <w:pPr>
              <w:adjustRightInd/>
              <w:snapToGrid/>
              <w:spacing w:line="240" w:lineRule="auto"/>
              <w:ind w:firstLine="0" w:firstLineChars="0"/>
              <w:jc w:val="center"/>
              <w:rPr>
                <w:iCs/>
                <w:sz w:val="21"/>
                <w:szCs w:val="21"/>
              </w:rPr>
            </w:pPr>
          </w:p>
        </w:tc>
        <w:tc>
          <w:tcPr>
            <w:tcW w:w="606" w:type="dxa"/>
            <w:vAlign w:val="center"/>
          </w:tcPr>
          <w:p>
            <w:pPr>
              <w:adjustRightInd/>
              <w:snapToGrid/>
              <w:spacing w:line="240" w:lineRule="auto"/>
              <w:ind w:firstLine="0" w:firstLineChars="0"/>
              <w:jc w:val="center"/>
              <w:rPr>
                <w:iCs/>
                <w:sz w:val="21"/>
                <w:szCs w:val="21"/>
              </w:rPr>
            </w:pPr>
            <w:r>
              <w:rPr>
                <w:iCs/>
                <w:sz w:val="21"/>
                <w:szCs w:val="21"/>
              </w:rPr>
              <w:t>固态</w:t>
            </w:r>
          </w:p>
        </w:tc>
        <w:tc>
          <w:tcPr>
            <w:tcW w:w="756" w:type="dxa"/>
            <w:vAlign w:val="center"/>
          </w:tcPr>
          <w:p>
            <w:pPr>
              <w:adjustRightInd/>
              <w:snapToGrid/>
              <w:spacing w:line="240" w:lineRule="auto"/>
              <w:ind w:firstLine="0" w:firstLineChars="0"/>
              <w:jc w:val="center"/>
              <w:rPr>
                <w:iCs/>
                <w:sz w:val="21"/>
                <w:szCs w:val="21"/>
              </w:rPr>
            </w:pPr>
            <w:r>
              <w:rPr>
                <w:iCs/>
                <w:sz w:val="21"/>
                <w:szCs w:val="21"/>
              </w:rPr>
              <w:t>石油类</w:t>
            </w:r>
          </w:p>
        </w:tc>
        <w:tc>
          <w:tcPr>
            <w:tcW w:w="757" w:type="dxa"/>
            <w:vAlign w:val="center"/>
          </w:tcPr>
          <w:p>
            <w:pPr>
              <w:adjustRightInd/>
              <w:snapToGrid/>
              <w:spacing w:line="240" w:lineRule="auto"/>
              <w:ind w:firstLine="0" w:firstLineChars="0"/>
              <w:jc w:val="center"/>
              <w:rPr>
                <w:iCs/>
                <w:sz w:val="21"/>
                <w:szCs w:val="21"/>
              </w:rPr>
            </w:pPr>
            <w:r>
              <w:rPr>
                <w:iCs/>
                <w:sz w:val="21"/>
                <w:szCs w:val="21"/>
              </w:rPr>
              <w:t>矿物油</w:t>
            </w:r>
          </w:p>
        </w:tc>
        <w:tc>
          <w:tcPr>
            <w:tcW w:w="914" w:type="dxa"/>
            <w:vAlign w:val="center"/>
          </w:tcPr>
          <w:p>
            <w:pPr>
              <w:adjustRightInd/>
              <w:snapToGrid/>
              <w:spacing w:line="240" w:lineRule="auto"/>
              <w:ind w:firstLine="0" w:firstLineChars="0"/>
              <w:jc w:val="center"/>
              <w:rPr>
                <w:iCs/>
                <w:sz w:val="21"/>
                <w:szCs w:val="21"/>
              </w:rPr>
            </w:pPr>
            <w:r>
              <w:rPr>
                <w:iCs/>
                <w:sz w:val="21"/>
                <w:szCs w:val="21"/>
              </w:rPr>
              <w:t>1个月</w:t>
            </w:r>
          </w:p>
        </w:tc>
        <w:tc>
          <w:tcPr>
            <w:tcW w:w="606" w:type="dxa"/>
            <w:vAlign w:val="center"/>
          </w:tcPr>
          <w:p>
            <w:pPr>
              <w:adjustRightInd/>
              <w:snapToGrid/>
              <w:spacing w:line="240" w:lineRule="auto"/>
              <w:ind w:firstLine="0" w:firstLineChars="0"/>
              <w:jc w:val="center"/>
              <w:rPr>
                <w:iCs/>
                <w:sz w:val="21"/>
                <w:szCs w:val="21"/>
              </w:rPr>
            </w:pPr>
            <w:r>
              <w:rPr>
                <w:iCs/>
                <w:sz w:val="21"/>
                <w:szCs w:val="21"/>
              </w:rPr>
              <w:t>T/In</w:t>
            </w:r>
          </w:p>
        </w:tc>
        <w:tc>
          <w:tcPr>
            <w:tcW w:w="924" w:type="dxa"/>
            <w:vMerge w:val="continue"/>
            <w:vAlign w:val="center"/>
          </w:tcPr>
          <w:p>
            <w:pPr>
              <w:adjustRightInd/>
              <w:snapToGrid/>
              <w:spacing w:line="240" w:lineRule="auto"/>
              <w:ind w:firstLine="0" w:firstLineChars="0"/>
              <w:jc w:val="center"/>
              <w:rPr>
                <w:bCs/>
                <w:i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8947" w:type="dxa"/>
            <w:gridSpan w:val="12"/>
            <w:vAlign w:val="center"/>
          </w:tcPr>
          <w:p>
            <w:pPr>
              <w:adjustRightInd/>
              <w:snapToGrid/>
              <w:spacing w:line="240" w:lineRule="auto"/>
              <w:ind w:firstLine="0" w:firstLineChars="0"/>
              <w:rPr>
                <w:iCs/>
                <w:sz w:val="21"/>
                <w:szCs w:val="21"/>
              </w:rPr>
            </w:pPr>
            <w:r>
              <w:rPr>
                <w:iCs/>
                <w:sz w:val="21"/>
                <w:szCs w:val="21"/>
              </w:rPr>
              <w:t>注：毒性（T），易燃性（I），反应性（R），感染性（In）</w:t>
            </w:r>
          </w:p>
        </w:tc>
      </w:tr>
    </w:tbl>
    <w:p>
      <w:pPr>
        <w:pStyle w:val="5"/>
        <w:rPr>
          <w:color w:val="auto"/>
        </w:rPr>
      </w:pPr>
      <w:r>
        <w:rPr>
          <w:color w:val="auto"/>
        </w:rPr>
        <w:t>3.3.4“以新带老”措施</w:t>
      </w:r>
    </w:p>
    <w:p>
      <w:pPr>
        <w:widowControl/>
        <w:spacing w:line="360" w:lineRule="auto"/>
        <w:ind w:firstLine="480"/>
        <w:jc w:val="both"/>
        <w:rPr>
          <w:sz w:val="24"/>
          <w:szCs w:val="26"/>
        </w:rPr>
      </w:pPr>
      <w:r>
        <w:rPr>
          <w:sz w:val="24"/>
          <w:szCs w:val="26"/>
        </w:rPr>
        <w:t>针对现有项目存在的环境污染问题，提出的“以新带老”措施如下：</w:t>
      </w:r>
    </w:p>
    <w:p>
      <w:pPr>
        <w:widowControl/>
        <w:spacing w:line="360" w:lineRule="auto"/>
        <w:ind w:firstLine="480"/>
        <w:jc w:val="both"/>
        <w:rPr>
          <w:sz w:val="24"/>
          <w:szCs w:val="26"/>
        </w:rPr>
      </w:pPr>
      <w:r>
        <w:rPr>
          <w:sz w:val="24"/>
          <w:szCs w:val="26"/>
        </w:rPr>
        <w:t>（1）颚式破碎机破碎时产生的粉尘应采取集气罩及输送管道进入1#布袋除尘器处理后，通过15m高排气筒进行排放；每个生产日后，安排专人对车间内地面积尘进行清理，保持车间干净整洁；在车间四周不同高度以及顶部增加喷雾水管；</w:t>
      </w:r>
    </w:p>
    <w:p>
      <w:pPr>
        <w:widowControl/>
        <w:spacing w:line="360" w:lineRule="auto"/>
        <w:ind w:firstLine="480"/>
        <w:jc w:val="both"/>
        <w:rPr>
          <w:sz w:val="24"/>
          <w:szCs w:val="26"/>
        </w:rPr>
      </w:pPr>
      <w:r>
        <w:rPr>
          <w:sz w:val="24"/>
          <w:szCs w:val="26"/>
        </w:rPr>
        <w:t>（2）为维持现有布袋除尘器的除尘效率，对现有布袋除尘器内的布袋进行更换，使用性能优良的布袋，确保稳定达标；对布袋除尘器排气筒进行修复，高度不低于15m；</w:t>
      </w:r>
    </w:p>
    <w:p>
      <w:pPr>
        <w:widowControl/>
        <w:spacing w:line="360" w:lineRule="auto"/>
        <w:ind w:firstLine="480"/>
        <w:jc w:val="both"/>
        <w:rPr>
          <w:sz w:val="24"/>
          <w:szCs w:val="26"/>
        </w:rPr>
      </w:pPr>
      <w:r>
        <w:rPr>
          <w:sz w:val="24"/>
          <w:szCs w:val="26"/>
        </w:rPr>
        <w:t>（3）调整反击式破碎机、筛分进料口附近的喷雾装置，朝向进料口，确保喷雾能有效降尘；对车间内四周、顶部、设备旁加密喷雾管道及开孔，加压水雾，确保有效的出水及降尘效果；</w:t>
      </w:r>
    </w:p>
    <w:p>
      <w:pPr>
        <w:widowControl/>
        <w:spacing w:line="360" w:lineRule="auto"/>
        <w:ind w:firstLine="480"/>
        <w:jc w:val="both"/>
        <w:rPr>
          <w:sz w:val="24"/>
          <w:szCs w:val="26"/>
        </w:rPr>
      </w:pPr>
      <w:r>
        <w:rPr>
          <w:sz w:val="24"/>
          <w:szCs w:val="26"/>
        </w:rPr>
        <w:t>（4）车间内的废水收集沟进行清理，确保可见，水流畅通，能进入沉淀池。</w:t>
      </w:r>
    </w:p>
    <w:p>
      <w:pPr>
        <w:widowControl/>
        <w:spacing w:line="360" w:lineRule="auto"/>
        <w:ind w:firstLine="480"/>
        <w:jc w:val="both"/>
        <w:rPr>
          <w:sz w:val="24"/>
          <w:szCs w:val="26"/>
          <w:lang w:val="zh-CN"/>
        </w:rPr>
      </w:pPr>
      <w:r>
        <w:rPr>
          <w:sz w:val="24"/>
          <w:szCs w:val="26"/>
          <w:lang w:val="zh-CN"/>
        </w:rPr>
        <w:t>拟采取上述措施后，可实现“以新带老”措施，减少污染物的排放量，达到“增产不增污”的目的。</w:t>
      </w:r>
    </w:p>
    <w:p>
      <w:pPr>
        <w:pStyle w:val="5"/>
        <w:rPr>
          <w:color w:val="auto"/>
        </w:rPr>
      </w:pPr>
      <w:r>
        <w:rPr>
          <w:color w:val="auto"/>
        </w:rPr>
        <w:t>3.3.5扩建前后污染物排放“三本账</w:t>
      </w:r>
    </w:p>
    <w:p>
      <w:pPr>
        <w:pStyle w:val="1262"/>
        <w:rPr>
          <w:color w:val="auto"/>
        </w:rPr>
      </w:pPr>
      <w:r>
        <w:rPr>
          <w:bCs/>
          <w:color w:val="auto"/>
        </w:rPr>
        <w:t>现有项目与扩建项目生活污水经化粪池收集后作为农肥利用，生产废水经收集沉淀后作为洒水降尘使用，不外排。因此，本次扩建项目与现有项目</w:t>
      </w:r>
      <w:r>
        <w:rPr>
          <w:color w:val="auto"/>
        </w:rPr>
        <w:t>产排污列出废气和固废情况，</w:t>
      </w:r>
      <w:r>
        <w:rPr>
          <w:bCs/>
          <w:color w:val="auto"/>
        </w:rPr>
        <w:t>“三本账”汇总见下表</w:t>
      </w:r>
      <w:r>
        <w:rPr>
          <w:color w:val="auto"/>
        </w:rPr>
        <w:t>。</w:t>
      </w:r>
    </w:p>
    <w:p>
      <w:pPr>
        <w:pStyle w:val="84"/>
      </w:pPr>
      <w:r>
        <w:t>表3.3-9  扩建前后污染物排放“三本账”情况表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9"/>
        <w:gridCol w:w="735"/>
        <w:gridCol w:w="1294"/>
        <w:gridCol w:w="1294"/>
        <w:gridCol w:w="1294"/>
        <w:gridCol w:w="1295"/>
        <w:gridCol w:w="1295"/>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94" w:type="dxa"/>
            <w:gridSpan w:val="2"/>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污染物种类</w:t>
            </w:r>
          </w:p>
        </w:tc>
        <w:tc>
          <w:tcPr>
            <w:tcW w:w="1294" w:type="dxa"/>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污染物</w:t>
            </w:r>
          </w:p>
        </w:tc>
        <w:tc>
          <w:tcPr>
            <w:tcW w:w="1294" w:type="dxa"/>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现有项目（70万吨/年）排放量（t/a）</w:t>
            </w:r>
          </w:p>
        </w:tc>
        <w:tc>
          <w:tcPr>
            <w:tcW w:w="1294" w:type="dxa"/>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本次（100万吨/年）新增排放量（t/a）</w:t>
            </w:r>
          </w:p>
        </w:tc>
        <w:tc>
          <w:tcPr>
            <w:tcW w:w="1295" w:type="dxa"/>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“以新带老”削减量（t/a）</w:t>
            </w:r>
          </w:p>
        </w:tc>
        <w:tc>
          <w:tcPr>
            <w:tcW w:w="1295" w:type="dxa"/>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扩建后全厂排放量（t/a）</w:t>
            </w:r>
          </w:p>
        </w:tc>
        <w:tc>
          <w:tcPr>
            <w:tcW w:w="1295" w:type="dxa"/>
            <w:shd w:val="clear" w:color="auto" w:fill="D8D8D8" w:themeFill="background1" w:themeFillShade="D9"/>
            <w:vAlign w:val="center"/>
          </w:tcPr>
          <w:p>
            <w:pPr>
              <w:tabs>
                <w:tab w:val="left" w:pos="2550"/>
              </w:tabs>
              <w:spacing w:line="240" w:lineRule="auto"/>
              <w:ind w:firstLine="0" w:firstLineChars="0"/>
              <w:jc w:val="center"/>
              <w:rPr>
                <w:b/>
                <w:bCs/>
                <w:sz w:val="21"/>
                <w:szCs w:val="21"/>
              </w:rPr>
            </w:pPr>
            <w:r>
              <w:rPr>
                <w:b/>
                <w:bCs/>
                <w:sz w:val="21"/>
                <w:szCs w:val="21"/>
              </w:rPr>
              <w:t>排放增减量（t/a）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59" w:type="dxa"/>
            <w:vMerge w:val="restart"/>
            <w:vAlign w:val="center"/>
          </w:tcPr>
          <w:p>
            <w:pPr>
              <w:tabs>
                <w:tab w:val="left" w:pos="2550"/>
              </w:tabs>
              <w:spacing w:line="240" w:lineRule="auto"/>
              <w:ind w:firstLine="0" w:firstLineChars="0"/>
              <w:jc w:val="center"/>
              <w:rPr>
                <w:sz w:val="21"/>
                <w:szCs w:val="21"/>
              </w:rPr>
            </w:pPr>
            <w:r>
              <w:rPr>
                <w:sz w:val="21"/>
                <w:szCs w:val="21"/>
              </w:rPr>
              <w:t>废气</w:t>
            </w:r>
          </w:p>
        </w:tc>
        <w:tc>
          <w:tcPr>
            <w:tcW w:w="735" w:type="dxa"/>
            <w:vAlign w:val="center"/>
          </w:tcPr>
          <w:p>
            <w:pPr>
              <w:tabs>
                <w:tab w:val="left" w:pos="2550"/>
              </w:tabs>
              <w:spacing w:line="240" w:lineRule="auto"/>
              <w:ind w:firstLine="0" w:firstLineChars="0"/>
              <w:jc w:val="center"/>
              <w:rPr>
                <w:sz w:val="21"/>
                <w:szCs w:val="21"/>
              </w:rPr>
            </w:pPr>
            <w:r>
              <w:rPr>
                <w:sz w:val="21"/>
                <w:szCs w:val="21"/>
              </w:rPr>
              <w:t>有组织</w:t>
            </w:r>
          </w:p>
        </w:tc>
        <w:tc>
          <w:tcPr>
            <w:tcW w:w="1294" w:type="dxa"/>
            <w:vAlign w:val="center"/>
          </w:tcPr>
          <w:p>
            <w:pPr>
              <w:tabs>
                <w:tab w:val="left" w:pos="2550"/>
              </w:tabs>
              <w:spacing w:line="240" w:lineRule="auto"/>
              <w:ind w:firstLine="0" w:firstLineChars="0"/>
              <w:jc w:val="center"/>
              <w:rPr>
                <w:sz w:val="21"/>
                <w:szCs w:val="21"/>
              </w:rPr>
            </w:pPr>
            <w:r>
              <w:rPr>
                <w:sz w:val="21"/>
                <w:szCs w:val="21"/>
              </w:rPr>
              <w:t>颗粒物</w:t>
            </w:r>
          </w:p>
        </w:tc>
        <w:tc>
          <w:tcPr>
            <w:tcW w:w="1294" w:type="dxa"/>
            <w:vAlign w:val="center"/>
          </w:tcPr>
          <w:p>
            <w:pPr>
              <w:tabs>
                <w:tab w:val="left" w:pos="2550"/>
              </w:tabs>
              <w:spacing w:line="240" w:lineRule="auto"/>
              <w:ind w:firstLine="0" w:firstLineChars="0"/>
              <w:jc w:val="center"/>
              <w:rPr>
                <w:sz w:val="21"/>
                <w:szCs w:val="21"/>
              </w:rPr>
            </w:pPr>
            <w:r>
              <w:rPr>
                <w:sz w:val="21"/>
                <w:szCs w:val="21"/>
              </w:rPr>
              <w:t>1.014</w:t>
            </w:r>
          </w:p>
        </w:tc>
        <w:tc>
          <w:tcPr>
            <w:tcW w:w="1294" w:type="dxa"/>
            <w:vAlign w:val="center"/>
          </w:tcPr>
          <w:p>
            <w:pPr>
              <w:tabs>
                <w:tab w:val="left" w:pos="2550"/>
              </w:tabs>
              <w:spacing w:line="240" w:lineRule="auto"/>
              <w:ind w:firstLine="0" w:firstLineChars="0"/>
              <w:jc w:val="center"/>
              <w:rPr>
                <w:sz w:val="21"/>
                <w:szCs w:val="21"/>
              </w:rPr>
            </w:pPr>
            <w:r>
              <w:rPr>
                <w:sz w:val="21"/>
                <w:szCs w:val="21"/>
              </w:rPr>
              <w:t>0.945</w:t>
            </w:r>
          </w:p>
        </w:tc>
        <w:tc>
          <w:tcPr>
            <w:tcW w:w="1295" w:type="dxa"/>
            <w:vAlign w:val="center"/>
          </w:tcPr>
          <w:p>
            <w:pPr>
              <w:tabs>
                <w:tab w:val="left" w:pos="2550"/>
              </w:tabs>
              <w:spacing w:line="240" w:lineRule="auto"/>
              <w:ind w:firstLine="0" w:firstLineChars="0"/>
              <w:jc w:val="center"/>
              <w:rPr>
                <w:sz w:val="21"/>
                <w:szCs w:val="21"/>
              </w:rPr>
            </w:pPr>
            <w:r>
              <w:rPr>
                <w:sz w:val="21"/>
                <w:szCs w:val="21"/>
              </w:rPr>
              <w:t>-0.069</w:t>
            </w:r>
          </w:p>
        </w:tc>
        <w:tc>
          <w:tcPr>
            <w:tcW w:w="1295" w:type="dxa"/>
            <w:vAlign w:val="center"/>
          </w:tcPr>
          <w:p>
            <w:pPr>
              <w:tabs>
                <w:tab w:val="left" w:pos="2550"/>
              </w:tabs>
              <w:spacing w:line="240" w:lineRule="auto"/>
              <w:ind w:firstLine="0" w:firstLineChars="0"/>
              <w:jc w:val="center"/>
              <w:rPr>
                <w:sz w:val="21"/>
                <w:szCs w:val="21"/>
              </w:rPr>
            </w:pPr>
            <w:r>
              <w:rPr>
                <w:sz w:val="21"/>
                <w:szCs w:val="21"/>
              </w:rPr>
              <w:t>0.945</w:t>
            </w:r>
          </w:p>
        </w:tc>
        <w:tc>
          <w:tcPr>
            <w:tcW w:w="1295" w:type="dxa"/>
            <w:vAlign w:val="center"/>
          </w:tcPr>
          <w:p>
            <w:pPr>
              <w:tabs>
                <w:tab w:val="left" w:pos="2550"/>
              </w:tabs>
              <w:spacing w:line="240" w:lineRule="auto"/>
              <w:ind w:firstLine="0" w:firstLineChars="0"/>
              <w:jc w:val="center"/>
              <w:rPr>
                <w:sz w:val="21"/>
                <w:szCs w:val="21"/>
              </w:rPr>
            </w:pPr>
            <w:r>
              <w:rPr>
                <w:sz w:val="21"/>
                <w:szCs w:val="21"/>
              </w:rPr>
              <w:t>-0.069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59" w:type="dxa"/>
            <w:vMerge w:val="continue"/>
            <w:vAlign w:val="center"/>
          </w:tcPr>
          <w:p>
            <w:pPr>
              <w:tabs>
                <w:tab w:val="left" w:pos="2550"/>
              </w:tabs>
              <w:spacing w:line="240" w:lineRule="auto"/>
              <w:ind w:firstLine="0" w:firstLineChars="0"/>
              <w:jc w:val="center"/>
              <w:rPr>
                <w:sz w:val="21"/>
                <w:szCs w:val="21"/>
              </w:rPr>
            </w:pPr>
          </w:p>
        </w:tc>
        <w:tc>
          <w:tcPr>
            <w:tcW w:w="735" w:type="dxa"/>
            <w:vAlign w:val="center"/>
          </w:tcPr>
          <w:p>
            <w:pPr>
              <w:tabs>
                <w:tab w:val="left" w:pos="2550"/>
              </w:tabs>
              <w:spacing w:line="240" w:lineRule="auto"/>
              <w:ind w:firstLine="0" w:firstLineChars="0"/>
              <w:jc w:val="center"/>
              <w:rPr>
                <w:sz w:val="21"/>
                <w:szCs w:val="21"/>
              </w:rPr>
            </w:pPr>
            <w:r>
              <w:rPr>
                <w:sz w:val="21"/>
                <w:szCs w:val="21"/>
              </w:rPr>
              <w:t>无组织</w:t>
            </w:r>
          </w:p>
        </w:tc>
        <w:tc>
          <w:tcPr>
            <w:tcW w:w="1294" w:type="dxa"/>
            <w:vAlign w:val="center"/>
          </w:tcPr>
          <w:p>
            <w:pPr>
              <w:tabs>
                <w:tab w:val="left" w:pos="2550"/>
              </w:tabs>
              <w:spacing w:line="240" w:lineRule="auto"/>
              <w:ind w:firstLine="0" w:firstLineChars="0"/>
              <w:jc w:val="center"/>
              <w:rPr>
                <w:sz w:val="21"/>
                <w:szCs w:val="21"/>
              </w:rPr>
            </w:pPr>
            <w:r>
              <w:rPr>
                <w:sz w:val="21"/>
                <w:szCs w:val="21"/>
              </w:rPr>
              <w:t>颗粒物</w:t>
            </w:r>
          </w:p>
        </w:tc>
        <w:tc>
          <w:tcPr>
            <w:tcW w:w="1294" w:type="dxa"/>
            <w:vAlign w:val="center"/>
          </w:tcPr>
          <w:p>
            <w:pPr>
              <w:tabs>
                <w:tab w:val="left" w:pos="2550"/>
              </w:tabs>
              <w:spacing w:line="240" w:lineRule="auto"/>
              <w:ind w:firstLine="0" w:firstLineChars="0"/>
              <w:jc w:val="center"/>
              <w:rPr>
                <w:sz w:val="21"/>
                <w:szCs w:val="21"/>
              </w:rPr>
            </w:pPr>
            <w:r>
              <w:rPr>
                <w:sz w:val="21"/>
                <w:szCs w:val="21"/>
              </w:rPr>
              <w:t>3.67</w:t>
            </w:r>
          </w:p>
        </w:tc>
        <w:tc>
          <w:tcPr>
            <w:tcW w:w="1294" w:type="dxa"/>
            <w:vAlign w:val="center"/>
          </w:tcPr>
          <w:p>
            <w:pPr>
              <w:tabs>
                <w:tab w:val="left" w:pos="2550"/>
              </w:tabs>
              <w:spacing w:line="240" w:lineRule="auto"/>
              <w:ind w:firstLine="0" w:firstLineChars="0"/>
              <w:jc w:val="center"/>
              <w:rPr>
                <w:sz w:val="21"/>
                <w:szCs w:val="21"/>
              </w:rPr>
            </w:pPr>
            <w:r>
              <w:rPr>
                <w:sz w:val="21"/>
                <w:szCs w:val="21"/>
              </w:rPr>
              <w:t>3.62</w:t>
            </w:r>
          </w:p>
        </w:tc>
        <w:tc>
          <w:tcPr>
            <w:tcW w:w="1295" w:type="dxa"/>
            <w:vAlign w:val="center"/>
          </w:tcPr>
          <w:p>
            <w:pPr>
              <w:tabs>
                <w:tab w:val="left" w:pos="2550"/>
              </w:tabs>
              <w:spacing w:line="240" w:lineRule="auto"/>
              <w:ind w:firstLine="0" w:firstLineChars="0"/>
              <w:jc w:val="center"/>
              <w:rPr>
                <w:sz w:val="21"/>
                <w:szCs w:val="21"/>
              </w:rPr>
            </w:pPr>
            <w:r>
              <w:rPr>
                <w:sz w:val="21"/>
                <w:szCs w:val="21"/>
              </w:rPr>
              <w:t>-0.05</w:t>
            </w:r>
          </w:p>
        </w:tc>
        <w:tc>
          <w:tcPr>
            <w:tcW w:w="1295" w:type="dxa"/>
            <w:vAlign w:val="center"/>
          </w:tcPr>
          <w:p>
            <w:pPr>
              <w:tabs>
                <w:tab w:val="left" w:pos="2550"/>
              </w:tabs>
              <w:spacing w:line="240" w:lineRule="auto"/>
              <w:ind w:firstLine="0" w:firstLineChars="0"/>
              <w:jc w:val="center"/>
              <w:rPr>
                <w:sz w:val="21"/>
                <w:szCs w:val="21"/>
              </w:rPr>
            </w:pPr>
            <w:r>
              <w:rPr>
                <w:sz w:val="21"/>
                <w:szCs w:val="21"/>
              </w:rPr>
              <w:t>3.62</w:t>
            </w:r>
          </w:p>
        </w:tc>
        <w:tc>
          <w:tcPr>
            <w:tcW w:w="1295" w:type="dxa"/>
            <w:vAlign w:val="center"/>
          </w:tcPr>
          <w:p>
            <w:pPr>
              <w:tabs>
                <w:tab w:val="left" w:pos="2550"/>
              </w:tabs>
              <w:spacing w:line="240" w:lineRule="auto"/>
              <w:ind w:firstLine="0" w:firstLineChars="0"/>
              <w:jc w:val="center"/>
              <w:rPr>
                <w:sz w:val="21"/>
                <w:szCs w:val="21"/>
              </w:rPr>
            </w:pPr>
            <w:r>
              <w:rPr>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061" w:type="dxa"/>
            <w:gridSpan w:val="8"/>
            <w:vAlign w:val="center"/>
          </w:tcPr>
          <w:p>
            <w:pPr>
              <w:tabs>
                <w:tab w:val="left" w:pos="2550"/>
              </w:tabs>
              <w:spacing w:line="240" w:lineRule="auto"/>
              <w:ind w:firstLine="0" w:firstLineChars="0"/>
              <w:jc w:val="center"/>
              <w:rPr>
                <w:sz w:val="21"/>
                <w:szCs w:val="21"/>
              </w:rPr>
            </w:pPr>
            <w:r>
              <w:rPr>
                <w:sz w:val="21"/>
                <w:szCs w:val="21"/>
              </w:rPr>
              <w:t>固体废物以产生量计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94" w:type="dxa"/>
            <w:gridSpan w:val="2"/>
            <w:vMerge w:val="restart"/>
            <w:vAlign w:val="center"/>
          </w:tcPr>
          <w:p>
            <w:pPr>
              <w:tabs>
                <w:tab w:val="left" w:pos="2550"/>
              </w:tabs>
              <w:spacing w:line="240" w:lineRule="auto"/>
              <w:ind w:firstLine="0" w:firstLineChars="0"/>
              <w:jc w:val="center"/>
              <w:rPr>
                <w:sz w:val="21"/>
                <w:szCs w:val="21"/>
              </w:rPr>
            </w:pPr>
            <w:r>
              <w:rPr>
                <w:sz w:val="21"/>
                <w:szCs w:val="21"/>
              </w:rPr>
              <w:t>固体废物</w:t>
            </w:r>
          </w:p>
        </w:tc>
        <w:tc>
          <w:tcPr>
            <w:tcW w:w="1294" w:type="dxa"/>
            <w:vAlign w:val="center"/>
          </w:tcPr>
          <w:p>
            <w:pPr>
              <w:tabs>
                <w:tab w:val="left" w:pos="2550"/>
              </w:tabs>
              <w:spacing w:line="240" w:lineRule="auto"/>
              <w:ind w:firstLine="0" w:firstLineChars="0"/>
              <w:jc w:val="center"/>
              <w:rPr>
                <w:sz w:val="21"/>
                <w:szCs w:val="21"/>
              </w:rPr>
            </w:pPr>
            <w:r>
              <w:rPr>
                <w:sz w:val="21"/>
                <w:szCs w:val="21"/>
              </w:rPr>
              <w:t>污泥</w:t>
            </w:r>
          </w:p>
        </w:tc>
        <w:tc>
          <w:tcPr>
            <w:tcW w:w="1294" w:type="dxa"/>
            <w:vAlign w:val="center"/>
          </w:tcPr>
          <w:p>
            <w:pPr>
              <w:tabs>
                <w:tab w:val="left" w:pos="2550"/>
              </w:tabs>
              <w:spacing w:line="240" w:lineRule="auto"/>
              <w:ind w:firstLine="0" w:firstLineChars="0"/>
              <w:jc w:val="center"/>
              <w:rPr>
                <w:sz w:val="21"/>
                <w:szCs w:val="21"/>
              </w:rPr>
            </w:pPr>
            <w:r>
              <w:rPr>
                <w:sz w:val="21"/>
                <w:szCs w:val="21"/>
              </w:rPr>
              <w:t>/</w:t>
            </w:r>
          </w:p>
        </w:tc>
        <w:tc>
          <w:tcPr>
            <w:tcW w:w="1294" w:type="dxa"/>
            <w:vAlign w:val="center"/>
          </w:tcPr>
          <w:p>
            <w:pPr>
              <w:tabs>
                <w:tab w:val="left" w:pos="2550"/>
              </w:tabs>
              <w:spacing w:line="240" w:lineRule="auto"/>
              <w:ind w:firstLine="0" w:firstLineChars="0"/>
              <w:jc w:val="center"/>
              <w:rPr>
                <w:sz w:val="21"/>
                <w:szCs w:val="21"/>
              </w:rPr>
            </w:pPr>
            <w:r>
              <w:rPr>
                <w:sz w:val="21"/>
                <w:szCs w:val="21"/>
              </w:rPr>
              <w:t>10000</w:t>
            </w:r>
          </w:p>
        </w:tc>
        <w:tc>
          <w:tcPr>
            <w:tcW w:w="1295" w:type="dxa"/>
            <w:vAlign w:val="center"/>
          </w:tcPr>
          <w:p>
            <w:pPr>
              <w:tabs>
                <w:tab w:val="left" w:pos="2550"/>
              </w:tabs>
              <w:spacing w:line="240" w:lineRule="auto"/>
              <w:ind w:firstLine="0" w:firstLineChars="0"/>
              <w:jc w:val="center"/>
              <w:rPr>
                <w:sz w:val="21"/>
                <w:szCs w:val="21"/>
              </w:rPr>
            </w:pPr>
            <w:r>
              <w:rPr>
                <w:sz w:val="21"/>
                <w:szCs w:val="21"/>
              </w:rPr>
              <w:t>/</w:t>
            </w:r>
          </w:p>
        </w:tc>
        <w:tc>
          <w:tcPr>
            <w:tcW w:w="1295" w:type="dxa"/>
            <w:vAlign w:val="center"/>
          </w:tcPr>
          <w:p>
            <w:pPr>
              <w:tabs>
                <w:tab w:val="left" w:pos="2550"/>
              </w:tabs>
              <w:spacing w:line="240" w:lineRule="auto"/>
              <w:ind w:firstLine="0" w:firstLineChars="0"/>
              <w:jc w:val="center"/>
              <w:rPr>
                <w:sz w:val="21"/>
                <w:szCs w:val="21"/>
              </w:rPr>
            </w:pPr>
            <w:r>
              <w:rPr>
                <w:sz w:val="21"/>
                <w:szCs w:val="21"/>
              </w:rPr>
              <w:t>10000</w:t>
            </w:r>
          </w:p>
        </w:tc>
        <w:tc>
          <w:tcPr>
            <w:tcW w:w="1295" w:type="dxa"/>
            <w:vAlign w:val="center"/>
          </w:tcPr>
          <w:p>
            <w:pPr>
              <w:tabs>
                <w:tab w:val="left" w:pos="2550"/>
              </w:tabs>
              <w:spacing w:line="240" w:lineRule="auto"/>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94" w:type="dxa"/>
            <w:gridSpan w:val="2"/>
            <w:vMerge w:val="continue"/>
            <w:vAlign w:val="center"/>
          </w:tcPr>
          <w:p>
            <w:pPr>
              <w:tabs>
                <w:tab w:val="left" w:pos="2550"/>
              </w:tabs>
              <w:spacing w:line="240" w:lineRule="auto"/>
              <w:ind w:firstLine="0" w:firstLineChars="0"/>
              <w:jc w:val="center"/>
              <w:rPr>
                <w:sz w:val="21"/>
                <w:szCs w:val="21"/>
              </w:rPr>
            </w:pPr>
          </w:p>
        </w:tc>
        <w:tc>
          <w:tcPr>
            <w:tcW w:w="1294" w:type="dxa"/>
            <w:vAlign w:val="center"/>
          </w:tcPr>
          <w:p>
            <w:pPr>
              <w:tabs>
                <w:tab w:val="left" w:pos="2550"/>
              </w:tabs>
              <w:spacing w:line="240" w:lineRule="auto"/>
              <w:ind w:firstLine="0" w:firstLineChars="0"/>
              <w:jc w:val="center"/>
              <w:rPr>
                <w:sz w:val="21"/>
                <w:szCs w:val="21"/>
              </w:rPr>
            </w:pPr>
            <w:r>
              <w:rPr>
                <w:sz w:val="21"/>
                <w:szCs w:val="21"/>
              </w:rPr>
              <w:t>机修废油</w:t>
            </w:r>
          </w:p>
        </w:tc>
        <w:tc>
          <w:tcPr>
            <w:tcW w:w="1294" w:type="dxa"/>
            <w:vAlign w:val="center"/>
          </w:tcPr>
          <w:p>
            <w:pPr>
              <w:tabs>
                <w:tab w:val="left" w:pos="2550"/>
              </w:tabs>
              <w:spacing w:line="240" w:lineRule="auto"/>
              <w:ind w:firstLine="0" w:firstLineChars="0"/>
              <w:jc w:val="center"/>
              <w:rPr>
                <w:sz w:val="21"/>
                <w:szCs w:val="21"/>
              </w:rPr>
            </w:pPr>
            <w:r>
              <w:rPr>
                <w:sz w:val="21"/>
                <w:szCs w:val="21"/>
              </w:rPr>
              <w:t>0.20</w:t>
            </w:r>
          </w:p>
        </w:tc>
        <w:tc>
          <w:tcPr>
            <w:tcW w:w="1294" w:type="dxa"/>
            <w:vAlign w:val="center"/>
          </w:tcPr>
          <w:p>
            <w:pPr>
              <w:tabs>
                <w:tab w:val="left" w:pos="2550"/>
              </w:tabs>
              <w:spacing w:line="240" w:lineRule="auto"/>
              <w:ind w:firstLine="0" w:firstLineChars="0"/>
              <w:jc w:val="center"/>
              <w:rPr>
                <w:sz w:val="21"/>
                <w:szCs w:val="21"/>
              </w:rPr>
            </w:pPr>
            <w:r>
              <w:rPr>
                <w:sz w:val="21"/>
                <w:szCs w:val="21"/>
              </w:rPr>
              <w:t>0.20</w:t>
            </w:r>
          </w:p>
        </w:tc>
        <w:tc>
          <w:tcPr>
            <w:tcW w:w="1295" w:type="dxa"/>
            <w:vAlign w:val="center"/>
          </w:tcPr>
          <w:p>
            <w:pPr>
              <w:tabs>
                <w:tab w:val="left" w:pos="2550"/>
              </w:tabs>
              <w:spacing w:line="240" w:lineRule="auto"/>
              <w:ind w:firstLine="0" w:firstLineChars="0"/>
              <w:jc w:val="center"/>
              <w:rPr>
                <w:sz w:val="21"/>
                <w:szCs w:val="21"/>
              </w:rPr>
            </w:pPr>
            <w:r>
              <w:rPr>
                <w:sz w:val="21"/>
                <w:szCs w:val="21"/>
              </w:rPr>
              <w:t>0</w:t>
            </w:r>
          </w:p>
        </w:tc>
        <w:tc>
          <w:tcPr>
            <w:tcW w:w="1295" w:type="dxa"/>
            <w:vAlign w:val="center"/>
          </w:tcPr>
          <w:p>
            <w:pPr>
              <w:tabs>
                <w:tab w:val="left" w:pos="2550"/>
              </w:tabs>
              <w:spacing w:line="240" w:lineRule="auto"/>
              <w:ind w:firstLine="0" w:firstLineChars="0"/>
              <w:jc w:val="center"/>
              <w:rPr>
                <w:sz w:val="21"/>
                <w:szCs w:val="21"/>
              </w:rPr>
            </w:pPr>
            <w:r>
              <w:rPr>
                <w:sz w:val="21"/>
                <w:szCs w:val="21"/>
              </w:rPr>
              <w:t>0.20</w:t>
            </w:r>
          </w:p>
        </w:tc>
        <w:tc>
          <w:tcPr>
            <w:tcW w:w="1295" w:type="dxa"/>
            <w:vAlign w:val="center"/>
          </w:tcPr>
          <w:p>
            <w:pPr>
              <w:tabs>
                <w:tab w:val="left" w:pos="2550"/>
              </w:tabs>
              <w:spacing w:line="240" w:lineRule="auto"/>
              <w:ind w:firstLine="0" w:firstLineChars="0"/>
              <w:jc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94" w:type="dxa"/>
            <w:gridSpan w:val="2"/>
            <w:vMerge w:val="continue"/>
            <w:vAlign w:val="center"/>
          </w:tcPr>
          <w:p>
            <w:pPr>
              <w:tabs>
                <w:tab w:val="left" w:pos="2550"/>
              </w:tabs>
              <w:spacing w:line="240" w:lineRule="auto"/>
              <w:ind w:firstLine="0" w:firstLineChars="0"/>
              <w:jc w:val="center"/>
              <w:rPr>
                <w:sz w:val="21"/>
                <w:szCs w:val="21"/>
              </w:rPr>
            </w:pPr>
          </w:p>
        </w:tc>
        <w:tc>
          <w:tcPr>
            <w:tcW w:w="1294" w:type="dxa"/>
            <w:vAlign w:val="center"/>
          </w:tcPr>
          <w:p>
            <w:pPr>
              <w:tabs>
                <w:tab w:val="left" w:pos="2550"/>
              </w:tabs>
              <w:spacing w:line="240" w:lineRule="auto"/>
              <w:ind w:firstLine="0" w:firstLineChars="0"/>
              <w:jc w:val="center"/>
              <w:rPr>
                <w:sz w:val="21"/>
                <w:szCs w:val="21"/>
              </w:rPr>
            </w:pPr>
            <w:r>
              <w:rPr>
                <w:sz w:val="21"/>
                <w:szCs w:val="21"/>
              </w:rPr>
              <w:t>含油棉手套</w:t>
            </w:r>
          </w:p>
        </w:tc>
        <w:tc>
          <w:tcPr>
            <w:tcW w:w="1294" w:type="dxa"/>
            <w:vAlign w:val="center"/>
          </w:tcPr>
          <w:p>
            <w:pPr>
              <w:tabs>
                <w:tab w:val="left" w:pos="2550"/>
              </w:tabs>
              <w:spacing w:line="240" w:lineRule="auto"/>
              <w:ind w:firstLine="0" w:firstLineChars="0"/>
              <w:jc w:val="center"/>
              <w:rPr>
                <w:sz w:val="21"/>
                <w:szCs w:val="21"/>
              </w:rPr>
            </w:pPr>
            <w:r>
              <w:rPr>
                <w:sz w:val="21"/>
                <w:szCs w:val="21"/>
              </w:rPr>
              <w:t>0</w:t>
            </w:r>
          </w:p>
        </w:tc>
        <w:tc>
          <w:tcPr>
            <w:tcW w:w="1294" w:type="dxa"/>
            <w:vAlign w:val="center"/>
          </w:tcPr>
          <w:p>
            <w:pPr>
              <w:tabs>
                <w:tab w:val="left" w:pos="2550"/>
              </w:tabs>
              <w:spacing w:line="240" w:lineRule="auto"/>
              <w:ind w:firstLine="0" w:firstLineChars="0"/>
              <w:jc w:val="center"/>
              <w:rPr>
                <w:sz w:val="21"/>
                <w:szCs w:val="21"/>
              </w:rPr>
            </w:pPr>
            <w:r>
              <w:rPr>
                <w:sz w:val="21"/>
                <w:szCs w:val="21"/>
              </w:rPr>
              <w:t>0.01</w:t>
            </w:r>
          </w:p>
        </w:tc>
        <w:tc>
          <w:tcPr>
            <w:tcW w:w="1295" w:type="dxa"/>
            <w:vAlign w:val="center"/>
          </w:tcPr>
          <w:p>
            <w:pPr>
              <w:tabs>
                <w:tab w:val="left" w:pos="2550"/>
              </w:tabs>
              <w:spacing w:line="240" w:lineRule="auto"/>
              <w:ind w:firstLine="0" w:firstLineChars="0"/>
              <w:jc w:val="center"/>
              <w:rPr>
                <w:sz w:val="21"/>
                <w:szCs w:val="21"/>
              </w:rPr>
            </w:pPr>
            <w:r>
              <w:rPr>
                <w:sz w:val="21"/>
                <w:szCs w:val="21"/>
              </w:rPr>
              <w:t>+0.01</w:t>
            </w:r>
          </w:p>
        </w:tc>
        <w:tc>
          <w:tcPr>
            <w:tcW w:w="1295" w:type="dxa"/>
            <w:vAlign w:val="center"/>
          </w:tcPr>
          <w:p>
            <w:pPr>
              <w:tabs>
                <w:tab w:val="left" w:pos="2550"/>
              </w:tabs>
              <w:spacing w:line="240" w:lineRule="auto"/>
              <w:ind w:firstLine="0" w:firstLineChars="0"/>
              <w:jc w:val="center"/>
              <w:rPr>
                <w:sz w:val="21"/>
                <w:szCs w:val="21"/>
              </w:rPr>
            </w:pPr>
            <w:r>
              <w:rPr>
                <w:sz w:val="21"/>
                <w:szCs w:val="21"/>
              </w:rPr>
              <w:t>0.01</w:t>
            </w:r>
          </w:p>
        </w:tc>
        <w:tc>
          <w:tcPr>
            <w:tcW w:w="1295" w:type="dxa"/>
            <w:vAlign w:val="center"/>
          </w:tcPr>
          <w:p>
            <w:pPr>
              <w:tabs>
                <w:tab w:val="left" w:pos="2550"/>
              </w:tabs>
              <w:spacing w:line="240" w:lineRule="auto"/>
              <w:ind w:firstLine="0" w:firstLineChars="0"/>
              <w:jc w:val="center"/>
              <w:rPr>
                <w:sz w:val="21"/>
                <w:szCs w:val="21"/>
              </w:rPr>
            </w:pPr>
            <w:r>
              <w:rPr>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94" w:type="dxa"/>
            <w:gridSpan w:val="2"/>
            <w:vMerge w:val="continue"/>
            <w:vAlign w:val="center"/>
          </w:tcPr>
          <w:p>
            <w:pPr>
              <w:tabs>
                <w:tab w:val="left" w:pos="2550"/>
              </w:tabs>
              <w:spacing w:line="240" w:lineRule="auto"/>
              <w:ind w:firstLine="0" w:firstLineChars="0"/>
              <w:jc w:val="center"/>
              <w:rPr>
                <w:sz w:val="21"/>
                <w:szCs w:val="21"/>
              </w:rPr>
            </w:pPr>
          </w:p>
        </w:tc>
        <w:tc>
          <w:tcPr>
            <w:tcW w:w="1294" w:type="dxa"/>
            <w:vAlign w:val="center"/>
          </w:tcPr>
          <w:p>
            <w:pPr>
              <w:tabs>
                <w:tab w:val="left" w:pos="2550"/>
              </w:tabs>
              <w:spacing w:line="240" w:lineRule="auto"/>
              <w:ind w:firstLine="0" w:firstLineChars="0"/>
              <w:jc w:val="center"/>
              <w:rPr>
                <w:sz w:val="21"/>
                <w:szCs w:val="21"/>
              </w:rPr>
            </w:pPr>
            <w:r>
              <w:rPr>
                <w:sz w:val="21"/>
                <w:szCs w:val="21"/>
              </w:rPr>
              <w:t>生活垃圾</w:t>
            </w:r>
          </w:p>
        </w:tc>
        <w:tc>
          <w:tcPr>
            <w:tcW w:w="1294" w:type="dxa"/>
            <w:vAlign w:val="center"/>
          </w:tcPr>
          <w:p>
            <w:pPr>
              <w:tabs>
                <w:tab w:val="left" w:pos="2550"/>
              </w:tabs>
              <w:spacing w:line="240" w:lineRule="auto"/>
              <w:ind w:firstLine="0" w:firstLineChars="0"/>
              <w:jc w:val="center"/>
              <w:rPr>
                <w:sz w:val="21"/>
                <w:szCs w:val="21"/>
              </w:rPr>
            </w:pPr>
            <w:r>
              <w:rPr>
                <w:sz w:val="21"/>
                <w:szCs w:val="21"/>
              </w:rPr>
              <w:t>3.3</w:t>
            </w:r>
          </w:p>
        </w:tc>
        <w:tc>
          <w:tcPr>
            <w:tcW w:w="1294" w:type="dxa"/>
            <w:vAlign w:val="center"/>
          </w:tcPr>
          <w:p>
            <w:pPr>
              <w:tabs>
                <w:tab w:val="left" w:pos="2550"/>
              </w:tabs>
              <w:spacing w:line="240" w:lineRule="auto"/>
              <w:ind w:firstLine="0" w:firstLineChars="0"/>
              <w:jc w:val="center"/>
              <w:rPr>
                <w:sz w:val="21"/>
                <w:szCs w:val="21"/>
              </w:rPr>
            </w:pPr>
            <w:r>
              <w:rPr>
                <w:sz w:val="21"/>
                <w:szCs w:val="21"/>
              </w:rPr>
              <w:t>5.94</w:t>
            </w:r>
          </w:p>
        </w:tc>
        <w:tc>
          <w:tcPr>
            <w:tcW w:w="1295" w:type="dxa"/>
            <w:vAlign w:val="center"/>
          </w:tcPr>
          <w:p>
            <w:pPr>
              <w:tabs>
                <w:tab w:val="left" w:pos="2550"/>
              </w:tabs>
              <w:spacing w:line="240" w:lineRule="auto"/>
              <w:ind w:firstLine="0" w:firstLineChars="0"/>
              <w:jc w:val="center"/>
              <w:rPr>
                <w:sz w:val="21"/>
                <w:szCs w:val="21"/>
              </w:rPr>
            </w:pPr>
            <w:r>
              <w:rPr>
                <w:sz w:val="21"/>
                <w:szCs w:val="21"/>
              </w:rPr>
              <w:t>+2.64</w:t>
            </w:r>
          </w:p>
        </w:tc>
        <w:tc>
          <w:tcPr>
            <w:tcW w:w="1295" w:type="dxa"/>
            <w:vAlign w:val="center"/>
          </w:tcPr>
          <w:p>
            <w:pPr>
              <w:tabs>
                <w:tab w:val="left" w:pos="2550"/>
              </w:tabs>
              <w:spacing w:line="240" w:lineRule="auto"/>
              <w:ind w:firstLine="0" w:firstLineChars="0"/>
              <w:jc w:val="center"/>
              <w:rPr>
                <w:sz w:val="21"/>
                <w:szCs w:val="21"/>
              </w:rPr>
            </w:pPr>
            <w:r>
              <w:rPr>
                <w:sz w:val="21"/>
                <w:szCs w:val="21"/>
              </w:rPr>
              <w:t>5.94</w:t>
            </w:r>
          </w:p>
        </w:tc>
        <w:tc>
          <w:tcPr>
            <w:tcW w:w="1295" w:type="dxa"/>
            <w:vAlign w:val="center"/>
          </w:tcPr>
          <w:p>
            <w:pPr>
              <w:tabs>
                <w:tab w:val="left" w:pos="2550"/>
              </w:tabs>
              <w:spacing w:line="240" w:lineRule="auto"/>
              <w:ind w:firstLine="0" w:firstLineChars="0"/>
              <w:jc w:val="center"/>
              <w:rPr>
                <w:sz w:val="21"/>
                <w:szCs w:val="21"/>
              </w:rPr>
            </w:pPr>
            <w:r>
              <w:rPr>
                <w:sz w:val="21"/>
                <w:szCs w:val="21"/>
              </w:rPr>
              <w:t>+2.64</w:t>
            </w:r>
          </w:p>
        </w:tc>
      </w:tr>
    </w:tbl>
    <w:p>
      <w:pPr>
        <w:tabs>
          <w:tab w:val="left" w:pos="2550"/>
        </w:tabs>
        <w:spacing w:line="360" w:lineRule="auto"/>
        <w:ind w:firstLine="0" w:firstLineChars="0"/>
        <w:jc w:val="both"/>
        <w:rPr>
          <w:sz w:val="24"/>
          <w:szCs w:val="26"/>
        </w:rPr>
      </w:pPr>
    </w:p>
    <w:p>
      <w:pPr>
        <w:tabs>
          <w:tab w:val="left" w:pos="2550"/>
        </w:tabs>
        <w:spacing w:line="360" w:lineRule="auto"/>
        <w:ind w:firstLine="480"/>
        <w:jc w:val="both"/>
        <w:rPr>
          <w:sz w:val="24"/>
          <w:szCs w:val="26"/>
        </w:rPr>
      </w:pPr>
      <w:r>
        <w:rPr>
          <w:sz w:val="24"/>
          <w:szCs w:val="26"/>
        </w:rPr>
        <w:t>由上表可知，无组织强化了收集处理措施，无组织排放量减少，工业场地更换了布袋，除尘器的处理效率更高效，实现了以新带老措施，颗粒物排放量减少，因此本次扩建项目可实现“增产不增污”，确保区域环境质量达标。</w:t>
      </w:r>
    </w:p>
    <w:p>
      <w:pPr>
        <w:tabs>
          <w:tab w:val="left" w:pos="2550"/>
        </w:tabs>
        <w:spacing w:line="360" w:lineRule="auto"/>
        <w:ind w:firstLine="480"/>
        <w:jc w:val="both"/>
        <w:rPr>
          <w:sz w:val="24"/>
          <w:szCs w:val="26"/>
        </w:rPr>
      </w:pPr>
    </w:p>
    <w:p>
      <w:pPr>
        <w:tabs>
          <w:tab w:val="left" w:pos="2550"/>
        </w:tabs>
        <w:spacing w:line="360" w:lineRule="auto"/>
        <w:ind w:firstLine="480"/>
        <w:jc w:val="both"/>
        <w:rPr>
          <w:sz w:val="24"/>
          <w:szCs w:val="26"/>
        </w:rPr>
      </w:pPr>
    </w:p>
    <w:p>
      <w:pPr>
        <w:tabs>
          <w:tab w:val="left" w:pos="2550"/>
        </w:tabs>
        <w:spacing w:line="360" w:lineRule="auto"/>
        <w:ind w:firstLine="520"/>
        <w:jc w:val="both"/>
        <w:rPr>
          <w:szCs w:val="26"/>
        </w:rPr>
      </w:pPr>
    </w:p>
    <w:p>
      <w:pPr>
        <w:tabs>
          <w:tab w:val="left" w:pos="2550"/>
        </w:tabs>
        <w:ind w:firstLine="0" w:firstLineChars="0"/>
        <w:jc w:val="both"/>
        <w:rPr>
          <w:szCs w:val="26"/>
        </w:rPr>
        <w:sectPr>
          <w:pgSz w:w="11907" w:h="16840"/>
          <w:pgMar w:top="1418" w:right="1418" w:bottom="1418" w:left="1418" w:header="1134" w:footer="1134" w:gutter="0"/>
          <w:cols w:space="425" w:num="1"/>
          <w:docGrid w:linePitch="354" w:charSpace="0"/>
        </w:sectPr>
      </w:pPr>
    </w:p>
    <w:p>
      <w:pPr>
        <w:pStyle w:val="3"/>
        <w:numPr>
          <w:ilvl w:val="0"/>
          <w:numId w:val="0"/>
        </w:numPr>
        <w:spacing w:before="240" w:after="240"/>
      </w:pPr>
      <w:bookmarkStart w:id="137" w:name="_Toc161676104"/>
      <w:r>
        <w:t>4环境现状调查与评价</w:t>
      </w:r>
      <w:bookmarkEnd w:id="137"/>
    </w:p>
    <w:p>
      <w:pPr>
        <w:pStyle w:val="4"/>
      </w:pPr>
      <w:bookmarkStart w:id="138" w:name="_Toc161676105"/>
      <w:r>
        <w:t>4.1自然环境概况</w:t>
      </w:r>
      <w:bookmarkEnd w:id="138"/>
    </w:p>
    <w:p>
      <w:pPr>
        <w:pStyle w:val="5"/>
        <w:rPr>
          <w:color w:val="auto"/>
        </w:rPr>
      </w:pPr>
      <w:r>
        <w:rPr>
          <w:color w:val="auto"/>
        </w:rPr>
        <w:t>4.1.1地形、地貌</w:t>
      </w:r>
    </w:p>
    <w:p>
      <w:pPr>
        <w:pStyle w:val="222"/>
      </w:pPr>
      <w:r>
        <w:t>矿区内属侵蚀剥蚀性低山丘陵岩溶地貌，矿区总的地势为南东高北西低，区内最高点位于矿区南东侧，高程+429m，最底点位于矿区南西侧，高程+295m，相对高差134m。区内植被覆盖良好，地形坡角10～35°，一般为22°。区内无自然岩、土质陡坡，地形条件较简单。</w:t>
      </w:r>
    </w:p>
    <w:p>
      <w:pPr>
        <w:pStyle w:val="5"/>
        <w:jc w:val="both"/>
        <w:rPr>
          <w:color w:val="auto"/>
        </w:rPr>
      </w:pPr>
      <w:r>
        <w:rPr>
          <w:color w:val="auto"/>
        </w:rPr>
        <w:t>4.1.2地层</w:t>
      </w:r>
    </w:p>
    <w:p>
      <w:pPr>
        <w:spacing w:line="360" w:lineRule="auto"/>
        <w:ind w:firstLine="480"/>
        <w:jc w:val="both"/>
        <w:rPr>
          <w:sz w:val="24"/>
          <w:szCs w:val="24"/>
        </w:rPr>
      </w:pPr>
      <w:r>
        <w:rPr>
          <w:sz w:val="24"/>
          <w:szCs w:val="24"/>
        </w:rPr>
        <w:t>（1）地层岩性</w:t>
      </w:r>
    </w:p>
    <w:p>
      <w:pPr>
        <w:spacing w:line="360" w:lineRule="auto"/>
        <w:ind w:firstLine="480"/>
        <w:jc w:val="both"/>
        <w:rPr>
          <w:sz w:val="24"/>
          <w:szCs w:val="24"/>
        </w:rPr>
      </w:pPr>
      <w:r>
        <w:rPr>
          <w:sz w:val="24"/>
          <w:szCs w:val="24"/>
        </w:rPr>
        <w:t>矿区出露地层由东向西主要为飞仙关组三段（T</w:t>
      </w:r>
      <w:r>
        <w:rPr>
          <w:i/>
          <w:iCs/>
          <w:sz w:val="24"/>
          <w:szCs w:val="24"/>
          <w:vertAlign w:val="subscript"/>
        </w:rPr>
        <w:t>1</w:t>
      </w:r>
      <w:r>
        <w:rPr>
          <w:i/>
          <w:iCs/>
          <w:sz w:val="24"/>
          <w:szCs w:val="24"/>
        </w:rPr>
        <w:t>f</w:t>
      </w:r>
      <w:r>
        <w:rPr>
          <w:i/>
          <w:iCs/>
          <w:sz w:val="24"/>
          <w:szCs w:val="24"/>
          <w:vertAlign w:val="superscript"/>
        </w:rPr>
        <w:t>3</w:t>
      </w:r>
      <w:r>
        <w:rPr>
          <w:sz w:val="24"/>
          <w:szCs w:val="24"/>
        </w:rPr>
        <w:t>）、飞仙关组四段（T</w:t>
      </w:r>
      <w:r>
        <w:rPr>
          <w:i/>
          <w:iCs/>
          <w:sz w:val="24"/>
          <w:szCs w:val="24"/>
          <w:vertAlign w:val="subscript"/>
        </w:rPr>
        <w:t>1</w:t>
      </w:r>
      <w:r>
        <w:rPr>
          <w:i/>
          <w:iCs/>
          <w:sz w:val="24"/>
          <w:szCs w:val="24"/>
        </w:rPr>
        <w:t>f</w:t>
      </w:r>
      <w:r>
        <w:rPr>
          <w:i/>
          <w:iCs/>
          <w:sz w:val="24"/>
          <w:szCs w:val="24"/>
          <w:vertAlign w:val="superscript"/>
        </w:rPr>
        <w:t>4</w:t>
      </w:r>
      <w:r>
        <w:rPr>
          <w:sz w:val="24"/>
          <w:szCs w:val="24"/>
        </w:rPr>
        <w:t>）、三叠系下统嘉陵江组一段（T</w:t>
      </w:r>
      <w:r>
        <w:rPr>
          <w:i/>
          <w:iCs/>
          <w:sz w:val="24"/>
          <w:szCs w:val="24"/>
          <w:vertAlign w:val="subscript"/>
        </w:rPr>
        <w:t>1</w:t>
      </w:r>
      <w:r>
        <w:rPr>
          <w:i/>
          <w:iCs/>
          <w:sz w:val="24"/>
          <w:szCs w:val="24"/>
        </w:rPr>
        <w:t>j</w:t>
      </w:r>
      <w:r>
        <w:rPr>
          <w:i/>
          <w:iCs/>
          <w:sz w:val="24"/>
          <w:szCs w:val="24"/>
          <w:vertAlign w:val="superscript"/>
        </w:rPr>
        <w:t>1</w:t>
      </w:r>
      <w:r>
        <w:rPr>
          <w:sz w:val="24"/>
          <w:szCs w:val="24"/>
        </w:rPr>
        <w:t>）和少量第四系杂土（Q</w:t>
      </w:r>
      <w:r>
        <w:rPr>
          <w:sz w:val="24"/>
          <w:szCs w:val="24"/>
          <w:vertAlign w:val="subscript"/>
        </w:rPr>
        <w:t>4</w:t>
      </w:r>
      <w:r>
        <w:rPr>
          <w:sz w:val="24"/>
          <w:szCs w:val="24"/>
          <w:vertAlign w:val="superscript"/>
        </w:rPr>
        <w:t>el+dl</w:t>
      </w:r>
      <w:r>
        <w:rPr>
          <w:sz w:val="24"/>
          <w:szCs w:val="24"/>
        </w:rPr>
        <w:t>），由新至老分述如下：</w:t>
      </w:r>
    </w:p>
    <w:p>
      <w:pPr>
        <w:spacing w:line="360" w:lineRule="auto"/>
        <w:ind w:firstLine="480"/>
        <w:jc w:val="both"/>
        <w:rPr>
          <w:sz w:val="24"/>
          <w:szCs w:val="24"/>
        </w:rPr>
      </w:pPr>
      <w:r>
        <w:rPr>
          <w:rFonts w:hint="eastAsia" w:ascii="宋体" w:hAnsi="宋体" w:cs="宋体"/>
          <w:sz w:val="24"/>
          <w:szCs w:val="24"/>
        </w:rPr>
        <w:t>①</w:t>
      </w:r>
      <w:r>
        <w:rPr>
          <w:sz w:val="24"/>
          <w:szCs w:val="24"/>
        </w:rPr>
        <w:t>第四系残坡积物（Q</w:t>
      </w:r>
      <w:r>
        <w:rPr>
          <w:sz w:val="24"/>
          <w:szCs w:val="24"/>
          <w:vertAlign w:val="subscript"/>
        </w:rPr>
        <w:t>4</w:t>
      </w:r>
      <w:r>
        <w:rPr>
          <w:sz w:val="24"/>
          <w:szCs w:val="24"/>
          <w:vertAlign w:val="superscript"/>
        </w:rPr>
        <w:t>el+dl</w:t>
      </w:r>
      <w:r>
        <w:rPr>
          <w:sz w:val="24"/>
          <w:szCs w:val="24"/>
        </w:rPr>
        <w:t>）</w:t>
      </w:r>
    </w:p>
    <w:p>
      <w:pPr>
        <w:spacing w:line="360" w:lineRule="auto"/>
        <w:ind w:firstLine="480"/>
        <w:jc w:val="both"/>
        <w:rPr>
          <w:sz w:val="24"/>
          <w:szCs w:val="24"/>
        </w:rPr>
      </w:pPr>
      <w:r>
        <w:rPr>
          <w:sz w:val="24"/>
          <w:szCs w:val="24"/>
        </w:rPr>
        <w:t>主要为上述地层岩石的风化残坡积物（Q</w:t>
      </w:r>
      <w:r>
        <w:rPr>
          <w:sz w:val="24"/>
          <w:szCs w:val="24"/>
          <w:vertAlign w:val="subscript"/>
        </w:rPr>
        <w:t>4</w:t>
      </w:r>
      <w:r>
        <w:rPr>
          <w:sz w:val="24"/>
          <w:szCs w:val="24"/>
          <w:vertAlign w:val="superscript"/>
        </w:rPr>
        <w:t>el+dl</w:t>
      </w:r>
      <w:r>
        <w:rPr>
          <w:sz w:val="24"/>
          <w:szCs w:val="24"/>
        </w:rPr>
        <w:t xml:space="preserve">）粉质粘土与页岩、灰岩碎石块组成，分布于山坡坡脚与沟谷地带，多为旱地和农田。 </w:t>
      </w:r>
    </w:p>
    <w:p>
      <w:pPr>
        <w:spacing w:line="360" w:lineRule="auto"/>
        <w:ind w:firstLine="480"/>
        <w:jc w:val="both"/>
        <w:rPr>
          <w:sz w:val="24"/>
          <w:szCs w:val="24"/>
        </w:rPr>
      </w:pPr>
      <w:r>
        <w:rPr>
          <w:rFonts w:hint="eastAsia" w:ascii="宋体" w:hAnsi="宋体" w:cs="宋体"/>
          <w:sz w:val="24"/>
          <w:szCs w:val="24"/>
        </w:rPr>
        <w:t>②</w:t>
      </w:r>
      <w:r>
        <w:rPr>
          <w:sz w:val="24"/>
          <w:szCs w:val="24"/>
        </w:rPr>
        <w:t>三叠系下统嘉陵江组一段（T</w:t>
      </w:r>
      <w:r>
        <w:rPr>
          <w:i/>
          <w:iCs/>
          <w:sz w:val="24"/>
          <w:szCs w:val="24"/>
          <w:vertAlign w:val="subscript"/>
        </w:rPr>
        <w:t>1</w:t>
      </w:r>
      <w:r>
        <w:rPr>
          <w:i/>
          <w:iCs/>
          <w:sz w:val="24"/>
          <w:szCs w:val="24"/>
        </w:rPr>
        <w:t>j</w:t>
      </w:r>
      <w:r>
        <w:rPr>
          <w:i/>
          <w:iCs/>
          <w:sz w:val="24"/>
          <w:szCs w:val="24"/>
          <w:vertAlign w:val="superscript"/>
        </w:rPr>
        <w:t>1</w:t>
      </w:r>
      <w:r>
        <w:rPr>
          <w:sz w:val="24"/>
          <w:szCs w:val="24"/>
        </w:rPr>
        <w:t>）</w:t>
      </w:r>
    </w:p>
    <w:p>
      <w:pPr>
        <w:spacing w:line="360" w:lineRule="auto"/>
        <w:ind w:firstLine="480"/>
        <w:jc w:val="both"/>
        <w:rPr>
          <w:sz w:val="24"/>
          <w:szCs w:val="24"/>
        </w:rPr>
      </w:pPr>
      <w:r>
        <w:rPr>
          <w:sz w:val="24"/>
          <w:szCs w:val="24"/>
        </w:rPr>
        <w:t>为灰色、浅灰色、灰白色中-薄层块状灰岩、微晶灰岩、泥晶灰岩，偶夹白云质灰岩，底部有一层厚约1m的褐黄色泥灰岩。质地优良，均厚105m，区内未见顶。该段是本矿山开采的矿层。</w:t>
      </w:r>
    </w:p>
    <w:p>
      <w:pPr>
        <w:spacing w:line="360" w:lineRule="auto"/>
        <w:ind w:firstLine="480"/>
        <w:jc w:val="both"/>
        <w:rPr>
          <w:sz w:val="24"/>
          <w:szCs w:val="24"/>
        </w:rPr>
      </w:pPr>
      <w:r>
        <w:rPr>
          <w:rFonts w:hint="eastAsia" w:ascii="宋体" w:hAnsi="宋体" w:cs="宋体"/>
          <w:sz w:val="24"/>
          <w:szCs w:val="24"/>
        </w:rPr>
        <w:t>③</w:t>
      </w:r>
      <w:r>
        <w:rPr>
          <w:sz w:val="24"/>
          <w:szCs w:val="24"/>
        </w:rPr>
        <w:t>三叠系下统飞仙关组四段（T</w:t>
      </w:r>
      <w:r>
        <w:rPr>
          <w:i/>
          <w:iCs/>
          <w:sz w:val="24"/>
          <w:szCs w:val="24"/>
          <w:vertAlign w:val="subscript"/>
        </w:rPr>
        <w:t>1</w:t>
      </w:r>
      <w:r>
        <w:rPr>
          <w:i/>
          <w:iCs/>
          <w:sz w:val="24"/>
          <w:szCs w:val="24"/>
        </w:rPr>
        <w:t>f</w:t>
      </w:r>
      <w:r>
        <w:rPr>
          <w:i/>
          <w:iCs/>
          <w:sz w:val="24"/>
          <w:szCs w:val="24"/>
          <w:vertAlign w:val="superscript"/>
        </w:rPr>
        <w:t>4</w:t>
      </w:r>
      <w:r>
        <w:rPr>
          <w:sz w:val="24"/>
          <w:szCs w:val="24"/>
        </w:rPr>
        <w:t>）</w:t>
      </w:r>
    </w:p>
    <w:p>
      <w:pPr>
        <w:spacing w:line="360" w:lineRule="auto"/>
        <w:ind w:firstLine="480"/>
        <w:jc w:val="both"/>
        <w:rPr>
          <w:sz w:val="24"/>
          <w:szCs w:val="24"/>
        </w:rPr>
      </w:pPr>
      <w:r>
        <w:rPr>
          <w:sz w:val="24"/>
          <w:szCs w:val="24"/>
        </w:rPr>
        <w:t>黄灰色、灰紫色薄至中层泥质灰岩与紫红色含粉砂质钙质泥岩呈不等厚互层，下部为灰紫色薄层钙质泥岩、泥质灰岩夹有浅黄色薄层钙质粉砂岩。</w:t>
      </w:r>
    </w:p>
    <w:p>
      <w:pPr>
        <w:spacing w:line="360" w:lineRule="auto"/>
        <w:ind w:firstLine="480"/>
        <w:jc w:val="both"/>
        <w:rPr>
          <w:sz w:val="24"/>
          <w:szCs w:val="24"/>
        </w:rPr>
      </w:pPr>
      <w:r>
        <w:rPr>
          <w:rFonts w:hint="eastAsia" w:ascii="宋体" w:hAnsi="宋体" w:cs="宋体"/>
          <w:sz w:val="24"/>
          <w:szCs w:val="24"/>
        </w:rPr>
        <w:t>④</w:t>
      </w:r>
      <w:r>
        <w:rPr>
          <w:sz w:val="24"/>
          <w:szCs w:val="24"/>
        </w:rPr>
        <w:t>三叠系下统飞仙关组三段（T</w:t>
      </w:r>
      <w:r>
        <w:rPr>
          <w:i/>
          <w:iCs/>
          <w:sz w:val="24"/>
          <w:szCs w:val="24"/>
          <w:vertAlign w:val="subscript"/>
        </w:rPr>
        <w:t>1</w:t>
      </w:r>
      <w:r>
        <w:rPr>
          <w:i/>
          <w:iCs/>
          <w:sz w:val="24"/>
          <w:szCs w:val="24"/>
        </w:rPr>
        <w:t>f</w:t>
      </w:r>
      <w:r>
        <w:rPr>
          <w:i/>
          <w:iCs/>
          <w:sz w:val="24"/>
          <w:szCs w:val="24"/>
          <w:vertAlign w:val="superscript"/>
        </w:rPr>
        <w:t>3</w:t>
      </w:r>
      <w:r>
        <w:rPr>
          <w:sz w:val="24"/>
          <w:szCs w:val="24"/>
        </w:rPr>
        <w:t>）</w:t>
      </w:r>
    </w:p>
    <w:p>
      <w:pPr>
        <w:spacing w:line="360" w:lineRule="auto"/>
        <w:ind w:firstLine="480"/>
        <w:jc w:val="both"/>
        <w:rPr>
          <w:sz w:val="24"/>
          <w:szCs w:val="24"/>
        </w:rPr>
      </w:pPr>
      <w:r>
        <w:rPr>
          <w:sz w:val="24"/>
          <w:szCs w:val="24"/>
        </w:rPr>
        <w:t>浅灰、灰白色、深灰色中厚层状灰岩夹泥质灰岩，部分具鲕状结构，中下部夹少量黄色薄层页岩条带。</w:t>
      </w:r>
    </w:p>
    <w:p>
      <w:pPr>
        <w:spacing w:line="360" w:lineRule="auto"/>
        <w:ind w:firstLine="480"/>
        <w:jc w:val="both"/>
        <w:rPr>
          <w:sz w:val="24"/>
          <w:szCs w:val="24"/>
        </w:rPr>
      </w:pPr>
      <w:r>
        <w:rPr>
          <w:sz w:val="24"/>
          <w:szCs w:val="24"/>
        </w:rPr>
        <w:t>综上所述：调查区岩层厚度为中厚～厚层状，对应简单；岩层或土层组合为多元组合，复杂；土层厚度为简单。</w:t>
      </w:r>
    </w:p>
    <w:p>
      <w:pPr>
        <w:spacing w:line="360" w:lineRule="auto"/>
        <w:ind w:firstLine="480"/>
        <w:jc w:val="both"/>
        <w:rPr>
          <w:sz w:val="24"/>
          <w:szCs w:val="24"/>
        </w:rPr>
      </w:pPr>
      <w:r>
        <w:rPr>
          <w:sz w:val="24"/>
          <w:szCs w:val="24"/>
        </w:rPr>
        <w:t>（2）地质构造及地震</w:t>
      </w:r>
    </w:p>
    <w:p>
      <w:pPr>
        <w:spacing w:line="360" w:lineRule="auto"/>
        <w:ind w:firstLine="480"/>
        <w:jc w:val="both"/>
        <w:rPr>
          <w:sz w:val="24"/>
          <w:szCs w:val="24"/>
        </w:rPr>
      </w:pPr>
      <w:r>
        <w:rPr>
          <w:sz w:val="24"/>
          <w:szCs w:val="24"/>
        </w:rPr>
        <w:t>矿区位于沥鼻峡背斜北段北西翼，单斜构造，产状稳定，倾向矿区内倾向320°～345°，平均325°；倾角79°～83°，平均81°。背斜核部由二叠系（P1m～P1l）地层和三叠系（T1f～T3xj）地层组成，翼部由侏罗系（J1z～J1s）地层组成，区内未见断层和次级褶皱，地质构造简单。在场区基岩露头中实测的裂隙如下：</w:t>
      </w:r>
    </w:p>
    <w:p>
      <w:pPr>
        <w:spacing w:line="360" w:lineRule="auto"/>
        <w:ind w:firstLine="480"/>
        <w:jc w:val="both"/>
        <w:rPr>
          <w:sz w:val="24"/>
          <w:szCs w:val="24"/>
        </w:rPr>
      </w:pPr>
      <w:r>
        <w:rPr>
          <w:sz w:val="24"/>
          <w:szCs w:val="24"/>
        </w:rPr>
        <w:t>LX1倾向125°，倾角74°，间距0.3～1.0m，裂隙张开约5～8mm，裂隙面较平直光滑无充填物，延伸约2～3m左右。为硬性结构面，结合差。</w:t>
      </w:r>
    </w:p>
    <w:p>
      <w:pPr>
        <w:spacing w:line="360" w:lineRule="auto"/>
        <w:ind w:firstLine="480"/>
        <w:jc w:val="both"/>
        <w:rPr>
          <w:sz w:val="24"/>
          <w:szCs w:val="24"/>
        </w:rPr>
      </w:pPr>
      <w:r>
        <w:rPr>
          <w:sz w:val="24"/>
          <w:szCs w:val="24"/>
        </w:rPr>
        <w:t>LX2倾向203°，倾角86°，间距0.2～0.8m，闭合，裂隙面较平直光滑无充填物，延伸约2.0～5m左右。为硬性结构面，结合差。</w:t>
      </w:r>
    </w:p>
    <w:p>
      <w:pPr>
        <w:spacing w:line="360" w:lineRule="auto"/>
        <w:ind w:firstLine="480"/>
        <w:jc w:val="both"/>
        <w:rPr>
          <w:sz w:val="24"/>
          <w:szCs w:val="24"/>
        </w:rPr>
      </w:pPr>
      <w:r>
        <w:rPr>
          <w:sz w:val="24"/>
          <w:szCs w:val="24"/>
        </w:rPr>
        <w:t>场地内无断层及构造破碎带通过，主要结构面为层面及以上2组裂隙， 裂隙较发育，地质构造条件简单。</w:t>
      </w:r>
    </w:p>
    <w:p>
      <w:pPr>
        <w:spacing w:line="360" w:lineRule="auto"/>
        <w:ind w:firstLine="480"/>
        <w:jc w:val="both"/>
        <w:rPr>
          <w:sz w:val="24"/>
          <w:szCs w:val="24"/>
        </w:rPr>
      </w:pPr>
      <w:r>
        <w:rPr>
          <w:sz w:val="24"/>
          <w:szCs w:val="24"/>
        </w:rPr>
        <w:t>据《中国地震动参数区划图》（GB18306－2015）中的《中国地震动峰值加速度区划图》，评估区地震动峰值加速度为0.05g。</w:t>
      </w:r>
    </w:p>
    <w:p>
      <w:pPr>
        <w:spacing w:line="360" w:lineRule="auto"/>
        <w:ind w:firstLine="480"/>
        <w:jc w:val="both"/>
        <w:rPr>
          <w:sz w:val="24"/>
          <w:szCs w:val="24"/>
        </w:rPr>
      </w:pPr>
      <w:r>
        <w:rPr>
          <w:sz w:val="24"/>
          <w:szCs w:val="24"/>
        </w:rPr>
        <w:t>根据国家地震局编制的《中国地震烈度区划图》，评估区地震基本烈度为Ⅵ度。</w:t>
      </w:r>
    </w:p>
    <w:p>
      <w:pPr>
        <w:spacing w:line="360" w:lineRule="auto"/>
        <w:ind w:firstLine="480"/>
        <w:jc w:val="both"/>
        <w:rPr>
          <w:sz w:val="24"/>
          <w:szCs w:val="24"/>
        </w:rPr>
      </w:pPr>
      <w:r>
        <w:rPr>
          <w:sz w:val="24"/>
          <w:szCs w:val="24"/>
        </w:rPr>
        <w:t>综上所述，评估区地质构造条件简单，地震条件较复杂。</w:t>
      </w:r>
    </w:p>
    <w:p>
      <w:pPr>
        <w:spacing w:line="460" w:lineRule="atLeast"/>
        <w:ind w:firstLine="0" w:firstLineChars="0"/>
        <w:jc w:val="center"/>
        <w:rPr>
          <w:szCs w:val="26"/>
        </w:rPr>
      </w:pPr>
      <w:r>
        <w:rPr>
          <w:bCs/>
          <w:sz w:val="24"/>
          <w:szCs w:val="24"/>
        </w:rPr>
        <w:drawing>
          <wp:inline distT="0" distB="0" distL="114300" distR="114300">
            <wp:extent cx="5118100" cy="4610735"/>
            <wp:effectExtent l="0" t="0" r="6350" b="0"/>
            <wp:docPr id="15" name="图片 20" descr="观音村采石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20" descr="观音村采石场"/>
                    <pic:cNvPicPr>
                      <a:picLocks noChangeAspect="true"/>
                    </pic:cNvPicPr>
                  </pic:nvPicPr>
                  <pic:blipFill>
                    <a:blip r:embed="rId61"/>
                    <a:srcRect t="19498" r="4262" b="16394"/>
                    <a:stretch>
                      <a:fillRect/>
                    </a:stretch>
                  </pic:blipFill>
                  <pic:spPr>
                    <a:xfrm>
                      <a:off x="0" y="0"/>
                      <a:ext cx="5133394" cy="4624453"/>
                    </a:xfrm>
                    <a:prstGeom prst="rect">
                      <a:avLst/>
                    </a:prstGeom>
                    <a:noFill/>
                    <a:ln>
                      <a:noFill/>
                    </a:ln>
                  </pic:spPr>
                </pic:pic>
              </a:graphicData>
            </a:graphic>
          </wp:inline>
        </w:drawing>
      </w:r>
    </w:p>
    <w:p>
      <w:pPr>
        <w:ind w:firstLine="482"/>
        <w:jc w:val="center"/>
        <w:rPr>
          <w:b/>
          <w:bCs/>
          <w:sz w:val="24"/>
          <w:szCs w:val="24"/>
        </w:rPr>
      </w:pPr>
      <w:r>
        <w:rPr>
          <w:b/>
          <w:bCs/>
          <w:sz w:val="24"/>
          <w:szCs w:val="24"/>
        </w:rPr>
        <w:t>图4-1  矿区构造纲要图</w:t>
      </w:r>
    </w:p>
    <w:p>
      <w:pPr>
        <w:pStyle w:val="5"/>
        <w:rPr>
          <w:color w:val="auto"/>
        </w:rPr>
      </w:pPr>
      <w:r>
        <w:rPr>
          <w:color w:val="auto"/>
        </w:rPr>
        <w:t>4.1.3矿区地质构造、地震</w:t>
      </w:r>
    </w:p>
    <w:p>
      <w:pPr>
        <w:pStyle w:val="222"/>
      </w:pPr>
      <w:r>
        <w:t>（1）区域构造</w:t>
      </w:r>
    </w:p>
    <w:p>
      <w:pPr>
        <w:pStyle w:val="222"/>
      </w:pPr>
      <w:r>
        <w:t>矿区位于华蓥山基地断裂的南东侧，区域上大地构造位置位于扬子陆块（Ⅰ）上扬子陆块（Ⅱ）川中前陆盆地（Ⅲ）潼南穹褶束（Ⅳ），属川东褶皱束西侧之华蓥山帚状构造分支——沥鼻峡背斜北段倾没端。沥鼻峡背斜北起大庙向南西延伸，经西泉后呈帚状分支，背斜全长115km。以北为华蓥山复式背斜，是帚状构造的主体部位，以东为北东向的温塘峡背斜，观音峡背斜，龙王洞背斜，以西为华蓥山大断裂。</w:t>
      </w:r>
    </w:p>
    <w:p>
      <w:pPr>
        <w:pStyle w:val="222"/>
      </w:pPr>
      <w:r>
        <w:t>（2）地质构造</w:t>
      </w:r>
    </w:p>
    <w:p>
      <w:pPr>
        <w:pStyle w:val="222"/>
      </w:pPr>
      <w:r>
        <w:t>矿区位于沥鼻峡背斜北段北西翼，岩层整体产状310～340°，平均320°，倾角68～86°，平均75°，矿区南西侧发育一条正断层，近南北走向，倾向92°，走向长约140m，落差约10m，受断层影响，矿区南东侧局部地表可见地层倒转，产状123～152°</w:t>
      </w:r>
      <w:r>
        <w:rPr>
          <w:rFonts w:hint="eastAsia" w:ascii="宋体" w:hAnsi="宋体" w:cs="宋体"/>
        </w:rPr>
        <w:t>∠</w:t>
      </w:r>
      <w:r>
        <w:t>62～80°，矿区裂隙较发育，构造复杂程度属中等。构造纲要图见下图。</w:t>
      </w:r>
    </w:p>
    <w:p>
      <w:pPr>
        <w:pStyle w:val="263"/>
        <w:rPr>
          <w:rFonts w:eastAsia="宋体"/>
        </w:rPr>
      </w:pPr>
      <w:r>
        <w:rPr>
          <w:rFonts w:eastAsia="宋体"/>
        </w:rPr>
        <w:drawing>
          <wp:inline distT="0" distB="0" distL="0" distR="0">
            <wp:extent cx="3974465" cy="4885055"/>
            <wp:effectExtent l="0" t="0" r="6985" b="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noChangeArrowheads="true"/>
                    </pic:cNvPicPr>
                  </pic:nvPicPr>
                  <pic:blipFill>
                    <a:blip r:embed="rId62" cstate="print">
                      <a:extLst>
                        <a:ext uri="{28A0092B-C50C-407E-A947-70E740481C1C}">
                          <a14:useLocalDpi xmlns:a14="http://schemas.microsoft.com/office/drawing/2010/main" val="false"/>
                        </a:ext>
                      </a:extLst>
                    </a:blip>
                    <a:srcRect/>
                    <a:stretch>
                      <a:fillRect/>
                    </a:stretch>
                  </pic:blipFill>
                  <pic:spPr>
                    <a:xfrm>
                      <a:off x="0" y="0"/>
                      <a:ext cx="3977794" cy="4889601"/>
                    </a:xfrm>
                    <a:prstGeom prst="rect">
                      <a:avLst/>
                    </a:prstGeom>
                    <a:noFill/>
                    <a:ln>
                      <a:noFill/>
                    </a:ln>
                  </pic:spPr>
                </pic:pic>
              </a:graphicData>
            </a:graphic>
          </wp:inline>
        </w:drawing>
      </w:r>
    </w:p>
    <w:p>
      <w:pPr>
        <w:pStyle w:val="222"/>
        <w:jc w:val="center"/>
      </w:pPr>
      <w:r>
        <w:t>图4-2  构造纲要图</w:t>
      </w:r>
    </w:p>
    <w:p>
      <w:pPr>
        <w:pStyle w:val="222"/>
      </w:pPr>
    </w:p>
    <w:p>
      <w:pPr>
        <w:pStyle w:val="222"/>
      </w:pPr>
      <w:r>
        <w:t>（3）地震</w:t>
      </w:r>
    </w:p>
    <w:p>
      <w:pPr>
        <w:pStyle w:val="222"/>
      </w:pPr>
      <w:r>
        <w:t>根据《中国地震动参数区划图》（GB18306-2015）及《建筑抗震设计规范》（GB50011-2010），评估区地震峰值加速度为0.05g，地震动反应谱特征周期为0.35s，地震基本烈度为Ⅵ度。</w:t>
      </w:r>
    </w:p>
    <w:p>
      <w:pPr>
        <w:pStyle w:val="5"/>
        <w:rPr>
          <w:color w:val="auto"/>
        </w:rPr>
      </w:pPr>
      <w:r>
        <w:rPr>
          <w:color w:val="auto"/>
        </w:rPr>
        <w:t>4.1.4水文地质条件</w:t>
      </w:r>
    </w:p>
    <w:p>
      <w:pPr>
        <w:spacing w:line="460" w:lineRule="atLeast"/>
        <w:ind w:firstLine="480"/>
        <w:jc w:val="both"/>
        <w:rPr>
          <w:sz w:val="24"/>
          <w:szCs w:val="26"/>
        </w:rPr>
      </w:pPr>
      <w:r>
        <w:rPr>
          <w:sz w:val="24"/>
          <w:szCs w:val="26"/>
        </w:rPr>
        <w:t>根据</w:t>
      </w:r>
      <w:r>
        <w:rPr>
          <w:sz w:val="24"/>
        </w:rPr>
        <w:t>《重庆峰磊矿业有限公司合川区盐井街道观音村五社建筑用灰岩矿矿产资源储量核实报告》</w:t>
      </w:r>
      <w:r>
        <w:rPr>
          <w:sz w:val="24"/>
          <w:szCs w:val="26"/>
        </w:rPr>
        <w:t>；</w:t>
      </w:r>
    </w:p>
    <w:p>
      <w:pPr>
        <w:spacing w:line="460" w:lineRule="atLeast"/>
        <w:ind w:firstLine="480"/>
        <w:jc w:val="both"/>
        <w:rPr>
          <w:sz w:val="24"/>
          <w:szCs w:val="26"/>
        </w:rPr>
      </w:pPr>
      <w:r>
        <w:rPr>
          <w:sz w:val="24"/>
          <w:szCs w:val="26"/>
        </w:rPr>
        <w:t>（1）概况</w:t>
      </w:r>
    </w:p>
    <w:p>
      <w:pPr>
        <w:spacing w:line="460" w:lineRule="atLeast"/>
        <w:ind w:firstLine="480"/>
        <w:jc w:val="both"/>
        <w:rPr>
          <w:sz w:val="24"/>
          <w:szCs w:val="26"/>
        </w:rPr>
      </w:pPr>
      <w:r>
        <w:rPr>
          <w:sz w:val="24"/>
          <w:szCs w:val="26"/>
        </w:rPr>
        <w:t>矿区位于沥鼻峡背斜北段北西翼，属嘉陵江水系，矿区北西侧仅发育一条常年性纵向溪沟（即盐九沟），近南西—北东流向，与地层走向近于平行，沟宽3～10m，水力坡度约5.3%，经调查访问枯水期流量为3L/s，汛期流量为250L/s，不稳定系数约83。当地最低侵蚀基准面为嘉陵江水位标高约+185m。矿山开采标高为+380m～+251m。</w:t>
      </w:r>
    </w:p>
    <w:p>
      <w:pPr>
        <w:spacing w:line="460" w:lineRule="atLeast"/>
        <w:ind w:firstLine="480"/>
        <w:jc w:val="both"/>
        <w:rPr>
          <w:sz w:val="24"/>
          <w:szCs w:val="26"/>
        </w:rPr>
      </w:pPr>
      <w:r>
        <w:rPr>
          <w:sz w:val="24"/>
          <w:szCs w:val="26"/>
        </w:rPr>
        <w:t>（2）含、隔水层划分</w:t>
      </w:r>
    </w:p>
    <w:p>
      <w:pPr>
        <w:spacing w:line="460" w:lineRule="atLeast"/>
        <w:ind w:firstLine="480"/>
        <w:jc w:val="both"/>
        <w:rPr>
          <w:sz w:val="24"/>
          <w:szCs w:val="26"/>
        </w:rPr>
      </w:pPr>
      <w:r>
        <w:rPr>
          <w:sz w:val="24"/>
          <w:szCs w:val="26"/>
        </w:rPr>
        <w:t>根据本区岩石组合类型及地层的富水性，将该区主要地层划分为两个含水岩（层）组，即松散岩类孔隙含水层和碳酸盐岩类岩溶含水岩（层）组。</w:t>
      </w:r>
    </w:p>
    <w:p>
      <w:pPr>
        <w:spacing w:line="460" w:lineRule="atLeast"/>
        <w:ind w:firstLine="480"/>
        <w:jc w:val="both"/>
        <w:rPr>
          <w:sz w:val="24"/>
          <w:szCs w:val="26"/>
        </w:rPr>
      </w:pPr>
      <w:r>
        <w:rPr>
          <w:sz w:val="24"/>
          <w:szCs w:val="26"/>
        </w:rPr>
        <w:t>1）松散岩类孔隙含水层</w:t>
      </w:r>
    </w:p>
    <w:p>
      <w:pPr>
        <w:spacing w:line="460" w:lineRule="atLeast"/>
        <w:ind w:firstLine="480"/>
        <w:jc w:val="both"/>
        <w:rPr>
          <w:sz w:val="24"/>
          <w:szCs w:val="26"/>
        </w:rPr>
      </w:pPr>
      <w:r>
        <w:rPr>
          <w:sz w:val="24"/>
          <w:szCs w:val="26"/>
        </w:rPr>
        <w:t>主要由第四系的冲洪积、坡残积砾石、砂土及粘土组成，结构松散，富水性相对较弱，对矿床充水影响甚微。</w:t>
      </w:r>
    </w:p>
    <w:p>
      <w:pPr>
        <w:spacing w:line="460" w:lineRule="atLeast"/>
        <w:ind w:firstLine="480"/>
        <w:jc w:val="both"/>
        <w:rPr>
          <w:sz w:val="24"/>
          <w:szCs w:val="26"/>
        </w:rPr>
      </w:pPr>
      <w:r>
        <w:rPr>
          <w:sz w:val="24"/>
          <w:szCs w:val="26"/>
        </w:rPr>
        <w:t xml:space="preserve">2）碳酸盐岩类岩溶含水岩（层）组 </w:t>
      </w:r>
    </w:p>
    <w:p>
      <w:pPr>
        <w:spacing w:line="460" w:lineRule="atLeast"/>
        <w:ind w:firstLine="480"/>
        <w:jc w:val="both"/>
        <w:rPr>
          <w:sz w:val="24"/>
          <w:szCs w:val="26"/>
        </w:rPr>
      </w:pPr>
      <w:r>
        <w:rPr>
          <w:sz w:val="24"/>
          <w:szCs w:val="26"/>
        </w:rPr>
        <w:t>主要由三叠系下统飞仙关组和三叠系下统嘉陵江组的大量可溶性碳酸盐岩及次要碎屑岩含水岩组组成，广泛出露于沥鼻峡背斜两翼及轴部地区，是区域内富水性中等的主体含水岩组。</w:t>
      </w:r>
    </w:p>
    <w:p>
      <w:pPr>
        <w:spacing w:line="460" w:lineRule="atLeast"/>
        <w:ind w:firstLine="480"/>
        <w:jc w:val="both"/>
        <w:rPr>
          <w:sz w:val="24"/>
          <w:szCs w:val="26"/>
        </w:rPr>
      </w:pPr>
      <w:r>
        <w:rPr>
          <w:sz w:val="24"/>
          <w:szCs w:val="26"/>
        </w:rPr>
        <w:t>（3）地下水的补给、径流、排泄</w:t>
      </w:r>
    </w:p>
    <w:p>
      <w:pPr>
        <w:spacing w:line="460" w:lineRule="atLeast"/>
        <w:ind w:firstLine="480"/>
        <w:jc w:val="both"/>
        <w:rPr>
          <w:sz w:val="24"/>
          <w:szCs w:val="26"/>
        </w:rPr>
      </w:pPr>
      <w:r>
        <w:rPr>
          <w:sz w:val="24"/>
          <w:szCs w:val="26"/>
        </w:rPr>
        <w:t>区内雨水充沛，年平均降水量达1170mm，是区域内地下水的主要补给水源。由于沥鼻峡背斜为一长条箱状背斜，故地表分水岭两侧的大片地区接受大气降水补给条件较好，大气降水明显控制着地下水的动态变化。</w:t>
      </w:r>
    </w:p>
    <w:p>
      <w:pPr>
        <w:spacing w:line="460" w:lineRule="atLeast"/>
        <w:ind w:firstLine="480"/>
        <w:jc w:val="both"/>
        <w:rPr>
          <w:sz w:val="24"/>
          <w:szCs w:val="26"/>
        </w:rPr>
      </w:pPr>
      <w:r>
        <w:rPr>
          <w:sz w:val="24"/>
          <w:szCs w:val="26"/>
        </w:rPr>
        <w:t>区内地下水总的流向与构造线延展方向大体相似，但受地质构造和大的地貌特征控制。各含水层地下水以各类裂隙和岩溶管道为途径分别向地势低洼处运移，于山间谷地及河流、溪沟深切地带以溶洞河、泉水等形式泄出地表，最后汇入嘉陵江。</w:t>
      </w:r>
    </w:p>
    <w:p>
      <w:pPr>
        <w:spacing w:line="460" w:lineRule="atLeast"/>
        <w:ind w:firstLine="480"/>
        <w:jc w:val="both"/>
        <w:rPr>
          <w:sz w:val="24"/>
          <w:szCs w:val="26"/>
        </w:rPr>
      </w:pPr>
      <w:r>
        <w:rPr>
          <w:sz w:val="24"/>
          <w:szCs w:val="26"/>
        </w:rPr>
        <w:t>（4）矿区岩溶含水层富水性</w:t>
      </w:r>
    </w:p>
    <w:p>
      <w:pPr>
        <w:spacing w:line="460" w:lineRule="atLeast"/>
        <w:ind w:firstLine="480"/>
        <w:jc w:val="both"/>
        <w:rPr>
          <w:sz w:val="24"/>
          <w:szCs w:val="26"/>
        </w:rPr>
      </w:pPr>
      <w:r>
        <w:rPr>
          <w:sz w:val="24"/>
          <w:szCs w:val="26"/>
        </w:rPr>
        <w:t>通过地表水文地质调查并结合矿区地下水循环交替条件综合分析：矿区内浅部（即侵蚀基准面+185m以上为垂直循环带）岩溶相对较发育，一般无水；中部（水平循环带）岩溶较发育，地下水循环交替条件较好，富水性较强；深部（即侵蚀基准面+185m以下为深层循环带）由于地下水循环交替条件较差，岩溶不甚发育，富水性较弱。根据矿区水文地质特征，矿区岩溶含水层处于垂直循环带内，其富水性弱。</w:t>
      </w:r>
    </w:p>
    <w:p>
      <w:pPr>
        <w:spacing w:line="460" w:lineRule="atLeast"/>
        <w:ind w:firstLine="480"/>
        <w:jc w:val="both"/>
        <w:rPr>
          <w:sz w:val="24"/>
          <w:szCs w:val="26"/>
        </w:rPr>
      </w:pPr>
      <w:r>
        <w:rPr>
          <w:sz w:val="24"/>
          <w:szCs w:val="26"/>
        </w:rPr>
        <w:t>综上所述，地下水补给源贫乏单一，主要受大气降雨渗透补给，一般情况下地下较贫乏。</w:t>
      </w:r>
    </w:p>
    <w:p>
      <w:pPr>
        <w:pStyle w:val="5"/>
        <w:rPr>
          <w:color w:val="auto"/>
        </w:rPr>
      </w:pPr>
      <w:r>
        <w:rPr>
          <w:color w:val="auto"/>
        </w:rPr>
        <w:t>4.1.5地表水</w:t>
      </w:r>
    </w:p>
    <w:p>
      <w:pPr>
        <w:spacing w:before="24" w:after="24" w:line="460" w:lineRule="exact"/>
        <w:ind w:firstLine="480"/>
        <w:jc w:val="both"/>
        <w:rPr>
          <w:sz w:val="24"/>
          <w:szCs w:val="26"/>
        </w:rPr>
      </w:pPr>
      <w:r>
        <w:rPr>
          <w:sz w:val="24"/>
          <w:szCs w:val="26"/>
        </w:rPr>
        <w:t>合川属嘉陵江水系，嘉陵江、涪江、渠江汇流境内，境内流程为225.2km，水域面积76.45km</w:t>
      </w:r>
      <w:r>
        <w:rPr>
          <w:sz w:val="24"/>
          <w:szCs w:val="26"/>
          <w:vertAlign w:val="superscript"/>
        </w:rPr>
        <w:t>2</w:t>
      </w:r>
      <w:r>
        <w:rPr>
          <w:sz w:val="24"/>
          <w:szCs w:val="26"/>
        </w:rPr>
        <w:t>，占幅员面积的3.24%，区内集雨面积2343 km</w:t>
      </w:r>
      <w:r>
        <w:rPr>
          <w:sz w:val="24"/>
          <w:szCs w:val="26"/>
          <w:vertAlign w:val="superscript"/>
        </w:rPr>
        <w:t>2</w:t>
      </w:r>
      <w:r>
        <w:rPr>
          <w:sz w:val="24"/>
          <w:szCs w:val="26"/>
        </w:rPr>
        <w:t>，年均过境水量710.3亿m</w:t>
      </w:r>
      <w:r>
        <w:rPr>
          <w:sz w:val="24"/>
          <w:szCs w:val="26"/>
          <w:vertAlign w:val="superscript"/>
        </w:rPr>
        <w:t>3</w:t>
      </w:r>
      <w:r>
        <w:rPr>
          <w:sz w:val="24"/>
          <w:szCs w:val="26"/>
        </w:rPr>
        <w:t>。合川境内江河纵横、水网密布，有长度在2.5km以上溪河234条，总流程1647km，其中流域面积在50 km</w:t>
      </w:r>
      <w:r>
        <w:rPr>
          <w:sz w:val="24"/>
          <w:szCs w:val="26"/>
          <w:vertAlign w:val="superscript"/>
        </w:rPr>
        <w:t>2</w:t>
      </w:r>
      <w:r>
        <w:rPr>
          <w:sz w:val="24"/>
          <w:szCs w:val="26"/>
        </w:rPr>
        <w:t>以上的河流有15条。</w:t>
      </w:r>
    </w:p>
    <w:p>
      <w:pPr>
        <w:spacing w:before="24" w:after="24" w:line="460" w:lineRule="exact"/>
        <w:ind w:firstLine="480"/>
        <w:jc w:val="both"/>
        <w:rPr>
          <w:sz w:val="24"/>
          <w:szCs w:val="26"/>
        </w:rPr>
      </w:pPr>
      <w:r>
        <w:rPr>
          <w:sz w:val="24"/>
          <w:szCs w:val="26"/>
        </w:rPr>
        <w:t>嘉陵江是长江上游左岸的一条主要支流，发源于陕西省秦岭南麓，流经陕西、甘肃、四川三省，于重庆市流入长江，干流全长1120km，流域面积15.79万km</w:t>
      </w:r>
      <w:r>
        <w:rPr>
          <w:sz w:val="24"/>
          <w:szCs w:val="26"/>
          <w:vertAlign w:val="superscript"/>
        </w:rPr>
        <w:t>2</w:t>
      </w:r>
      <w:r>
        <w:rPr>
          <w:sz w:val="24"/>
          <w:szCs w:val="26"/>
        </w:rPr>
        <w:t>，多年平均流量710.73亿m</w:t>
      </w:r>
      <w:r>
        <w:rPr>
          <w:sz w:val="24"/>
          <w:szCs w:val="26"/>
          <w:vertAlign w:val="superscript"/>
        </w:rPr>
        <w:t>3</w:t>
      </w:r>
      <w:r>
        <w:rPr>
          <w:sz w:val="24"/>
          <w:szCs w:val="26"/>
        </w:rPr>
        <w:t>。嘉陵江由武胜的南溪口流入我市境内，流经古楼、钱塘、大石、云门、盐井、草街和合阳、钓办、南津办事处，境内流程89.5km，集雨面积1040.6km</w:t>
      </w:r>
      <w:r>
        <w:rPr>
          <w:sz w:val="24"/>
          <w:szCs w:val="26"/>
          <w:vertAlign w:val="superscript"/>
        </w:rPr>
        <w:t>2</w:t>
      </w:r>
      <w:r>
        <w:rPr>
          <w:sz w:val="24"/>
          <w:szCs w:val="26"/>
        </w:rPr>
        <w:t>，占全市幅员面积的44.2%。境内除涪江、渠江外，还有29条支流汇入嘉陵江，其中流域面积在50km</w:t>
      </w:r>
      <w:r>
        <w:rPr>
          <w:sz w:val="24"/>
          <w:szCs w:val="26"/>
          <w:vertAlign w:val="superscript"/>
        </w:rPr>
        <w:t>2</w:t>
      </w:r>
      <w:r>
        <w:rPr>
          <w:sz w:val="24"/>
          <w:szCs w:val="26"/>
        </w:rPr>
        <w:t>以上溪河4条，合川主城区以上2条，以下2条，从上至下分别为南溪河、大蟠溪、玉龙河和柏水溪。</w:t>
      </w:r>
    </w:p>
    <w:p>
      <w:pPr>
        <w:pStyle w:val="222"/>
      </w:pPr>
      <w:r>
        <w:t>本项目所在地属于嘉陵江水系，矿区范围内无常年性河流，无水库，无地表水体，当地最低侵蚀基准面（嘉陵江水面）为+180m。矿区北西侧有一条干沟河，发源于盐井南部干田坝附近，沿途汇集横向冲沟水，由南向北流经矿区北西部在盐井镇注入嘉陵江。项目区域水系图见附图。</w:t>
      </w:r>
    </w:p>
    <w:p>
      <w:pPr>
        <w:pStyle w:val="5"/>
        <w:rPr>
          <w:color w:val="auto"/>
        </w:rPr>
      </w:pPr>
      <w:r>
        <w:rPr>
          <w:color w:val="auto"/>
        </w:rPr>
        <w:t>4.1.6气候、气象</w:t>
      </w:r>
    </w:p>
    <w:p>
      <w:pPr>
        <w:pStyle w:val="3223"/>
        <w:spacing w:line="440" w:lineRule="atLeast"/>
        <w:jc w:val="both"/>
        <w:rPr>
          <w:rFonts w:hAnsi="Times New Roman"/>
        </w:rPr>
      </w:pPr>
      <w:r>
        <w:rPr>
          <w:rFonts w:hAnsi="Times New Roman"/>
        </w:rPr>
        <w:t>合川区属亚热带湿润季风气候区，四季分明，冬暖春早，初夏多雨，盛夏炎热常伏旱，秋多连绵阴雨，无霜期长，昼夜温差大，多雾少日照，区内以降雨为主，雪、冰雹少见，年平均气温17.5℃，月均气温以8月最高，达到41℃，1月最低为6.7℃。雨量充沛，年最大降雨量1451.7mm（1982年），年最小降雨量836.5mm（1961年），年平均降雨量为1162.1mm，降水的季节分配不均匀，其中春季占降水量的30%，夏季占37%，秋季占27%，而冬季仅占6%，5-9月的降水量最多，占全年降水量的66.1%，尤其是暴雨集中，强度大。</w:t>
      </w:r>
    </w:p>
    <w:p>
      <w:pPr>
        <w:pStyle w:val="3223"/>
        <w:spacing w:line="440" w:lineRule="atLeast"/>
        <w:jc w:val="both"/>
        <w:rPr>
          <w:rFonts w:hAnsi="Times New Roman"/>
        </w:rPr>
      </w:pPr>
      <w:r>
        <w:rPr>
          <w:rFonts w:hAnsi="Times New Roman"/>
        </w:rPr>
        <w:t>由于地处亚热带季风区，全年盛行风向为偏北风，冬季多偏北风，夏季多偏南风，风速因受盆地高山阻隔，静风多，一年之中，唯以7、8月份大风最多。因受西太平洋东南季风和北印度洋西南季风交汇影响，秋冬春三季雾日持续时间长，为全国少日照的中心区域，年平均日照数为1127.2小时。根据合川区气象站2003~2022年气象统计数据，合川区近20年气象特征统计数据见下表。</w:t>
      </w:r>
    </w:p>
    <w:p>
      <w:pPr>
        <w:pStyle w:val="84"/>
      </w:pPr>
      <w:r>
        <w:t>表4.1-1 常规气象统计数据（2003~2022）</w:t>
      </w:r>
    </w:p>
    <w:tbl>
      <w:tblPr>
        <w:tblStyle w:val="88"/>
        <w:tblW w:w="8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67"/>
        <w:gridCol w:w="1728"/>
        <w:gridCol w:w="1976"/>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3864"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统计项目</w:t>
            </w:r>
          </w:p>
        </w:tc>
        <w:tc>
          <w:tcPr>
            <w:tcW w:w="1728"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统计值</w:t>
            </w:r>
          </w:p>
        </w:tc>
        <w:tc>
          <w:tcPr>
            <w:tcW w:w="1976"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极值出现时间</w:t>
            </w:r>
          </w:p>
        </w:tc>
        <w:tc>
          <w:tcPr>
            <w:tcW w:w="1208"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多年平均气温（℃）</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18.21</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累年极端最高温度（℃）</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40.03</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20220817</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累年极端最低温度（℃）</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0.47</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20050102</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多年平均气压（hPa）</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980.48</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多年平均水汽压（hPa）</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18.03</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多年平均相对湿度（%）</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81.7</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多年平均降雨量（mm）</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1160.14</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210.1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多年实测极大风速（m/s）/相应风向</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16.55</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20180405</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多年平均风速（m/s）</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1.3</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多年主导风向/风向频率</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NNE/11.08</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多年平均静风频率（C&lt;=0.2m/s）（%）</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17.18</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bl>
    <w:p>
      <w:pPr>
        <w:pStyle w:val="5"/>
        <w:rPr>
          <w:color w:val="auto"/>
        </w:rPr>
      </w:pPr>
      <w:r>
        <w:rPr>
          <w:color w:val="auto"/>
        </w:rPr>
        <w:t>4.1.7矿产资源</w:t>
      </w:r>
    </w:p>
    <w:p>
      <w:pPr>
        <w:pStyle w:val="222"/>
      </w:pPr>
      <w:r>
        <w:t>合川区区境现探明的矿藏资源有煤、石灰石、盐、锶矿等26种。其中煤储量约18.2亿吨，分布在华蓥山周边地区的三汇、清平、土场、盐井、草街、双凤、狮滩、小沔等8个镇，位于盐井储量达2亿吨的沥鼻峡煤田正在建设；锶矿100万吨，分布于盐井镇干沟一带；铁矿6800万吨，分布在盐井、双凤、三汇地区；盐160亿吨，全市分布面积约1000km</w:t>
      </w:r>
      <w:r>
        <w:rPr>
          <w:vertAlign w:val="superscript"/>
        </w:rPr>
        <w:t>2</w:t>
      </w:r>
      <w:r>
        <w:t>，盐层厚度平均为16m；石灰石55亿吨，分布在盐井、三汇地区；铝土矿7500万吨，分布在三汇、清平地区；重晶石40万吨，主要含矿层为三迭系下统飞仙关和嘉陵江组。</w:t>
      </w:r>
    </w:p>
    <w:p>
      <w:pPr>
        <w:spacing w:line="460" w:lineRule="exact"/>
        <w:ind w:right="-2" w:firstLine="480"/>
        <w:jc w:val="both"/>
        <w:rPr>
          <w:sz w:val="24"/>
          <w:szCs w:val="26"/>
        </w:rPr>
      </w:pPr>
      <w:r>
        <w:rPr>
          <w:sz w:val="24"/>
          <w:szCs w:val="26"/>
        </w:rPr>
        <w:t>合川区内矿产资源的总体特征：矿产资源以能源矿产和非金属矿产为主；矿产资源分带较明显，分布较集中，其中天然气、岩盐资源分布在华蓥山基底断裂北西，分布范围广；煤、锶矿、石灰岩、砂岩及地热等矿产主要分布于沥鼻峡背斜和观音峡背斜；大型矿床少，大多数为小型矿床。</w:t>
      </w:r>
    </w:p>
    <w:p>
      <w:pPr>
        <w:spacing w:line="460" w:lineRule="exact"/>
        <w:ind w:right="-2" w:firstLine="480"/>
        <w:jc w:val="both"/>
        <w:rPr>
          <w:sz w:val="24"/>
          <w:szCs w:val="26"/>
        </w:rPr>
      </w:pPr>
      <w:r>
        <w:rPr>
          <w:sz w:val="24"/>
          <w:szCs w:val="26"/>
        </w:rPr>
        <w:t>本项目矿区范围内属于石灰石资源，无天然气、矿泉水、煤炭以及其他矿产资源的开发活动。矿山主要开采三叠系下统飞仙关组三段（T</w:t>
      </w:r>
      <w:r>
        <w:rPr>
          <w:i/>
          <w:iCs/>
          <w:sz w:val="24"/>
          <w:szCs w:val="26"/>
          <w:vertAlign w:val="subscript"/>
        </w:rPr>
        <w:t>1</w:t>
      </w:r>
      <w:r>
        <w:rPr>
          <w:i/>
          <w:iCs/>
          <w:sz w:val="24"/>
          <w:szCs w:val="26"/>
        </w:rPr>
        <w:t>f</w:t>
      </w:r>
      <w:r>
        <w:rPr>
          <w:i/>
          <w:iCs/>
          <w:sz w:val="24"/>
          <w:szCs w:val="26"/>
          <w:vertAlign w:val="superscript"/>
        </w:rPr>
        <w:t>3</w:t>
      </w:r>
      <w:r>
        <w:rPr>
          <w:sz w:val="24"/>
          <w:szCs w:val="26"/>
        </w:rPr>
        <w:t>）和三叠系下统嘉陵江组一段（T</w:t>
      </w:r>
      <w:r>
        <w:rPr>
          <w:i/>
          <w:iCs/>
          <w:sz w:val="24"/>
          <w:szCs w:val="26"/>
          <w:vertAlign w:val="subscript"/>
        </w:rPr>
        <w:t>1</w:t>
      </w:r>
      <w:r>
        <w:rPr>
          <w:i/>
          <w:iCs/>
          <w:sz w:val="24"/>
          <w:szCs w:val="26"/>
        </w:rPr>
        <w:t>j</w:t>
      </w:r>
      <w:r>
        <w:rPr>
          <w:i/>
          <w:iCs/>
          <w:sz w:val="24"/>
          <w:szCs w:val="26"/>
          <w:vertAlign w:val="superscript"/>
        </w:rPr>
        <w:t>1</w:t>
      </w:r>
      <w:r>
        <w:rPr>
          <w:sz w:val="24"/>
          <w:szCs w:val="26"/>
        </w:rPr>
        <w:t>）的石灰石资源，无共伴生其他矿产。</w:t>
      </w:r>
    </w:p>
    <w:p>
      <w:pPr>
        <w:pStyle w:val="4"/>
      </w:pPr>
      <w:bookmarkStart w:id="139" w:name="_Toc161676106"/>
      <w:r>
        <w:t>4.2生态环境现状调查与评价</w:t>
      </w:r>
      <w:bookmarkEnd w:id="139"/>
    </w:p>
    <w:p>
      <w:pPr>
        <w:pStyle w:val="5"/>
        <w:rPr>
          <w:color w:val="auto"/>
        </w:rPr>
      </w:pPr>
      <w:r>
        <w:rPr>
          <w:color w:val="auto"/>
        </w:rPr>
        <w:t>4.2.1生态功能区划</w:t>
      </w:r>
    </w:p>
    <w:p>
      <w:pPr>
        <w:pStyle w:val="300"/>
      </w:pPr>
      <w:r>
        <w:t>根据《重庆市生态功能区划》（修编），项目所在地属于“渝西方山丘陵营养物质保持－水体保护生态功能区”。本生态功能区包括合川区、潼南县、铜梁县、大足县、双桥区和荣昌县，幅员面积7787.21km</w:t>
      </w:r>
      <w:r>
        <w:rPr>
          <w:vertAlign w:val="superscript"/>
        </w:rPr>
        <w:t>2</w:t>
      </w:r>
      <w:r>
        <w:t>。地貌以丘陵和平原为主，森林覆盖率也较低。区内主要河流有嘉陵江、渠江、涪江、漱溪河、窟隆河、怀远河等，多年平均地表水资源量144.6亿m</w:t>
      </w:r>
      <w:r>
        <w:rPr>
          <w:vertAlign w:val="superscript"/>
        </w:rPr>
        <w:t>3</w:t>
      </w:r>
      <w:r>
        <w:t>。亚热带气候，雨热同季，降水充沛，全年适合农作物生长。煤、天然气、盐、铝土等矿产储量丰富，有大足石刻、钓鱼城、龙水湖等丰富的旅游资源。</w:t>
      </w:r>
    </w:p>
    <w:p>
      <w:pPr>
        <w:pStyle w:val="300"/>
      </w:pPr>
      <w:r>
        <w:t>主要生态环境问题为缺水较严重，建设用地占用耕地面积大，森林覆盖率低，农村面源污染和次级河流污染较为严重，农业的生态环境保护和城郊型生态农业基地建设的压力较大，矿山生态环境破坏和地质灾害普遍。主导生态功能是水资源与水生态保护、农业生态功能的维持与提高，辅助功能为水土流失预防与监督、面源污染、矿山污染控制。</w:t>
      </w:r>
    </w:p>
    <w:p>
      <w:pPr>
        <w:pStyle w:val="300"/>
      </w:pPr>
      <w:r>
        <w:t>生态环境建设的主要方向为加强水资源保护利用；水土流失预防；农业生态环境建设和农村面源防治；加强农业基础设施建设；强制关闭污染严重的小煤窑、小矿山；开展矿山废弃物的清理、生态重建与复垦；加强大中型水库的保护和建设工作；区内自然保护区、森林公园、地质公园和风景名胜区核心区禁止开发区，依法进行保护，严禁一切开发建设行为；次级河流和重要水域重点保护。</w:t>
      </w:r>
    </w:p>
    <w:p>
      <w:pPr>
        <w:pStyle w:val="5"/>
        <w:rPr>
          <w:color w:val="auto"/>
        </w:rPr>
      </w:pPr>
      <w:r>
        <w:rPr>
          <w:color w:val="auto"/>
        </w:rPr>
        <w:t>4.2.2九峰山森林公园</w:t>
      </w:r>
    </w:p>
    <w:p>
      <w:pPr>
        <w:pStyle w:val="222"/>
      </w:pPr>
      <w:r>
        <w:t>重庆市九峰山森林公园位于合川区近郊，距城区10km，距212国道8km，地理坐标为东经106°11′58″—106°20′57″，北纬29°56′34″—29°56′58″。公园总面积1885.9hm</w:t>
      </w:r>
      <w:r>
        <w:rPr>
          <w:vertAlign w:val="superscript"/>
        </w:rPr>
        <w:t>2</w:t>
      </w:r>
      <w:r>
        <w:t>，与铜梁县交界，地跨合川区南津街街道办事处米坊村、大湾村、合川区盐井街道茶园村、回龙村、大坝村、塘坝村、观音村七个村及三汇国有林场部分。</w:t>
      </w:r>
    </w:p>
    <w:p>
      <w:pPr>
        <w:pStyle w:val="222"/>
      </w:pPr>
      <w:r>
        <w:t>九峰山森林公园是经重庆市批准的市级森林公园，最初控制性规划面积1885.9hm</w:t>
      </w:r>
      <w:r>
        <w:rPr>
          <w:vertAlign w:val="superscript"/>
        </w:rPr>
        <w:t>2</w:t>
      </w:r>
      <w:r>
        <w:t>，森林覆盖率达98%。九峰山历史遗迹有“知青农场”、“炼铁炉”、本佛寺、海佛寺等，自然景观遗迹有温泉洞、九峰山、九龙湖、五龙捧印、三股泉、一碗水等。九峰山生长有茂密青冈栎林、松林、杉林及金竹等，山腰有大片的桔林。有大片的茶园沿山脊及坡缘分布。九峰山森林公园位于亚热带常绿阔叶林区，次生植被非常旺盛，针叶林、针阔混交林、阔叶林、竹林、经济林、灌丛交错分布于公园各地。园区内无原生植被，马尾松、杉木为主的次生针叶林是公园的主要植被，以柑桔（大红袍）为主的经济林也是园区的一大特色，还有慈竹、毛竹等组成的竹林，另有零星分布的以丝栗、青杠等组成的阔叶林。各类植物170科426属749种；其中苔藓植物18科22属26种，蕨类植物26科38属51种，裸子植物8科15属18种，被子植物118科351属654种。主要乔木树种有马尾松、杉木、柏木、丝栗、枫香、青杠、香樟、贞楠、千丈、桉树、灯台树等；竹林以慈竹、毛竹、苦竹、水竹等为主；经济林以柑桔、桃、李、柚、葛等为主。灌木以黄荆、茶、山茶、油茶、火棘、马桑、桑、映山红、杜鹃、盐肤木等为主；草本植物以蕨箕、铁芒箕、水芙蓉里白、石松、甘草、风尾蕨、贯丛、胡颓子等为主，森林公园甘草属于国家重点保护野生植物。</w:t>
      </w:r>
    </w:p>
    <w:p>
      <w:pPr>
        <w:pStyle w:val="222"/>
      </w:pPr>
      <w:r>
        <w:t>森林公园内有高等动物19目42科104种，其中两栖类1目4科11种，爬行类2目6科10种，兽类3目7科11种，鸟类13目25科72种。公园内两栖类主要有中华蟾蜍、中国林蛙、沼水蛙等10余种；爬行类主要有鳖、蹼趾壁虎、乌梢蛇、黑背蛇等 10种左右；兽类主要有草兔、貉、黄鼬、狗獾、社鼠、松鼠等10余种；鸟类主要有绿头鸭、红隼、喜鹊、灰胸竹鸡、家燕、画眉、白头翁、鹌鹑、麻雀、山雀、啄木鸟、杜鹃等70余种；昆虫类有蜂、蝴蝶、蝉、萤火虫、蝇、蚊、螳螂、蜻蜓等。森林公园内红隼、画眉、灰胸竹鸡、杜鹃属于国家重点保护野生动物。</w:t>
      </w:r>
    </w:p>
    <w:p>
      <w:pPr>
        <w:pStyle w:val="222"/>
      </w:pPr>
      <w:r>
        <w:t>九峰山森林公园定位为：以森林观光休闲为主，以度假娱乐、康体疗养、生态教育、生态保护为辅的多功能生态休闲型市级森林公园。</w:t>
      </w:r>
    </w:p>
    <w:p>
      <w:pPr>
        <w:pStyle w:val="222"/>
      </w:pPr>
      <w:r>
        <w:t>本项目矿区范围与森林公园边界最近距离约59m，工业场地与森林公园最近距离约55m，不在森林公园红线范围内。</w:t>
      </w:r>
    </w:p>
    <w:p>
      <w:pPr>
        <w:pStyle w:val="5"/>
        <w:rPr>
          <w:color w:val="auto"/>
        </w:rPr>
      </w:pPr>
      <w:r>
        <w:rPr>
          <w:color w:val="auto"/>
        </w:rPr>
        <w:t>4.2.3生态系统现状调查</w:t>
      </w:r>
    </w:p>
    <w:p>
      <w:pPr>
        <w:pStyle w:val="6"/>
        <w:numPr>
          <w:ilvl w:val="0"/>
          <w:numId w:val="0"/>
        </w:numPr>
        <w:spacing w:line="360" w:lineRule="auto"/>
      </w:pPr>
      <w:r>
        <w:rPr>
          <w:bCs w:val="0"/>
        </w:rPr>
        <w:t>4.2.3.1评价区生态系统类型</w:t>
      </w:r>
    </w:p>
    <w:p>
      <w:pPr>
        <w:ind w:firstLine="480"/>
        <w:jc w:val="both"/>
        <w:rPr>
          <w:bCs/>
          <w:sz w:val="24"/>
          <w:lang w:bidi="en-US"/>
        </w:rPr>
      </w:pPr>
      <w:r>
        <w:rPr>
          <w:bCs/>
          <w:sz w:val="24"/>
          <w:lang w:bidi="en-US"/>
        </w:rPr>
        <w:t>根据现状调查，评价区生态系统类型包括森林生态系统、灌丛生态系统、草丛生态系统、村庄及道路系统、水域及水利设施用地系统。</w:t>
      </w:r>
    </w:p>
    <w:p>
      <w:pPr>
        <w:ind w:firstLine="480"/>
        <w:jc w:val="both"/>
        <w:rPr>
          <w:bCs/>
          <w:sz w:val="24"/>
          <w:lang w:bidi="en-US"/>
        </w:rPr>
      </w:pPr>
      <w:r>
        <w:rPr>
          <w:bCs/>
          <w:sz w:val="24"/>
          <w:lang w:bidi="en-US"/>
        </w:rPr>
        <w:t>（1）森林生态系统</w:t>
      </w:r>
    </w:p>
    <w:p>
      <w:pPr>
        <w:ind w:firstLine="480"/>
        <w:jc w:val="both"/>
        <w:rPr>
          <w:bCs/>
          <w:sz w:val="24"/>
          <w:lang w:bidi="en-US"/>
        </w:rPr>
      </w:pPr>
      <w:r>
        <w:rPr>
          <w:bCs/>
          <w:sz w:val="24"/>
          <w:lang w:bidi="en-US"/>
        </w:rPr>
        <w:t>森林生态系统由森林中的土壤、水、空气、阳光、微生物、植物、动物等共同组成，是陆地上生物总量最高的生态系统，对陆地生态环境有决定性影响。其主要特点是动植物种类繁多，群落的结构复杂，种群密度和群落结构能够长期处于较稳定状态。森林生态系统是人类的资源宝库，不仅能够为人类提供大量的木材和林副业产品，而且在维持生物圈稳定、改善生态环境等方面也起着重要作用，同时还具有潜在的生态效益，它能调节生物圈中O</w:t>
      </w:r>
      <w:r>
        <w:rPr>
          <w:bCs/>
          <w:sz w:val="24"/>
          <w:vertAlign w:val="subscript"/>
          <w:lang w:bidi="en-US"/>
        </w:rPr>
        <w:t>2</w:t>
      </w:r>
      <w:r>
        <w:rPr>
          <w:bCs/>
          <w:sz w:val="24"/>
          <w:lang w:bidi="en-US"/>
        </w:rPr>
        <w:t>与CO</w:t>
      </w:r>
      <w:r>
        <w:rPr>
          <w:bCs/>
          <w:sz w:val="24"/>
          <w:vertAlign w:val="subscript"/>
          <w:lang w:bidi="en-US"/>
        </w:rPr>
        <w:t>2</w:t>
      </w:r>
      <w:r>
        <w:rPr>
          <w:bCs/>
          <w:sz w:val="24"/>
          <w:lang w:bidi="en-US"/>
        </w:rPr>
        <w:t>平衡，改善生态环境；涵养水源、保持水土，有“绿色水库”之称。</w:t>
      </w:r>
    </w:p>
    <w:p>
      <w:pPr>
        <w:spacing w:line="360" w:lineRule="auto"/>
        <w:ind w:firstLine="480"/>
        <w:jc w:val="both"/>
        <w:rPr>
          <w:bCs/>
          <w:sz w:val="24"/>
          <w:lang w:bidi="en-US"/>
        </w:rPr>
      </w:pPr>
      <w:r>
        <w:rPr>
          <w:bCs/>
          <w:sz w:val="24"/>
          <w:lang w:bidi="en-US"/>
        </w:rPr>
        <w:t>评价区位于四川盆地和盆边山地过渡地带，森林资源丰富。由于生产力主要由森林组成，森林对于生态系统的水、氮、钙、磷等物质循环也有十分重要的意义，因此无论是从面积大小看，还是从生态系统的能量流动和物质循环功能看，森林生态系统都是评价区最重要的生态系统。</w:t>
      </w:r>
    </w:p>
    <w:p>
      <w:pPr>
        <w:spacing w:line="360" w:lineRule="auto"/>
        <w:ind w:firstLine="480"/>
        <w:jc w:val="both"/>
        <w:rPr>
          <w:bCs/>
          <w:sz w:val="24"/>
          <w:lang w:bidi="en-US"/>
        </w:rPr>
      </w:pPr>
      <w:r>
        <w:rPr>
          <w:bCs/>
          <w:sz w:val="24"/>
          <w:lang w:bidi="en-US"/>
        </w:rPr>
        <w:t>（2）灌丛生态系统</w:t>
      </w:r>
    </w:p>
    <w:p>
      <w:pPr>
        <w:spacing w:line="360" w:lineRule="auto"/>
        <w:ind w:firstLine="480"/>
        <w:jc w:val="both"/>
        <w:rPr>
          <w:bCs/>
          <w:sz w:val="24"/>
          <w:szCs w:val="24"/>
          <w:lang w:bidi="en-US"/>
        </w:rPr>
      </w:pPr>
      <w:r>
        <w:rPr>
          <w:bCs/>
          <w:sz w:val="24"/>
          <w:lang w:bidi="en-US"/>
        </w:rPr>
        <w:t>评价区内灌木、草本种类多，覆盖度较高。灌丛生态中野生动物活动很少</w:t>
      </w:r>
      <w:r>
        <w:rPr>
          <w:bCs/>
          <w:sz w:val="24"/>
          <w:szCs w:val="24"/>
          <w:lang w:bidi="en-US"/>
        </w:rPr>
        <w:t>，主要为常见的鸟类以及爬行类动物。高覆盖率的灌草丛在物质循环、能量转换、水土保持方面起到了重要的生态效益。</w:t>
      </w:r>
    </w:p>
    <w:p>
      <w:pPr>
        <w:spacing w:line="360" w:lineRule="auto"/>
        <w:ind w:firstLine="480"/>
        <w:jc w:val="both"/>
        <w:rPr>
          <w:bCs/>
          <w:sz w:val="24"/>
          <w:szCs w:val="24"/>
          <w:lang w:bidi="en-US"/>
        </w:rPr>
      </w:pPr>
      <w:r>
        <w:rPr>
          <w:bCs/>
          <w:sz w:val="24"/>
          <w:szCs w:val="24"/>
          <w:lang w:bidi="en-US"/>
        </w:rPr>
        <w:t>（3）草地生态系统</w:t>
      </w:r>
    </w:p>
    <w:p>
      <w:pPr>
        <w:spacing w:line="360" w:lineRule="auto"/>
        <w:ind w:firstLine="480"/>
        <w:jc w:val="both"/>
        <w:rPr>
          <w:bCs/>
          <w:sz w:val="24"/>
          <w:szCs w:val="24"/>
          <w:lang w:bidi="en-US"/>
        </w:rPr>
      </w:pPr>
      <w:r>
        <w:rPr>
          <w:bCs/>
          <w:sz w:val="24"/>
          <w:szCs w:val="24"/>
          <w:lang w:bidi="en-US"/>
        </w:rPr>
        <w:t>评价区草地生态系统主要为山地草丛，零星分布于田间路头、荒野山坡以及退耕地。草地生态系统主要生态功能为水土保持。</w:t>
      </w:r>
    </w:p>
    <w:p>
      <w:pPr>
        <w:spacing w:line="360" w:lineRule="auto"/>
        <w:ind w:firstLine="480"/>
        <w:jc w:val="both"/>
        <w:rPr>
          <w:bCs/>
          <w:sz w:val="24"/>
          <w:szCs w:val="24"/>
          <w:lang w:bidi="en-US"/>
        </w:rPr>
      </w:pPr>
      <w:r>
        <w:rPr>
          <w:bCs/>
          <w:sz w:val="24"/>
          <w:szCs w:val="24"/>
          <w:lang w:bidi="en-US"/>
        </w:rPr>
        <w:t>（4）交通道路生态系统</w:t>
      </w:r>
    </w:p>
    <w:p>
      <w:pPr>
        <w:spacing w:line="360" w:lineRule="auto"/>
        <w:ind w:firstLine="480"/>
        <w:jc w:val="both"/>
        <w:rPr>
          <w:bCs/>
          <w:sz w:val="24"/>
          <w:szCs w:val="24"/>
          <w:lang w:bidi="en-US"/>
        </w:rPr>
      </w:pPr>
      <w:r>
        <w:rPr>
          <w:bCs/>
          <w:sz w:val="24"/>
          <w:szCs w:val="24"/>
          <w:lang w:bidi="en-US"/>
        </w:rPr>
        <w:t>交通道路生态系统是一个人工生态系统，交通流量及人类活密集活动区域，受人为干预大。</w:t>
      </w:r>
    </w:p>
    <w:p>
      <w:pPr>
        <w:spacing w:line="360" w:lineRule="auto"/>
        <w:ind w:firstLine="480"/>
        <w:jc w:val="both"/>
        <w:rPr>
          <w:bCs/>
          <w:sz w:val="24"/>
          <w:szCs w:val="24"/>
          <w:lang w:bidi="en-US"/>
        </w:rPr>
      </w:pPr>
      <w:r>
        <w:rPr>
          <w:bCs/>
          <w:sz w:val="24"/>
          <w:szCs w:val="24"/>
          <w:lang w:bidi="en-US"/>
        </w:rPr>
        <w:t>（5）农田生态系统</w:t>
      </w:r>
    </w:p>
    <w:p>
      <w:pPr>
        <w:spacing w:line="360" w:lineRule="auto"/>
        <w:ind w:firstLine="480"/>
        <w:jc w:val="both"/>
        <w:rPr>
          <w:bCs/>
          <w:sz w:val="24"/>
          <w:szCs w:val="24"/>
          <w:lang w:bidi="en-US"/>
        </w:rPr>
      </w:pPr>
      <w:r>
        <w:rPr>
          <w:bCs/>
          <w:sz w:val="24"/>
          <w:szCs w:val="24"/>
          <w:lang w:bidi="en-US"/>
        </w:rPr>
        <w:t>农田生态系统是以作物为中心的农田中，生物群落与其生态环境间在能量和物质交换及其相互作用上所构成的一种生态系统。与陆地自然生态系统的主要区别是：系统中的生物群落结构较简单，优势群落往往只有一种或数种作物；伴生生物为杂草、昆虫、土壤微生物、鼠、鸟及少量其他小动物；大部分经济产品随收获而移出系统，留给残渣食物链的较少；养分循环主要靠系统外投入而保持平衡。农田生态系统的稳定有赖于一系列耕作栽培的人工措施，在相似的自然条件下，土地生产力远高于自然生态系统。</w:t>
      </w:r>
    </w:p>
    <w:p>
      <w:pPr>
        <w:ind w:firstLine="480"/>
        <w:jc w:val="both"/>
        <w:rPr>
          <w:bCs/>
          <w:sz w:val="24"/>
          <w:lang w:bidi="en-US"/>
        </w:rPr>
      </w:pPr>
      <w:r>
        <w:rPr>
          <w:bCs/>
          <w:sz w:val="24"/>
          <w:lang w:bidi="en-US"/>
        </w:rPr>
        <w:t>（6）其他土地生态系统</w:t>
      </w:r>
    </w:p>
    <w:p>
      <w:pPr>
        <w:ind w:firstLine="480"/>
        <w:jc w:val="both"/>
        <w:rPr>
          <w:bCs/>
          <w:sz w:val="24"/>
          <w:lang w:bidi="en-US"/>
        </w:rPr>
      </w:pPr>
      <w:r>
        <w:rPr>
          <w:bCs/>
          <w:sz w:val="24"/>
          <w:lang w:bidi="en-US"/>
        </w:rPr>
        <w:t>其他土地生态系统是除上述系统以外的其他类型的土地，比如宅基地、空地、工矿区等。评价区生态系统特征见下表。</w:t>
      </w:r>
    </w:p>
    <w:p>
      <w:pPr>
        <w:pStyle w:val="84"/>
      </w:pPr>
      <w:r>
        <w:t>表4.2-1 评价范围生态系统类型及特征</w:t>
      </w:r>
    </w:p>
    <w:tbl>
      <w:tblPr>
        <w:tblStyle w:val="88"/>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09"/>
        <w:gridCol w:w="5955"/>
        <w:gridCol w:w="152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blHeader/>
        </w:trPr>
        <w:tc>
          <w:tcPr>
            <w:tcW w:w="97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生态系统类型</w:t>
            </w:r>
          </w:p>
        </w:tc>
        <w:tc>
          <w:tcPr>
            <w:tcW w:w="320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主要植物或特征</w:t>
            </w:r>
          </w:p>
        </w:tc>
        <w:tc>
          <w:tcPr>
            <w:tcW w:w="82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分布地形</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74" w:type="pct"/>
            <w:shd w:val="clear" w:color="auto" w:fill="auto"/>
            <w:vAlign w:val="center"/>
          </w:tcPr>
          <w:p>
            <w:pPr>
              <w:spacing w:line="240" w:lineRule="auto"/>
              <w:ind w:firstLine="0" w:firstLineChars="0"/>
              <w:jc w:val="center"/>
              <w:rPr>
                <w:sz w:val="21"/>
                <w:szCs w:val="21"/>
              </w:rPr>
            </w:pPr>
            <w:r>
              <w:rPr>
                <w:sz w:val="21"/>
                <w:szCs w:val="21"/>
              </w:rPr>
              <w:t>森林生态系统</w:t>
            </w:r>
          </w:p>
        </w:tc>
        <w:tc>
          <w:tcPr>
            <w:tcW w:w="3206" w:type="pct"/>
            <w:shd w:val="clear" w:color="auto" w:fill="auto"/>
            <w:vAlign w:val="center"/>
          </w:tcPr>
          <w:p>
            <w:pPr>
              <w:spacing w:line="240" w:lineRule="auto"/>
              <w:ind w:firstLine="0" w:firstLineChars="0"/>
              <w:jc w:val="center"/>
              <w:rPr>
                <w:sz w:val="21"/>
                <w:szCs w:val="21"/>
              </w:rPr>
            </w:pPr>
            <w:r>
              <w:rPr>
                <w:sz w:val="21"/>
                <w:szCs w:val="21"/>
              </w:rPr>
              <w:t>乔木林地以竹、栎、枫杨、牛鼻栓等为优势种</w:t>
            </w:r>
          </w:p>
        </w:tc>
        <w:tc>
          <w:tcPr>
            <w:tcW w:w="820" w:type="pct"/>
            <w:shd w:val="clear" w:color="auto" w:fill="auto"/>
            <w:vAlign w:val="center"/>
          </w:tcPr>
          <w:p>
            <w:pPr>
              <w:spacing w:line="240" w:lineRule="auto"/>
              <w:ind w:firstLine="0" w:firstLineChars="0"/>
              <w:jc w:val="center"/>
              <w:rPr>
                <w:sz w:val="21"/>
                <w:szCs w:val="21"/>
              </w:rPr>
            </w:pPr>
            <w:r>
              <w:rPr>
                <w:sz w:val="21"/>
                <w:szCs w:val="21"/>
              </w:rPr>
              <w:t>丘陵、山地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74" w:type="pct"/>
            <w:shd w:val="clear" w:color="auto" w:fill="auto"/>
            <w:vAlign w:val="center"/>
          </w:tcPr>
          <w:p>
            <w:pPr>
              <w:spacing w:line="240" w:lineRule="auto"/>
              <w:ind w:firstLine="0" w:firstLineChars="0"/>
              <w:jc w:val="center"/>
              <w:rPr>
                <w:sz w:val="21"/>
                <w:szCs w:val="21"/>
              </w:rPr>
            </w:pPr>
            <w:r>
              <w:rPr>
                <w:sz w:val="21"/>
                <w:szCs w:val="21"/>
              </w:rPr>
              <w:t>灌从生态系统</w:t>
            </w:r>
          </w:p>
        </w:tc>
        <w:tc>
          <w:tcPr>
            <w:tcW w:w="3206" w:type="pct"/>
            <w:shd w:val="clear" w:color="auto" w:fill="auto"/>
            <w:vAlign w:val="center"/>
          </w:tcPr>
          <w:p>
            <w:pPr>
              <w:spacing w:line="240" w:lineRule="auto"/>
              <w:ind w:firstLine="0" w:firstLineChars="0"/>
              <w:jc w:val="center"/>
              <w:rPr>
                <w:sz w:val="21"/>
                <w:szCs w:val="21"/>
              </w:rPr>
            </w:pPr>
            <w:r>
              <w:rPr>
                <w:sz w:val="21"/>
                <w:szCs w:val="21"/>
              </w:rPr>
              <w:t>灌木丛以紫麻、牡荆、火棘、洋金凤、插田泡等为优势种；</w:t>
            </w:r>
          </w:p>
        </w:tc>
        <w:tc>
          <w:tcPr>
            <w:tcW w:w="820" w:type="pct"/>
            <w:shd w:val="clear" w:color="auto" w:fill="auto"/>
            <w:vAlign w:val="center"/>
          </w:tcPr>
          <w:p>
            <w:pPr>
              <w:spacing w:line="240" w:lineRule="auto"/>
              <w:ind w:firstLine="0" w:firstLineChars="0"/>
              <w:jc w:val="center"/>
              <w:rPr>
                <w:sz w:val="21"/>
                <w:szCs w:val="21"/>
              </w:rPr>
            </w:pPr>
            <w:r>
              <w:rPr>
                <w:sz w:val="21"/>
                <w:szCs w:val="21"/>
              </w:rPr>
              <w:t>丘陵、林缘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74" w:type="pct"/>
            <w:shd w:val="clear" w:color="auto" w:fill="auto"/>
            <w:vAlign w:val="center"/>
          </w:tcPr>
          <w:p>
            <w:pPr>
              <w:spacing w:line="240" w:lineRule="auto"/>
              <w:ind w:firstLine="0" w:firstLineChars="0"/>
              <w:jc w:val="center"/>
              <w:rPr>
                <w:sz w:val="21"/>
                <w:szCs w:val="21"/>
              </w:rPr>
            </w:pPr>
            <w:r>
              <w:rPr>
                <w:sz w:val="21"/>
                <w:szCs w:val="21"/>
              </w:rPr>
              <w:t>草从生态系统</w:t>
            </w:r>
          </w:p>
        </w:tc>
        <w:tc>
          <w:tcPr>
            <w:tcW w:w="3206" w:type="pct"/>
            <w:shd w:val="clear" w:color="auto" w:fill="auto"/>
            <w:vAlign w:val="center"/>
          </w:tcPr>
          <w:p>
            <w:pPr>
              <w:spacing w:line="240" w:lineRule="auto"/>
              <w:ind w:firstLine="0" w:firstLineChars="0"/>
              <w:jc w:val="center"/>
              <w:rPr>
                <w:sz w:val="21"/>
                <w:szCs w:val="21"/>
              </w:rPr>
            </w:pPr>
            <w:r>
              <w:rPr>
                <w:sz w:val="21"/>
                <w:szCs w:val="21"/>
              </w:rPr>
              <w:t>草丛以白茅、地果、阴行草、凹叶景天、垂序商陆、莲子草、卷柏、乌蔹莓、凤尾蕨、狗尾草、葛、艾、赤爮等</w:t>
            </w:r>
          </w:p>
        </w:tc>
        <w:tc>
          <w:tcPr>
            <w:tcW w:w="820" w:type="pct"/>
            <w:shd w:val="clear" w:color="auto" w:fill="auto"/>
            <w:vAlign w:val="center"/>
          </w:tcPr>
          <w:p>
            <w:pPr>
              <w:spacing w:line="240" w:lineRule="auto"/>
              <w:ind w:firstLine="0" w:firstLineChars="0"/>
              <w:jc w:val="center"/>
              <w:rPr>
                <w:sz w:val="21"/>
                <w:szCs w:val="21"/>
              </w:rPr>
            </w:pPr>
            <w:r>
              <w:rPr>
                <w:sz w:val="21"/>
                <w:szCs w:val="21"/>
              </w:rPr>
              <w:t>丘陵、山地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74" w:type="pct"/>
            <w:shd w:val="clear" w:color="auto" w:fill="auto"/>
            <w:vAlign w:val="center"/>
          </w:tcPr>
          <w:p>
            <w:pPr>
              <w:spacing w:line="240" w:lineRule="auto"/>
              <w:ind w:firstLine="0" w:firstLineChars="0"/>
              <w:jc w:val="center"/>
              <w:rPr>
                <w:sz w:val="21"/>
                <w:szCs w:val="21"/>
              </w:rPr>
            </w:pPr>
            <w:r>
              <w:rPr>
                <w:sz w:val="21"/>
                <w:szCs w:val="21"/>
              </w:rPr>
              <w:t>农田生态系统</w:t>
            </w:r>
          </w:p>
        </w:tc>
        <w:tc>
          <w:tcPr>
            <w:tcW w:w="3206" w:type="pct"/>
            <w:shd w:val="clear" w:color="auto" w:fill="auto"/>
            <w:vAlign w:val="center"/>
          </w:tcPr>
          <w:p>
            <w:pPr>
              <w:spacing w:line="240" w:lineRule="auto"/>
              <w:ind w:firstLine="0" w:firstLineChars="0"/>
              <w:jc w:val="center"/>
              <w:rPr>
                <w:sz w:val="21"/>
                <w:szCs w:val="21"/>
              </w:rPr>
            </w:pPr>
            <w:r>
              <w:rPr>
                <w:sz w:val="21"/>
                <w:szCs w:val="21"/>
              </w:rPr>
              <w:t>玉米、大豆、番薯等农作物</w:t>
            </w:r>
          </w:p>
        </w:tc>
        <w:tc>
          <w:tcPr>
            <w:tcW w:w="820" w:type="pct"/>
            <w:shd w:val="clear" w:color="auto" w:fill="auto"/>
            <w:vAlign w:val="center"/>
          </w:tcPr>
          <w:p>
            <w:pPr>
              <w:spacing w:line="240" w:lineRule="auto"/>
              <w:ind w:firstLine="0" w:firstLineChars="0"/>
              <w:jc w:val="center"/>
              <w:rPr>
                <w:sz w:val="21"/>
                <w:szCs w:val="21"/>
              </w:rPr>
            </w:pPr>
            <w:r>
              <w:rPr>
                <w:sz w:val="21"/>
                <w:szCs w:val="21"/>
              </w:rPr>
              <w:t>丘陵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74" w:type="pct"/>
            <w:shd w:val="clear" w:color="auto" w:fill="auto"/>
            <w:vAlign w:val="center"/>
          </w:tcPr>
          <w:p>
            <w:pPr>
              <w:spacing w:line="240" w:lineRule="auto"/>
              <w:ind w:firstLine="0" w:firstLineChars="0"/>
              <w:jc w:val="center"/>
              <w:rPr>
                <w:sz w:val="21"/>
                <w:szCs w:val="21"/>
              </w:rPr>
            </w:pPr>
            <w:r>
              <w:rPr>
                <w:sz w:val="21"/>
                <w:szCs w:val="21"/>
              </w:rPr>
              <w:t>村庄及道路系统</w:t>
            </w:r>
          </w:p>
        </w:tc>
        <w:tc>
          <w:tcPr>
            <w:tcW w:w="3206" w:type="pct"/>
            <w:shd w:val="clear" w:color="auto" w:fill="auto"/>
            <w:vAlign w:val="center"/>
          </w:tcPr>
          <w:p>
            <w:pPr>
              <w:spacing w:line="240" w:lineRule="auto"/>
              <w:ind w:firstLine="0" w:firstLineChars="0"/>
              <w:jc w:val="center"/>
              <w:rPr>
                <w:sz w:val="21"/>
                <w:szCs w:val="21"/>
              </w:rPr>
            </w:pPr>
            <w:r>
              <w:rPr>
                <w:sz w:val="21"/>
                <w:szCs w:val="21"/>
              </w:rPr>
              <w:t>村庄、道路、工矿</w:t>
            </w:r>
          </w:p>
        </w:tc>
        <w:tc>
          <w:tcPr>
            <w:tcW w:w="820" w:type="pct"/>
            <w:shd w:val="clear" w:color="auto" w:fill="auto"/>
            <w:vAlign w:val="center"/>
          </w:tcPr>
          <w:p>
            <w:pPr>
              <w:spacing w:line="240" w:lineRule="auto"/>
              <w:ind w:firstLine="0" w:firstLineChars="0"/>
              <w:jc w:val="center"/>
              <w:rPr>
                <w:sz w:val="21"/>
                <w:szCs w:val="21"/>
              </w:rPr>
            </w:pPr>
            <w:r>
              <w:rPr>
                <w:sz w:val="21"/>
                <w:szCs w:val="21"/>
              </w:rPr>
              <w:t>丘陵、山地</w:t>
            </w:r>
          </w:p>
        </w:tc>
      </w:tr>
    </w:tbl>
    <w:p>
      <w:pPr>
        <w:ind w:firstLine="480"/>
        <w:jc w:val="both"/>
        <w:rPr>
          <w:bCs/>
          <w:sz w:val="24"/>
          <w:lang w:bidi="en-US"/>
        </w:rPr>
      </w:pPr>
      <w:r>
        <w:rPr>
          <w:bCs/>
          <w:sz w:val="24"/>
          <w:lang w:bidi="en-US"/>
        </w:rPr>
        <w:t>总体上看，评价区具有生态系统类型多样、复杂的特点，其中森林生态系统、灌丛生态系统所占比例较高，草地生态系统、农田生态系统次之，村庄道路生态系统分布较少。</w:t>
      </w:r>
    </w:p>
    <w:p>
      <w:pPr>
        <w:widowControl/>
        <w:tabs>
          <w:tab w:val="left" w:pos="0"/>
        </w:tabs>
        <w:spacing w:before="144" w:beforeLines="60" w:after="144" w:afterLines="60" w:line="460" w:lineRule="exact"/>
        <w:ind w:firstLine="0" w:firstLineChars="0"/>
        <w:jc w:val="both"/>
        <w:outlineLvl w:val="3"/>
        <w:rPr>
          <w:b/>
          <w:bCs/>
          <w:snapToGrid w:val="0"/>
          <w:szCs w:val="28"/>
          <w:lang w:bidi="en-US"/>
        </w:rPr>
      </w:pPr>
      <w:r>
        <w:rPr>
          <w:b/>
          <w:bCs/>
          <w:snapToGrid w:val="0"/>
          <w:szCs w:val="28"/>
          <w:lang w:bidi="en-US"/>
        </w:rPr>
        <w:t>4.2.3.2评价土地利用现状</w:t>
      </w:r>
    </w:p>
    <w:p>
      <w:pPr>
        <w:ind w:firstLine="480"/>
        <w:jc w:val="both"/>
        <w:rPr>
          <w:bCs/>
          <w:sz w:val="24"/>
          <w:lang w:bidi="en-US"/>
        </w:rPr>
      </w:pPr>
      <w:r>
        <w:rPr>
          <w:bCs/>
          <w:sz w:val="24"/>
          <w:lang w:bidi="en-US"/>
        </w:rPr>
        <w:t>根据《土地利用现状分类》（GB/T21010-2017），通过对本工程沿线评价范围土地利用类型遥感信息解译，结合现场实地调查以及本项目特点，将评价范围土地利用类型统计分为01-耕地（水田、旱地）、03-林地（乔木林地、竹林地、灌木林地）、06-工矿仓储用地（采矿用地、仓储用地）、07-住宅用地（农村宅基地）、10-交通运输用地（公路用地）、11-水域及水利设施用地（坑塘水面）。</w:t>
      </w:r>
    </w:p>
    <w:p>
      <w:pPr>
        <w:ind w:firstLine="480"/>
        <w:jc w:val="both"/>
        <w:rPr>
          <w:bCs/>
          <w:sz w:val="24"/>
          <w:lang w:bidi="en-US"/>
        </w:rPr>
      </w:pPr>
      <w:r>
        <w:rPr>
          <w:bCs/>
          <w:sz w:val="24"/>
          <w:lang w:bidi="en-US"/>
        </w:rPr>
        <w:t>根据现场调查结果及《土地利用现状分类》（GB/T21010-2017），将本项目占地内的土地利用情况划分为旱地、林地、草地等。本项目用地范围内土地利用现状见下表及图。</w:t>
      </w:r>
    </w:p>
    <w:p>
      <w:pPr>
        <w:pStyle w:val="84"/>
      </w:pPr>
      <w:r>
        <w:t>表4.2-2 评价区土地利用现状统计表</w:t>
      </w:r>
    </w:p>
    <w:tbl>
      <w:tblPr>
        <w:tblStyle w:val="88"/>
        <w:tblpPr w:leftFromText="180" w:rightFromText="180" w:vertAnchor="text" w:horzAnchor="margin" w:tblpXSpec="center" w:tblpY="22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526"/>
        <w:gridCol w:w="2299"/>
        <w:gridCol w:w="1662"/>
        <w:gridCol w:w="1360"/>
        <w:gridCol w:w="144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64" w:hRule="atLeast"/>
        </w:trPr>
        <w:tc>
          <w:tcPr>
            <w:tcW w:w="2598" w:type="pct"/>
            <w:gridSpan w:val="2"/>
            <w:shd w:val="clear" w:color="auto" w:fill="D8D8D8" w:themeFill="background1" w:themeFillShade="D9"/>
            <w:noWrap/>
            <w:vAlign w:val="center"/>
          </w:tcPr>
          <w:p>
            <w:pPr>
              <w:widowControl/>
              <w:spacing w:line="240" w:lineRule="auto"/>
              <w:ind w:firstLine="0" w:firstLineChars="0"/>
              <w:jc w:val="center"/>
              <w:rPr>
                <w:b/>
                <w:bCs/>
                <w:kern w:val="0"/>
                <w:sz w:val="21"/>
                <w:szCs w:val="21"/>
              </w:rPr>
            </w:pPr>
            <w:r>
              <w:rPr>
                <w:b/>
                <w:bCs/>
                <w:kern w:val="0"/>
                <w:sz w:val="21"/>
                <w:szCs w:val="21"/>
              </w:rPr>
              <w:t>土地利用分类</w:t>
            </w:r>
          </w:p>
        </w:tc>
        <w:tc>
          <w:tcPr>
            <w:tcW w:w="895" w:type="pct"/>
            <w:vMerge w:val="restart"/>
            <w:shd w:val="clear" w:color="auto" w:fill="D8D8D8" w:themeFill="background1" w:themeFillShade="D9"/>
            <w:noWrap/>
            <w:vAlign w:val="center"/>
          </w:tcPr>
          <w:p>
            <w:pPr>
              <w:spacing w:line="240" w:lineRule="auto"/>
              <w:ind w:firstLine="0" w:firstLineChars="0"/>
              <w:jc w:val="center"/>
              <w:rPr>
                <w:b/>
                <w:bCs/>
                <w:kern w:val="0"/>
                <w:sz w:val="21"/>
                <w:szCs w:val="21"/>
              </w:rPr>
            </w:pPr>
            <w:r>
              <w:rPr>
                <w:b/>
                <w:bCs/>
                <w:kern w:val="0"/>
                <w:sz w:val="21"/>
                <w:szCs w:val="21"/>
              </w:rPr>
              <w:t>面积（公顷）</w:t>
            </w:r>
          </w:p>
        </w:tc>
        <w:tc>
          <w:tcPr>
            <w:tcW w:w="732" w:type="pct"/>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占比（%）</w:t>
            </w:r>
          </w:p>
        </w:tc>
        <w:tc>
          <w:tcPr>
            <w:tcW w:w="775" w:type="pct"/>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斑块数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9" w:hRule="atLeast"/>
        </w:trPr>
        <w:tc>
          <w:tcPr>
            <w:tcW w:w="1360" w:type="pct"/>
            <w:shd w:val="clear" w:color="auto" w:fill="D8D8D8" w:themeFill="background1" w:themeFillShade="D9"/>
            <w:noWrap/>
            <w:vAlign w:val="center"/>
          </w:tcPr>
          <w:p>
            <w:pPr>
              <w:widowControl/>
              <w:spacing w:line="240" w:lineRule="auto"/>
              <w:ind w:firstLine="0" w:firstLineChars="0"/>
              <w:jc w:val="center"/>
              <w:rPr>
                <w:b/>
                <w:bCs/>
                <w:kern w:val="0"/>
                <w:sz w:val="21"/>
                <w:szCs w:val="21"/>
              </w:rPr>
            </w:pPr>
            <w:r>
              <w:rPr>
                <w:b/>
                <w:bCs/>
                <w:kern w:val="0"/>
                <w:sz w:val="21"/>
                <w:szCs w:val="21"/>
              </w:rPr>
              <w:t>一级类</w:t>
            </w:r>
          </w:p>
        </w:tc>
        <w:tc>
          <w:tcPr>
            <w:tcW w:w="1238" w:type="pct"/>
            <w:shd w:val="clear" w:color="auto" w:fill="D8D8D8" w:themeFill="background1" w:themeFillShade="D9"/>
            <w:noWrap/>
            <w:vAlign w:val="center"/>
          </w:tcPr>
          <w:p>
            <w:pPr>
              <w:widowControl/>
              <w:spacing w:line="240" w:lineRule="auto"/>
              <w:ind w:firstLine="0" w:firstLineChars="0"/>
              <w:jc w:val="center"/>
              <w:rPr>
                <w:b/>
                <w:bCs/>
                <w:kern w:val="0"/>
                <w:sz w:val="21"/>
                <w:szCs w:val="21"/>
              </w:rPr>
            </w:pPr>
            <w:r>
              <w:rPr>
                <w:b/>
                <w:bCs/>
                <w:kern w:val="0"/>
                <w:sz w:val="21"/>
                <w:szCs w:val="21"/>
              </w:rPr>
              <w:t>二级类</w:t>
            </w:r>
          </w:p>
        </w:tc>
        <w:tc>
          <w:tcPr>
            <w:tcW w:w="895" w:type="pct"/>
            <w:vMerge w:val="continue"/>
            <w:shd w:val="clear" w:color="auto" w:fill="D8D8D8" w:themeFill="background1" w:themeFillShade="D9"/>
            <w:vAlign w:val="center"/>
          </w:tcPr>
          <w:p>
            <w:pPr>
              <w:widowControl/>
              <w:spacing w:line="240" w:lineRule="auto"/>
              <w:ind w:firstLine="0" w:firstLineChars="0"/>
              <w:jc w:val="center"/>
              <w:rPr>
                <w:b/>
                <w:bCs/>
                <w:kern w:val="0"/>
                <w:sz w:val="21"/>
                <w:szCs w:val="21"/>
              </w:rPr>
            </w:pPr>
          </w:p>
        </w:tc>
        <w:tc>
          <w:tcPr>
            <w:tcW w:w="732" w:type="pct"/>
            <w:vMerge w:val="continue"/>
            <w:shd w:val="clear" w:color="auto" w:fill="D8D8D8" w:themeFill="background1" w:themeFillShade="D9"/>
            <w:vAlign w:val="center"/>
          </w:tcPr>
          <w:p>
            <w:pPr>
              <w:widowControl/>
              <w:spacing w:line="240" w:lineRule="auto"/>
              <w:ind w:firstLine="0" w:firstLineChars="0"/>
              <w:jc w:val="center"/>
              <w:rPr>
                <w:b/>
                <w:bCs/>
                <w:kern w:val="0"/>
                <w:sz w:val="21"/>
                <w:szCs w:val="21"/>
              </w:rPr>
            </w:pPr>
          </w:p>
        </w:tc>
        <w:tc>
          <w:tcPr>
            <w:tcW w:w="775" w:type="pct"/>
            <w:vMerge w:val="continue"/>
            <w:shd w:val="clear" w:color="auto" w:fill="D8D8D8" w:themeFill="background1" w:themeFillShade="D9"/>
            <w:vAlign w:val="center"/>
          </w:tcPr>
          <w:p>
            <w:pPr>
              <w:widowControl/>
              <w:spacing w:line="240" w:lineRule="auto"/>
              <w:ind w:firstLine="0" w:firstLineChars="0"/>
              <w:jc w:val="center"/>
              <w:rPr>
                <w:b/>
                <w:bCs/>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26" w:hRule="atLeast"/>
        </w:trPr>
        <w:tc>
          <w:tcPr>
            <w:tcW w:w="1360" w:type="pct"/>
            <w:tcBorders>
              <w:bottom w:val="single" w:color="auto" w:sz="4" w:space="0"/>
            </w:tcBorders>
            <w:shd w:val="clear" w:color="auto" w:fill="auto"/>
            <w:noWrap/>
            <w:vAlign w:val="center"/>
          </w:tcPr>
          <w:p>
            <w:pPr>
              <w:widowControl/>
              <w:spacing w:line="240" w:lineRule="auto"/>
              <w:ind w:firstLine="0" w:firstLineChars="0"/>
              <w:jc w:val="center"/>
              <w:rPr>
                <w:kern w:val="0"/>
                <w:sz w:val="21"/>
                <w:szCs w:val="21"/>
              </w:rPr>
            </w:pPr>
            <w:r>
              <w:rPr>
                <w:kern w:val="0"/>
                <w:sz w:val="21"/>
                <w:szCs w:val="21"/>
              </w:rPr>
              <w:t>01耕地</w:t>
            </w:r>
          </w:p>
        </w:tc>
        <w:tc>
          <w:tcPr>
            <w:tcW w:w="1238" w:type="pct"/>
            <w:tcBorders>
              <w:bottom w:val="single" w:color="auto" w:sz="4" w:space="0"/>
            </w:tcBorders>
            <w:shd w:val="clear" w:color="auto" w:fill="auto"/>
            <w:noWrap/>
            <w:vAlign w:val="center"/>
          </w:tcPr>
          <w:p>
            <w:pPr>
              <w:widowControl/>
              <w:spacing w:line="240" w:lineRule="auto"/>
              <w:ind w:firstLine="0" w:firstLineChars="0"/>
              <w:jc w:val="center"/>
              <w:rPr>
                <w:kern w:val="0"/>
                <w:sz w:val="21"/>
                <w:szCs w:val="21"/>
              </w:rPr>
            </w:pPr>
            <w:r>
              <w:rPr>
                <w:kern w:val="0"/>
                <w:sz w:val="21"/>
                <w:szCs w:val="21"/>
              </w:rPr>
              <w:t>0103旱地</w:t>
            </w:r>
          </w:p>
        </w:tc>
        <w:tc>
          <w:tcPr>
            <w:tcW w:w="895" w:type="pct"/>
            <w:tcBorders>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61.39</w:t>
            </w:r>
          </w:p>
        </w:tc>
        <w:tc>
          <w:tcPr>
            <w:tcW w:w="732" w:type="pct"/>
            <w:tcBorders>
              <w:bottom w:val="single" w:color="auto" w:sz="4" w:space="0"/>
            </w:tcBorders>
            <w:vAlign w:val="bottom"/>
          </w:tcPr>
          <w:p>
            <w:pPr>
              <w:spacing w:line="240" w:lineRule="auto"/>
              <w:ind w:firstLine="0" w:firstLineChars="0"/>
              <w:jc w:val="center"/>
              <w:rPr>
                <w:kern w:val="0"/>
                <w:sz w:val="21"/>
                <w:szCs w:val="21"/>
              </w:rPr>
            </w:pPr>
            <w:r>
              <w:rPr>
                <w:kern w:val="0"/>
                <w:sz w:val="21"/>
                <w:szCs w:val="21"/>
              </w:rPr>
              <w:t>24.81</w:t>
            </w:r>
          </w:p>
        </w:tc>
        <w:tc>
          <w:tcPr>
            <w:tcW w:w="775" w:type="pct"/>
            <w:tcBorders>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73" w:hRule="atLeast"/>
        </w:trPr>
        <w:tc>
          <w:tcPr>
            <w:tcW w:w="1360" w:type="pct"/>
            <w:vMerge w:val="restart"/>
            <w:shd w:val="clear" w:color="auto" w:fill="auto"/>
            <w:noWrap/>
            <w:vAlign w:val="center"/>
          </w:tcPr>
          <w:p>
            <w:pPr>
              <w:widowControl/>
              <w:spacing w:line="240" w:lineRule="auto"/>
              <w:ind w:firstLine="0" w:firstLineChars="0"/>
              <w:jc w:val="center"/>
              <w:rPr>
                <w:kern w:val="0"/>
                <w:sz w:val="21"/>
                <w:szCs w:val="21"/>
              </w:rPr>
            </w:pPr>
            <w:r>
              <w:rPr>
                <w:kern w:val="0"/>
                <w:sz w:val="21"/>
                <w:szCs w:val="21"/>
              </w:rPr>
              <w:t>03林地</w:t>
            </w:r>
          </w:p>
        </w:tc>
        <w:tc>
          <w:tcPr>
            <w:tcW w:w="1238" w:type="pct"/>
            <w:shd w:val="clear" w:color="auto" w:fill="auto"/>
            <w:noWrap/>
            <w:vAlign w:val="center"/>
          </w:tcPr>
          <w:p>
            <w:pPr>
              <w:widowControl/>
              <w:spacing w:line="240" w:lineRule="auto"/>
              <w:ind w:firstLine="0" w:firstLineChars="0"/>
              <w:jc w:val="center"/>
              <w:rPr>
                <w:kern w:val="0"/>
                <w:sz w:val="21"/>
                <w:szCs w:val="21"/>
              </w:rPr>
            </w:pPr>
            <w:r>
              <w:rPr>
                <w:kern w:val="0"/>
                <w:sz w:val="21"/>
                <w:szCs w:val="21"/>
              </w:rPr>
              <w:t>0301乔木林地</w:t>
            </w:r>
          </w:p>
        </w:tc>
        <w:tc>
          <w:tcPr>
            <w:tcW w:w="895" w:type="pct"/>
            <w:shd w:val="clear" w:color="auto" w:fill="auto"/>
            <w:noWrap/>
            <w:vAlign w:val="center"/>
          </w:tcPr>
          <w:p>
            <w:pPr>
              <w:spacing w:line="240" w:lineRule="auto"/>
              <w:ind w:firstLine="0" w:firstLineChars="0"/>
              <w:jc w:val="center"/>
              <w:rPr>
                <w:kern w:val="0"/>
                <w:sz w:val="21"/>
                <w:szCs w:val="21"/>
              </w:rPr>
            </w:pPr>
            <w:r>
              <w:rPr>
                <w:kern w:val="0"/>
                <w:sz w:val="21"/>
                <w:szCs w:val="21"/>
              </w:rPr>
              <w:t>62.05</w:t>
            </w:r>
          </w:p>
        </w:tc>
        <w:tc>
          <w:tcPr>
            <w:tcW w:w="732" w:type="pct"/>
            <w:vAlign w:val="bottom"/>
          </w:tcPr>
          <w:p>
            <w:pPr>
              <w:spacing w:line="240" w:lineRule="auto"/>
              <w:ind w:firstLine="0" w:firstLineChars="0"/>
              <w:jc w:val="center"/>
              <w:rPr>
                <w:kern w:val="0"/>
                <w:sz w:val="21"/>
                <w:szCs w:val="21"/>
              </w:rPr>
            </w:pPr>
            <w:r>
              <w:rPr>
                <w:kern w:val="0"/>
                <w:sz w:val="21"/>
                <w:szCs w:val="21"/>
              </w:rPr>
              <w:t>25.08</w:t>
            </w:r>
          </w:p>
        </w:tc>
        <w:tc>
          <w:tcPr>
            <w:tcW w:w="775" w:type="pct"/>
            <w:shd w:val="clear" w:color="auto" w:fill="auto"/>
            <w:noWrap/>
            <w:vAlign w:val="center"/>
          </w:tcPr>
          <w:p>
            <w:pPr>
              <w:spacing w:line="240" w:lineRule="auto"/>
              <w:ind w:firstLine="0" w:firstLineChars="0"/>
              <w:jc w:val="center"/>
              <w:rPr>
                <w:kern w:val="0"/>
                <w:sz w:val="21"/>
                <w:szCs w:val="21"/>
              </w:rPr>
            </w:pPr>
            <w:r>
              <w:rPr>
                <w:kern w:val="0"/>
                <w:sz w:val="21"/>
                <w:szCs w:val="21"/>
              </w:rPr>
              <w:t>29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65" w:hRule="atLeast"/>
        </w:trPr>
        <w:tc>
          <w:tcPr>
            <w:tcW w:w="1360" w:type="pct"/>
            <w:vMerge w:val="continue"/>
            <w:vAlign w:val="center"/>
          </w:tcPr>
          <w:p>
            <w:pPr>
              <w:widowControl/>
              <w:spacing w:line="240" w:lineRule="auto"/>
              <w:ind w:firstLine="0" w:firstLineChars="0"/>
              <w:jc w:val="center"/>
              <w:rPr>
                <w:kern w:val="0"/>
                <w:sz w:val="21"/>
                <w:szCs w:val="21"/>
              </w:rPr>
            </w:pPr>
          </w:p>
        </w:tc>
        <w:tc>
          <w:tcPr>
            <w:tcW w:w="1238" w:type="pct"/>
            <w:tcBorders>
              <w:bottom w:val="single" w:color="auto" w:sz="4" w:space="0"/>
            </w:tcBorders>
            <w:shd w:val="clear" w:color="auto" w:fill="auto"/>
            <w:noWrap/>
            <w:vAlign w:val="center"/>
          </w:tcPr>
          <w:p>
            <w:pPr>
              <w:widowControl/>
              <w:spacing w:line="240" w:lineRule="auto"/>
              <w:ind w:firstLine="0" w:firstLineChars="0"/>
              <w:jc w:val="center"/>
              <w:rPr>
                <w:kern w:val="0"/>
                <w:sz w:val="21"/>
                <w:szCs w:val="21"/>
              </w:rPr>
            </w:pPr>
            <w:r>
              <w:rPr>
                <w:kern w:val="0"/>
                <w:sz w:val="21"/>
                <w:szCs w:val="21"/>
              </w:rPr>
              <w:t>0302竹林地</w:t>
            </w:r>
          </w:p>
        </w:tc>
        <w:tc>
          <w:tcPr>
            <w:tcW w:w="895" w:type="pct"/>
            <w:tcBorders>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94.18</w:t>
            </w:r>
          </w:p>
        </w:tc>
        <w:tc>
          <w:tcPr>
            <w:tcW w:w="732" w:type="pct"/>
            <w:tcBorders>
              <w:bottom w:val="single" w:color="auto" w:sz="4" w:space="0"/>
            </w:tcBorders>
            <w:vAlign w:val="bottom"/>
          </w:tcPr>
          <w:p>
            <w:pPr>
              <w:spacing w:line="240" w:lineRule="auto"/>
              <w:ind w:firstLine="0" w:firstLineChars="0"/>
              <w:jc w:val="center"/>
              <w:rPr>
                <w:kern w:val="0"/>
                <w:sz w:val="21"/>
                <w:szCs w:val="21"/>
              </w:rPr>
            </w:pPr>
            <w:r>
              <w:rPr>
                <w:kern w:val="0"/>
                <w:sz w:val="21"/>
                <w:szCs w:val="21"/>
              </w:rPr>
              <w:t>38.07</w:t>
            </w:r>
          </w:p>
        </w:tc>
        <w:tc>
          <w:tcPr>
            <w:tcW w:w="775" w:type="pct"/>
            <w:tcBorders>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48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59" w:hRule="atLeast"/>
        </w:trPr>
        <w:tc>
          <w:tcPr>
            <w:tcW w:w="1360" w:type="pct"/>
            <w:vMerge w:val="continue"/>
            <w:shd w:val="clear" w:color="auto" w:fill="auto"/>
            <w:noWrap/>
            <w:vAlign w:val="center"/>
          </w:tcPr>
          <w:p>
            <w:pPr>
              <w:widowControl/>
              <w:spacing w:line="240" w:lineRule="auto"/>
              <w:ind w:firstLine="0" w:firstLineChars="0"/>
              <w:jc w:val="center"/>
              <w:rPr>
                <w:kern w:val="0"/>
                <w:sz w:val="21"/>
                <w:szCs w:val="21"/>
              </w:rPr>
            </w:pPr>
          </w:p>
        </w:tc>
        <w:tc>
          <w:tcPr>
            <w:tcW w:w="1238" w:type="pct"/>
            <w:tcBorders>
              <w:top w:val="single" w:color="auto" w:sz="4" w:space="0"/>
            </w:tcBorders>
            <w:shd w:val="clear" w:color="auto" w:fill="auto"/>
            <w:noWrap/>
            <w:vAlign w:val="center"/>
          </w:tcPr>
          <w:p>
            <w:pPr>
              <w:widowControl/>
              <w:spacing w:line="240" w:lineRule="auto"/>
              <w:ind w:firstLine="0" w:firstLineChars="0"/>
              <w:jc w:val="center"/>
              <w:rPr>
                <w:kern w:val="0"/>
                <w:sz w:val="21"/>
                <w:szCs w:val="21"/>
              </w:rPr>
            </w:pPr>
            <w:r>
              <w:rPr>
                <w:kern w:val="0"/>
                <w:sz w:val="21"/>
                <w:szCs w:val="21"/>
              </w:rPr>
              <w:t>0305灌木林地</w:t>
            </w:r>
          </w:p>
        </w:tc>
        <w:tc>
          <w:tcPr>
            <w:tcW w:w="895" w:type="pct"/>
            <w:tcBorders>
              <w:top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4.21</w:t>
            </w:r>
          </w:p>
        </w:tc>
        <w:tc>
          <w:tcPr>
            <w:tcW w:w="732" w:type="pct"/>
            <w:tcBorders>
              <w:top w:val="single" w:color="auto" w:sz="4" w:space="0"/>
            </w:tcBorders>
            <w:vAlign w:val="bottom"/>
          </w:tcPr>
          <w:p>
            <w:pPr>
              <w:spacing w:line="240" w:lineRule="auto"/>
              <w:ind w:firstLine="0" w:firstLineChars="0"/>
              <w:jc w:val="center"/>
              <w:rPr>
                <w:kern w:val="0"/>
                <w:sz w:val="21"/>
                <w:szCs w:val="21"/>
              </w:rPr>
            </w:pPr>
            <w:r>
              <w:rPr>
                <w:kern w:val="0"/>
                <w:sz w:val="21"/>
                <w:szCs w:val="21"/>
              </w:rPr>
              <w:t>1.7</w:t>
            </w:r>
          </w:p>
        </w:tc>
        <w:tc>
          <w:tcPr>
            <w:tcW w:w="775" w:type="pct"/>
            <w:tcBorders>
              <w:top w:val="single" w:color="auto" w:sz="4" w:space="0"/>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59" w:hRule="atLeast"/>
        </w:trPr>
        <w:tc>
          <w:tcPr>
            <w:tcW w:w="1360" w:type="pct"/>
            <w:shd w:val="clear" w:color="auto" w:fill="auto"/>
            <w:noWrap/>
            <w:vAlign w:val="center"/>
          </w:tcPr>
          <w:p>
            <w:pPr>
              <w:widowControl/>
              <w:spacing w:line="240" w:lineRule="auto"/>
              <w:ind w:firstLine="0" w:firstLineChars="0"/>
              <w:jc w:val="center"/>
              <w:rPr>
                <w:kern w:val="0"/>
                <w:sz w:val="21"/>
                <w:szCs w:val="21"/>
              </w:rPr>
            </w:pPr>
            <w:r>
              <w:rPr>
                <w:kern w:val="0"/>
                <w:sz w:val="21"/>
                <w:szCs w:val="21"/>
              </w:rPr>
              <w:t>06工矿仓储用地</w:t>
            </w:r>
          </w:p>
        </w:tc>
        <w:tc>
          <w:tcPr>
            <w:tcW w:w="1238" w:type="pct"/>
            <w:tcBorders>
              <w:top w:val="single" w:color="auto" w:sz="4" w:space="0"/>
            </w:tcBorders>
            <w:shd w:val="clear" w:color="auto" w:fill="auto"/>
            <w:noWrap/>
            <w:vAlign w:val="center"/>
          </w:tcPr>
          <w:p>
            <w:pPr>
              <w:widowControl/>
              <w:spacing w:line="240" w:lineRule="auto"/>
              <w:ind w:firstLine="0" w:firstLineChars="0"/>
              <w:jc w:val="center"/>
              <w:rPr>
                <w:kern w:val="0"/>
                <w:sz w:val="21"/>
                <w:szCs w:val="21"/>
              </w:rPr>
            </w:pPr>
            <w:r>
              <w:rPr>
                <w:kern w:val="0"/>
                <w:sz w:val="21"/>
                <w:szCs w:val="21"/>
              </w:rPr>
              <w:t>0602采矿用地</w:t>
            </w:r>
          </w:p>
        </w:tc>
        <w:tc>
          <w:tcPr>
            <w:tcW w:w="895" w:type="pct"/>
            <w:tcBorders>
              <w:top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14.59</w:t>
            </w:r>
          </w:p>
        </w:tc>
        <w:tc>
          <w:tcPr>
            <w:tcW w:w="732" w:type="pct"/>
            <w:tcBorders>
              <w:top w:val="single" w:color="auto" w:sz="4" w:space="0"/>
            </w:tcBorders>
            <w:vAlign w:val="bottom"/>
          </w:tcPr>
          <w:p>
            <w:pPr>
              <w:spacing w:line="240" w:lineRule="auto"/>
              <w:ind w:firstLine="0" w:firstLineChars="0"/>
              <w:jc w:val="center"/>
              <w:rPr>
                <w:kern w:val="0"/>
                <w:sz w:val="21"/>
                <w:szCs w:val="21"/>
              </w:rPr>
            </w:pPr>
            <w:r>
              <w:rPr>
                <w:kern w:val="0"/>
                <w:sz w:val="21"/>
                <w:szCs w:val="21"/>
              </w:rPr>
              <w:t>5.9</w:t>
            </w:r>
          </w:p>
        </w:tc>
        <w:tc>
          <w:tcPr>
            <w:tcW w:w="775" w:type="pct"/>
            <w:tcBorders>
              <w:top w:val="single" w:color="auto" w:sz="4" w:space="0"/>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19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59" w:hRule="atLeast"/>
        </w:trPr>
        <w:tc>
          <w:tcPr>
            <w:tcW w:w="1360" w:type="pct"/>
            <w:shd w:val="clear" w:color="auto" w:fill="auto"/>
            <w:noWrap/>
            <w:vAlign w:val="center"/>
          </w:tcPr>
          <w:p>
            <w:pPr>
              <w:widowControl/>
              <w:spacing w:line="240" w:lineRule="auto"/>
              <w:ind w:firstLine="0" w:firstLineChars="0"/>
              <w:jc w:val="center"/>
              <w:rPr>
                <w:kern w:val="0"/>
                <w:sz w:val="21"/>
                <w:szCs w:val="21"/>
              </w:rPr>
            </w:pPr>
            <w:r>
              <w:rPr>
                <w:kern w:val="0"/>
                <w:sz w:val="21"/>
                <w:szCs w:val="21"/>
              </w:rPr>
              <w:t>07住宅用地</w:t>
            </w:r>
          </w:p>
        </w:tc>
        <w:tc>
          <w:tcPr>
            <w:tcW w:w="1238" w:type="pct"/>
            <w:tcBorders>
              <w:top w:val="single" w:color="auto" w:sz="4" w:space="0"/>
            </w:tcBorders>
            <w:shd w:val="clear" w:color="auto" w:fill="auto"/>
            <w:noWrap/>
            <w:vAlign w:val="center"/>
          </w:tcPr>
          <w:p>
            <w:pPr>
              <w:widowControl/>
              <w:spacing w:line="240" w:lineRule="auto"/>
              <w:ind w:firstLine="0" w:firstLineChars="0"/>
              <w:jc w:val="center"/>
              <w:rPr>
                <w:kern w:val="0"/>
                <w:sz w:val="21"/>
                <w:szCs w:val="21"/>
              </w:rPr>
            </w:pPr>
            <w:r>
              <w:rPr>
                <w:kern w:val="0"/>
                <w:sz w:val="21"/>
                <w:szCs w:val="21"/>
              </w:rPr>
              <w:t>0702农村宅基地</w:t>
            </w:r>
          </w:p>
        </w:tc>
        <w:tc>
          <w:tcPr>
            <w:tcW w:w="895" w:type="pct"/>
            <w:tcBorders>
              <w:top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6.38</w:t>
            </w:r>
          </w:p>
        </w:tc>
        <w:tc>
          <w:tcPr>
            <w:tcW w:w="732" w:type="pct"/>
            <w:tcBorders>
              <w:top w:val="single" w:color="auto" w:sz="4" w:space="0"/>
            </w:tcBorders>
            <w:vAlign w:val="bottom"/>
          </w:tcPr>
          <w:p>
            <w:pPr>
              <w:spacing w:line="240" w:lineRule="auto"/>
              <w:ind w:firstLine="0" w:firstLineChars="0"/>
              <w:jc w:val="center"/>
              <w:rPr>
                <w:kern w:val="0"/>
                <w:sz w:val="21"/>
                <w:szCs w:val="21"/>
              </w:rPr>
            </w:pPr>
            <w:r>
              <w:rPr>
                <w:kern w:val="0"/>
                <w:sz w:val="21"/>
                <w:szCs w:val="21"/>
              </w:rPr>
              <w:t>2.58</w:t>
            </w:r>
          </w:p>
        </w:tc>
        <w:tc>
          <w:tcPr>
            <w:tcW w:w="775" w:type="pct"/>
            <w:tcBorders>
              <w:top w:val="single" w:color="auto" w:sz="4" w:space="0"/>
              <w:bottom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13" w:hRule="atLeast"/>
        </w:trPr>
        <w:tc>
          <w:tcPr>
            <w:tcW w:w="1360" w:type="pct"/>
            <w:shd w:val="clear" w:color="auto" w:fill="auto"/>
            <w:noWrap/>
            <w:vAlign w:val="center"/>
          </w:tcPr>
          <w:p>
            <w:pPr>
              <w:spacing w:line="240" w:lineRule="auto"/>
              <w:ind w:firstLine="0" w:firstLineChars="0"/>
              <w:jc w:val="center"/>
              <w:rPr>
                <w:kern w:val="0"/>
                <w:sz w:val="21"/>
                <w:szCs w:val="21"/>
              </w:rPr>
            </w:pPr>
            <w:r>
              <w:rPr>
                <w:kern w:val="0"/>
                <w:sz w:val="21"/>
                <w:szCs w:val="21"/>
              </w:rPr>
              <w:t>10交通运输用地</w:t>
            </w:r>
          </w:p>
        </w:tc>
        <w:tc>
          <w:tcPr>
            <w:tcW w:w="1238" w:type="pct"/>
            <w:shd w:val="clear" w:color="auto" w:fill="auto"/>
            <w:noWrap/>
            <w:vAlign w:val="center"/>
          </w:tcPr>
          <w:p>
            <w:pPr>
              <w:widowControl/>
              <w:spacing w:line="240" w:lineRule="auto"/>
              <w:ind w:firstLine="0" w:firstLineChars="0"/>
              <w:jc w:val="center"/>
              <w:rPr>
                <w:kern w:val="0"/>
                <w:sz w:val="21"/>
                <w:szCs w:val="21"/>
              </w:rPr>
            </w:pPr>
            <w:r>
              <w:rPr>
                <w:kern w:val="0"/>
                <w:sz w:val="21"/>
                <w:szCs w:val="21"/>
              </w:rPr>
              <w:t>1004城镇村道路用地</w:t>
            </w:r>
          </w:p>
        </w:tc>
        <w:tc>
          <w:tcPr>
            <w:tcW w:w="895" w:type="pct"/>
            <w:shd w:val="clear" w:color="auto" w:fill="auto"/>
            <w:noWrap/>
            <w:vAlign w:val="center"/>
          </w:tcPr>
          <w:p>
            <w:pPr>
              <w:spacing w:line="240" w:lineRule="auto"/>
              <w:ind w:firstLine="0" w:firstLineChars="0"/>
              <w:jc w:val="center"/>
              <w:rPr>
                <w:kern w:val="0"/>
                <w:sz w:val="21"/>
                <w:szCs w:val="21"/>
              </w:rPr>
            </w:pPr>
            <w:r>
              <w:rPr>
                <w:kern w:val="0"/>
                <w:sz w:val="21"/>
                <w:szCs w:val="21"/>
              </w:rPr>
              <w:t>4.25</w:t>
            </w:r>
          </w:p>
        </w:tc>
        <w:tc>
          <w:tcPr>
            <w:tcW w:w="732" w:type="pct"/>
            <w:vAlign w:val="bottom"/>
          </w:tcPr>
          <w:p>
            <w:pPr>
              <w:spacing w:line="240" w:lineRule="auto"/>
              <w:ind w:firstLine="0" w:firstLineChars="0"/>
              <w:jc w:val="center"/>
              <w:rPr>
                <w:kern w:val="0"/>
                <w:sz w:val="21"/>
                <w:szCs w:val="21"/>
              </w:rPr>
            </w:pPr>
            <w:r>
              <w:rPr>
                <w:kern w:val="0"/>
                <w:sz w:val="21"/>
                <w:szCs w:val="21"/>
              </w:rPr>
              <w:t>1.72</w:t>
            </w:r>
          </w:p>
        </w:tc>
        <w:tc>
          <w:tcPr>
            <w:tcW w:w="775" w:type="pct"/>
            <w:tcBorders>
              <w:top w:val="single" w:color="auto" w:sz="4" w:space="0"/>
            </w:tcBorders>
            <w:shd w:val="clear" w:color="auto" w:fill="auto"/>
            <w:noWrap/>
            <w:vAlign w:val="center"/>
          </w:tcPr>
          <w:p>
            <w:pPr>
              <w:spacing w:line="240" w:lineRule="auto"/>
              <w:ind w:firstLine="0" w:firstLineChars="0"/>
              <w:jc w:val="center"/>
              <w:rPr>
                <w:kern w:val="0"/>
                <w:sz w:val="21"/>
                <w:szCs w:val="21"/>
              </w:rPr>
            </w:pPr>
            <w:r>
              <w:rPr>
                <w:kern w:val="0"/>
                <w:sz w:val="21"/>
                <w:szCs w:val="21"/>
              </w:rPr>
              <w:t>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13" w:hRule="atLeast"/>
        </w:trPr>
        <w:tc>
          <w:tcPr>
            <w:tcW w:w="1360" w:type="pct"/>
            <w:shd w:val="clear" w:color="auto" w:fill="auto"/>
            <w:noWrap/>
            <w:vAlign w:val="center"/>
          </w:tcPr>
          <w:p>
            <w:pPr>
              <w:widowControl/>
              <w:spacing w:line="240" w:lineRule="auto"/>
              <w:ind w:firstLine="0" w:firstLineChars="0"/>
              <w:jc w:val="center"/>
              <w:rPr>
                <w:kern w:val="0"/>
                <w:sz w:val="21"/>
                <w:szCs w:val="21"/>
              </w:rPr>
            </w:pPr>
            <w:r>
              <w:rPr>
                <w:kern w:val="0"/>
                <w:sz w:val="21"/>
                <w:szCs w:val="21"/>
              </w:rPr>
              <w:t>11水域及水利设施用地</w:t>
            </w:r>
          </w:p>
        </w:tc>
        <w:tc>
          <w:tcPr>
            <w:tcW w:w="1238" w:type="pct"/>
            <w:shd w:val="clear" w:color="auto" w:fill="auto"/>
            <w:noWrap/>
            <w:vAlign w:val="center"/>
          </w:tcPr>
          <w:p>
            <w:pPr>
              <w:widowControl/>
              <w:spacing w:line="240" w:lineRule="auto"/>
              <w:ind w:firstLine="0" w:firstLineChars="0"/>
              <w:jc w:val="center"/>
              <w:rPr>
                <w:kern w:val="0"/>
                <w:sz w:val="21"/>
                <w:szCs w:val="21"/>
              </w:rPr>
            </w:pPr>
            <w:r>
              <w:rPr>
                <w:kern w:val="0"/>
                <w:sz w:val="21"/>
                <w:szCs w:val="21"/>
              </w:rPr>
              <w:t>1104坑塘水面</w:t>
            </w:r>
          </w:p>
        </w:tc>
        <w:tc>
          <w:tcPr>
            <w:tcW w:w="895" w:type="pct"/>
            <w:shd w:val="clear" w:color="auto" w:fill="auto"/>
            <w:noWrap/>
            <w:vAlign w:val="center"/>
          </w:tcPr>
          <w:p>
            <w:pPr>
              <w:spacing w:line="240" w:lineRule="auto"/>
              <w:ind w:firstLine="0" w:firstLineChars="0"/>
              <w:jc w:val="center"/>
              <w:rPr>
                <w:kern w:val="0"/>
                <w:sz w:val="21"/>
                <w:szCs w:val="21"/>
              </w:rPr>
            </w:pPr>
            <w:r>
              <w:rPr>
                <w:kern w:val="0"/>
                <w:sz w:val="21"/>
                <w:szCs w:val="21"/>
              </w:rPr>
              <w:t>0.34</w:t>
            </w:r>
          </w:p>
        </w:tc>
        <w:tc>
          <w:tcPr>
            <w:tcW w:w="732" w:type="pct"/>
            <w:vAlign w:val="bottom"/>
          </w:tcPr>
          <w:p>
            <w:pPr>
              <w:spacing w:line="240" w:lineRule="auto"/>
              <w:ind w:firstLine="0" w:firstLineChars="0"/>
              <w:jc w:val="center"/>
              <w:rPr>
                <w:kern w:val="0"/>
                <w:sz w:val="21"/>
                <w:szCs w:val="21"/>
              </w:rPr>
            </w:pPr>
            <w:r>
              <w:rPr>
                <w:kern w:val="0"/>
                <w:sz w:val="21"/>
                <w:szCs w:val="21"/>
              </w:rPr>
              <w:t>0.14</w:t>
            </w:r>
          </w:p>
        </w:tc>
        <w:tc>
          <w:tcPr>
            <w:tcW w:w="775" w:type="pct"/>
            <w:shd w:val="clear" w:color="auto" w:fill="auto"/>
            <w:noWrap/>
            <w:vAlign w:val="center"/>
          </w:tcPr>
          <w:p>
            <w:pPr>
              <w:spacing w:line="240" w:lineRule="auto"/>
              <w:ind w:firstLine="0" w:firstLineChars="0"/>
              <w:jc w:val="center"/>
              <w:rPr>
                <w:kern w:val="0"/>
                <w:sz w:val="21"/>
                <w:szCs w:val="21"/>
              </w:rPr>
            </w:pPr>
            <w:r>
              <w:rPr>
                <w:kern w:val="0"/>
                <w:sz w:val="21"/>
                <w:szCs w:val="21"/>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406" w:hRule="atLeast"/>
        </w:trPr>
        <w:tc>
          <w:tcPr>
            <w:tcW w:w="2598" w:type="pct"/>
            <w:gridSpan w:val="2"/>
            <w:shd w:val="clear" w:color="auto" w:fill="auto"/>
            <w:vAlign w:val="center"/>
          </w:tcPr>
          <w:p>
            <w:pPr>
              <w:widowControl/>
              <w:spacing w:line="240" w:lineRule="auto"/>
              <w:ind w:firstLine="0" w:firstLineChars="0"/>
              <w:jc w:val="center"/>
              <w:rPr>
                <w:kern w:val="0"/>
                <w:sz w:val="21"/>
                <w:szCs w:val="21"/>
              </w:rPr>
            </w:pPr>
            <w:r>
              <w:rPr>
                <w:kern w:val="0"/>
                <w:sz w:val="21"/>
                <w:szCs w:val="21"/>
              </w:rPr>
              <w:t>合计</w:t>
            </w:r>
          </w:p>
        </w:tc>
        <w:tc>
          <w:tcPr>
            <w:tcW w:w="895" w:type="pct"/>
            <w:noWrap/>
            <w:vAlign w:val="center"/>
          </w:tcPr>
          <w:p>
            <w:pPr>
              <w:widowControl/>
              <w:spacing w:line="240" w:lineRule="auto"/>
              <w:ind w:firstLine="0" w:firstLineChars="0"/>
              <w:jc w:val="center"/>
              <w:rPr>
                <w:kern w:val="0"/>
                <w:sz w:val="21"/>
                <w:szCs w:val="21"/>
              </w:rPr>
            </w:pPr>
            <w:r>
              <w:rPr>
                <w:kern w:val="0"/>
                <w:sz w:val="21"/>
                <w:szCs w:val="21"/>
              </w:rPr>
              <w:t>247.39</w:t>
            </w:r>
          </w:p>
        </w:tc>
        <w:tc>
          <w:tcPr>
            <w:tcW w:w="732" w:type="pct"/>
            <w:shd w:val="clear" w:color="auto" w:fill="auto"/>
            <w:vAlign w:val="center"/>
          </w:tcPr>
          <w:p>
            <w:pPr>
              <w:widowControl/>
              <w:spacing w:line="240" w:lineRule="auto"/>
              <w:ind w:firstLine="0" w:firstLineChars="0"/>
              <w:jc w:val="center"/>
              <w:rPr>
                <w:kern w:val="0"/>
                <w:sz w:val="21"/>
                <w:szCs w:val="21"/>
              </w:rPr>
            </w:pPr>
            <w:r>
              <w:rPr>
                <w:kern w:val="0"/>
                <w:sz w:val="21"/>
                <w:szCs w:val="21"/>
              </w:rPr>
              <w:t>100</w:t>
            </w:r>
          </w:p>
        </w:tc>
        <w:tc>
          <w:tcPr>
            <w:tcW w:w="775" w:type="pct"/>
            <w:noWrap/>
            <w:vAlign w:val="center"/>
          </w:tcPr>
          <w:p>
            <w:pPr>
              <w:widowControl/>
              <w:spacing w:line="240" w:lineRule="auto"/>
              <w:ind w:firstLine="0" w:firstLineChars="0"/>
              <w:jc w:val="center"/>
              <w:rPr>
                <w:kern w:val="0"/>
                <w:sz w:val="21"/>
                <w:szCs w:val="21"/>
              </w:rPr>
            </w:pPr>
            <w:r>
              <w:rPr>
                <w:kern w:val="0"/>
                <w:sz w:val="21"/>
                <w:szCs w:val="21"/>
              </w:rPr>
              <w:t>176</w:t>
            </w:r>
          </w:p>
        </w:tc>
      </w:tr>
    </w:tbl>
    <w:p>
      <w:pPr>
        <w:ind w:firstLine="0" w:firstLineChars="0"/>
        <w:jc w:val="center"/>
        <w:rPr>
          <w:sz w:val="24"/>
          <w:szCs w:val="21"/>
          <w:lang w:val="ru-RU"/>
        </w:rPr>
      </w:pPr>
      <w:r>
        <w:rPr>
          <w:sz w:val="24"/>
          <w:szCs w:val="21"/>
          <w:lang w:val="ru-RU"/>
        </w:rPr>
        <w:t>图</w:t>
      </w:r>
      <w:r>
        <w:rPr>
          <w:sz w:val="24"/>
          <w:szCs w:val="21"/>
        </w:rPr>
        <w:drawing>
          <wp:anchor distT="0" distB="0" distL="114300" distR="114300" simplePos="0" relativeHeight="251990016" behindDoc="0" locked="0" layoutInCell="1" allowOverlap="1">
            <wp:simplePos x="0" y="0"/>
            <wp:positionH relativeFrom="column">
              <wp:posOffset>-635</wp:posOffset>
            </wp:positionH>
            <wp:positionV relativeFrom="paragraph">
              <wp:posOffset>45720</wp:posOffset>
            </wp:positionV>
            <wp:extent cx="5760085" cy="4077335"/>
            <wp:effectExtent l="0" t="0" r="0" b="0"/>
            <wp:wrapTopAndBottom/>
            <wp:docPr id="459311414" name="图片 1" descr="图示&#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9311414" name="图片 1" descr="图示&#10;&#10;描述已自动生成"/>
                    <pic:cNvPicPr>
                      <a:picLocks noChangeAspect="true" noChangeArrowheads="true"/>
                    </pic:cNvPicPr>
                  </pic:nvPicPr>
                  <pic:blipFill>
                    <a:blip r:embed="rId63" cstate="print">
                      <a:extLst>
                        <a:ext uri="{28A0092B-C50C-407E-A947-70E740481C1C}">
                          <a14:useLocalDpi xmlns:a14="http://schemas.microsoft.com/office/drawing/2010/main" val="false"/>
                        </a:ext>
                      </a:extLst>
                    </a:blip>
                    <a:srcRect/>
                    <a:stretch>
                      <a:fillRect/>
                    </a:stretch>
                  </pic:blipFill>
                  <pic:spPr>
                    <a:xfrm>
                      <a:off x="0" y="0"/>
                      <a:ext cx="5760085" cy="4077335"/>
                    </a:xfrm>
                    <a:prstGeom prst="rect">
                      <a:avLst/>
                    </a:prstGeom>
                    <a:noFill/>
                    <a:ln>
                      <a:noFill/>
                    </a:ln>
                  </pic:spPr>
                </pic:pic>
              </a:graphicData>
            </a:graphic>
          </wp:anchor>
        </w:drawing>
      </w:r>
      <w:r>
        <w:rPr>
          <w:sz w:val="24"/>
          <w:szCs w:val="21"/>
          <w:lang w:val="ru-RU"/>
        </w:rPr>
        <w:t>4.2-1   评价范围内土地利用现状图</w:t>
      </w:r>
    </w:p>
    <w:p>
      <w:pPr>
        <w:pStyle w:val="5"/>
        <w:rPr>
          <w:color w:val="auto"/>
        </w:rPr>
      </w:pPr>
      <w:r>
        <w:rPr>
          <w:color w:val="auto"/>
        </w:rPr>
        <w:t>4.2.4植物资源现状调查</w:t>
      </w:r>
    </w:p>
    <w:p>
      <w:pPr>
        <w:pStyle w:val="6"/>
        <w:numPr>
          <w:ilvl w:val="3"/>
          <w:numId w:val="0"/>
        </w:numPr>
      </w:pPr>
      <w:r>
        <w:t>4.2.4.1调查范围及方法</w:t>
      </w:r>
    </w:p>
    <w:p>
      <w:pPr>
        <w:spacing w:line="360" w:lineRule="auto"/>
        <w:ind w:firstLine="480"/>
        <w:jc w:val="both"/>
        <w:rPr>
          <w:bCs/>
          <w:sz w:val="24"/>
          <w:szCs w:val="24"/>
          <w:lang w:bidi="en-US"/>
        </w:rPr>
      </w:pPr>
      <w:r>
        <w:rPr>
          <w:bCs/>
          <w:sz w:val="24"/>
          <w:szCs w:val="24"/>
          <w:lang w:bidi="en-US"/>
        </w:rPr>
        <w:t>（1）调查范围</w:t>
      </w:r>
    </w:p>
    <w:p>
      <w:pPr>
        <w:spacing w:line="360" w:lineRule="auto"/>
        <w:ind w:firstLine="480"/>
        <w:jc w:val="both"/>
        <w:rPr>
          <w:bCs/>
          <w:sz w:val="24"/>
          <w:szCs w:val="24"/>
          <w:lang w:bidi="en-US"/>
        </w:rPr>
      </w:pPr>
      <w:r>
        <w:rPr>
          <w:bCs/>
          <w:sz w:val="24"/>
          <w:szCs w:val="24"/>
          <w:lang w:bidi="en-US"/>
        </w:rPr>
        <w:t>本次生态环境评价等级为二级，项目位于渝西片区，与九峰山森林公园相邻，根据《环境影响评价技术导则  生态影响》（HJ19-2022）及项目生态评价范围综合考虑，确定本次生态调查范围确定为矿山、工业场地边界外扩500m范围及部分九峰山森林公园。</w:t>
      </w:r>
    </w:p>
    <w:p>
      <w:pPr>
        <w:spacing w:line="360" w:lineRule="auto"/>
        <w:ind w:firstLine="480"/>
        <w:jc w:val="both"/>
        <w:rPr>
          <w:bCs/>
          <w:sz w:val="24"/>
          <w:szCs w:val="24"/>
          <w:lang w:bidi="en-US"/>
        </w:rPr>
      </w:pPr>
      <w:r>
        <w:rPr>
          <w:bCs/>
          <w:sz w:val="24"/>
          <w:szCs w:val="24"/>
          <w:lang w:bidi="en-US"/>
        </w:rPr>
        <w:t>（2）调查方法</w:t>
      </w:r>
    </w:p>
    <w:p>
      <w:pPr>
        <w:spacing w:line="360" w:lineRule="auto"/>
        <w:ind w:firstLine="480"/>
        <w:jc w:val="both"/>
        <w:rPr>
          <w:bCs/>
          <w:sz w:val="24"/>
          <w:szCs w:val="24"/>
          <w:lang w:bidi="en-US"/>
        </w:rPr>
      </w:pPr>
      <w:r>
        <w:rPr>
          <w:bCs/>
          <w:sz w:val="24"/>
          <w:szCs w:val="24"/>
          <w:lang w:bidi="en-US"/>
        </w:rPr>
        <w:t>收集整理评价范围及邻近地区的现有生物多样性、植被、土壤、水土流失等方面的资料，在综合分析现有资料的基础上，确定实地考察的重点区域和考察路线。室内卫星影像数据判读，结合实地调查得到评价区的植被类型统计数据，基于评价区植被类型调查结果与分布特征，评价区内植被类型包括乔木、灌木、草本3种类型。为反应各区块内植被特征，本评价野外样方设置根据植被类型，结合现场踏勘情况，对每个评价区块内的各种植被类型选取至少3处具有代表性植被群落进行样方设置，并进行实测调查。</w:t>
      </w:r>
    </w:p>
    <w:p>
      <w:pPr>
        <w:spacing w:line="360" w:lineRule="auto"/>
        <w:ind w:firstLine="480"/>
        <w:jc w:val="both"/>
        <w:rPr>
          <w:bCs/>
          <w:sz w:val="24"/>
          <w:lang w:bidi="en-US"/>
        </w:rPr>
      </w:pPr>
      <w:r>
        <w:rPr>
          <w:bCs/>
          <w:sz w:val="24"/>
          <w:szCs w:val="24"/>
          <w:lang w:bidi="en-US"/>
        </w:rPr>
        <w:t>样方调查内容记测环境情况，包括地形、坡度、坡向、经纬度、海拔以及植物群落情况。林地样方面积为10m×10m（竹林地样方面积10m×10m），乔木层每木检尺，记录样方内每种植物名称、胸径（cm）、高度（m）等，灌木层样</w:t>
      </w:r>
      <w:r>
        <w:rPr>
          <w:bCs/>
          <w:sz w:val="24"/>
          <w:lang w:bidi="en-US"/>
        </w:rPr>
        <w:t>方设置在大样方内对角线上，面积为5m×5m，记测样方内灌木植物名称、多度、盖度和高度等；草本层样方设置在大样方内，面积为1m×1m，记测草本植物名称、多度、盖度、高度等。</w:t>
      </w:r>
    </w:p>
    <w:p>
      <w:pPr>
        <w:spacing w:line="360" w:lineRule="auto"/>
        <w:ind w:firstLine="480"/>
        <w:jc w:val="both"/>
        <w:rPr>
          <w:bCs/>
          <w:sz w:val="24"/>
          <w:lang w:bidi="en-US"/>
        </w:rPr>
      </w:pPr>
      <w:r>
        <w:rPr>
          <w:bCs/>
          <w:sz w:val="24"/>
          <w:lang w:bidi="en-US"/>
        </w:rPr>
        <w:t>本次调查时间为2024年3月，评价区内共设置样地10块，样地设置情况见下表。</w:t>
      </w:r>
    </w:p>
    <w:p>
      <w:pPr>
        <w:pStyle w:val="84"/>
      </w:pPr>
      <w:r>
        <w:t>表4.2-3  本次评价植被样方设置情况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2640"/>
        <w:gridCol w:w="1148"/>
        <w:gridCol w:w="858"/>
        <w:gridCol w:w="854"/>
        <w:gridCol w:w="711"/>
        <w:gridCol w:w="929"/>
        <w:gridCol w:w="1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445"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样地编号</w:t>
            </w:r>
          </w:p>
        </w:tc>
        <w:tc>
          <w:tcPr>
            <w:tcW w:w="1429"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经纬度</w:t>
            </w:r>
          </w:p>
        </w:tc>
        <w:tc>
          <w:tcPr>
            <w:tcW w:w="626"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海拔（m）</w:t>
            </w:r>
          </w:p>
        </w:tc>
        <w:tc>
          <w:tcPr>
            <w:tcW w:w="470"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坡向</w:t>
            </w:r>
          </w:p>
        </w:tc>
        <w:tc>
          <w:tcPr>
            <w:tcW w:w="468"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坡度（°）</w:t>
            </w:r>
          </w:p>
        </w:tc>
        <w:tc>
          <w:tcPr>
            <w:tcW w:w="391"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植被类型</w:t>
            </w:r>
          </w:p>
        </w:tc>
        <w:tc>
          <w:tcPr>
            <w:tcW w:w="508"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群落优势种</w:t>
            </w:r>
          </w:p>
        </w:tc>
        <w:tc>
          <w:tcPr>
            <w:tcW w:w="662" w:type="pct"/>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样地面积</w:t>
            </w:r>
          </w:p>
          <w:p>
            <w:pPr>
              <w:adjustRightInd/>
              <w:snapToGrid/>
              <w:spacing w:line="240" w:lineRule="auto"/>
              <w:ind w:firstLine="0" w:firstLineChars="0"/>
              <w:jc w:val="center"/>
              <w:rPr>
                <w:b/>
                <w:kern w:val="0"/>
                <w:sz w:val="21"/>
                <w:szCs w:val="21"/>
              </w:rPr>
            </w:pPr>
            <w:r>
              <w:rPr>
                <w:b/>
                <w:kern w:val="0"/>
                <w:sz w:val="21"/>
                <w:szCs w:val="21"/>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S1</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106°18′46.35″E，29°54′56.36″N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367</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西北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27</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灌木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柑橘</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5m</w:t>
            </w:r>
            <w:r>
              <w:rPr>
                <w:sz w:val="21"/>
                <w:szCs w:val="21"/>
              </w:rPr>
              <w:t>×5m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S2</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106°18′46.66″E，29°54′58.41″N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349</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西北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25</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农田植被</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油菜</w:t>
            </w:r>
          </w:p>
        </w:tc>
        <w:tc>
          <w:tcPr>
            <w:tcW w:w="662" w:type="pct"/>
            <w:vAlign w:val="center"/>
          </w:tcPr>
          <w:p>
            <w:pPr>
              <w:adjustRightInd/>
              <w:snapToGrid/>
              <w:spacing w:line="240" w:lineRule="auto"/>
              <w:ind w:firstLine="0" w:firstLineChars="0"/>
              <w:jc w:val="center"/>
              <w:rPr>
                <w:kern w:val="0"/>
                <w:sz w:val="21"/>
                <w:szCs w:val="21"/>
              </w:rPr>
            </w:pPr>
            <w:r>
              <w:rPr>
                <w:sz w:val="21"/>
                <w:szCs w:val="21"/>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S3</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106°18′40.34″E，29°55′2.21″N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258</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西北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16</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乔木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枫杨</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10m</w:t>
            </w:r>
            <w:r>
              <w:rPr>
                <w:sz w:val="21"/>
                <w:szCs w:val="21"/>
              </w:rPr>
              <w:t>×10m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S4</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106°18′23.50″E，29°54′58.10″N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382</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东南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8</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灌木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柑橘</w:t>
            </w:r>
          </w:p>
        </w:tc>
        <w:tc>
          <w:tcPr>
            <w:tcW w:w="662" w:type="pct"/>
            <w:vAlign w:val="center"/>
          </w:tcPr>
          <w:p>
            <w:pPr>
              <w:adjustRightInd/>
              <w:snapToGrid/>
              <w:spacing w:line="240" w:lineRule="auto"/>
              <w:ind w:firstLine="0" w:firstLineChars="0"/>
              <w:jc w:val="center"/>
              <w:rPr>
                <w:kern w:val="0"/>
                <w:sz w:val="21"/>
                <w:szCs w:val="21"/>
              </w:rPr>
            </w:pPr>
            <w:r>
              <w:rPr>
                <w:sz w:val="21"/>
                <w:szCs w:val="21"/>
              </w:rPr>
              <w:t>5m×5m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S5</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106°18′30.84″E，29°55′5.86″N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442</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东南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35</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乔木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银桦</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10m</w:t>
            </w:r>
            <w:r>
              <w:rPr>
                <w:sz w:val="21"/>
                <w:szCs w:val="21"/>
              </w:rPr>
              <w:t>×10m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S6</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106°19′21.98″E，29°55′31.20″N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301</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东南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10</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草本</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奇蒿</w:t>
            </w:r>
          </w:p>
        </w:tc>
        <w:tc>
          <w:tcPr>
            <w:tcW w:w="662" w:type="pct"/>
            <w:vAlign w:val="center"/>
          </w:tcPr>
          <w:p>
            <w:pPr>
              <w:adjustRightInd/>
              <w:snapToGrid/>
              <w:spacing w:line="240" w:lineRule="auto"/>
              <w:ind w:firstLine="0" w:firstLineChars="0"/>
              <w:jc w:val="center"/>
              <w:rPr>
                <w:kern w:val="0"/>
                <w:sz w:val="21"/>
                <w:szCs w:val="21"/>
              </w:rPr>
            </w:pPr>
            <w:r>
              <w:rPr>
                <w:sz w:val="21"/>
                <w:szCs w:val="21"/>
              </w:rPr>
              <w:t>1m×1m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S7</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106°19′12.82″E，29°55′25.64″N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331</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东南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16</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乔木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香椿</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10m</w:t>
            </w:r>
            <w:r>
              <w:rPr>
                <w:sz w:val="21"/>
                <w:szCs w:val="21"/>
              </w:rPr>
              <w:t>×10m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S8</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106°19′2.98″E，29°55′27.07″N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377</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东南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20</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乔木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樟</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10m</w:t>
            </w:r>
            <w:r>
              <w:rPr>
                <w:sz w:val="21"/>
                <w:szCs w:val="21"/>
              </w:rPr>
              <w:t>×10m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S9</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106°19′29.20″E，29°55′7.83″N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437</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西北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10</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乔木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杉木</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10</w:t>
            </w:r>
            <w:r>
              <w:rPr>
                <w:sz w:val="21"/>
                <w:szCs w:val="21"/>
              </w:rPr>
              <w:t>m×10m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45" w:type="pct"/>
            <w:vAlign w:val="center"/>
          </w:tcPr>
          <w:p>
            <w:pPr>
              <w:adjustRightInd/>
              <w:snapToGrid/>
              <w:spacing w:line="240" w:lineRule="auto"/>
              <w:ind w:firstLine="0" w:firstLineChars="0"/>
              <w:jc w:val="center"/>
              <w:rPr>
                <w:kern w:val="0"/>
                <w:sz w:val="21"/>
                <w:szCs w:val="21"/>
              </w:rPr>
            </w:pPr>
            <w:r>
              <w:rPr>
                <w:kern w:val="0"/>
                <w:sz w:val="21"/>
                <w:szCs w:val="21"/>
              </w:rPr>
              <w:t>S10</w:t>
            </w:r>
          </w:p>
        </w:tc>
        <w:tc>
          <w:tcPr>
            <w:tcW w:w="1429" w:type="pct"/>
            <w:vAlign w:val="center"/>
          </w:tcPr>
          <w:p>
            <w:pPr>
              <w:adjustRightInd/>
              <w:snapToGrid/>
              <w:spacing w:line="240" w:lineRule="auto"/>
              <w:ind w:firstLine="0" w:firstLineChars="0"/>
              <w:jc w:val="center"/>
              <w:rPr>
                <w:kern w:val="0"/>
                <w:sz w:val="21"/>
                <w:szCs w:val="21"/>
              </w:rPr>
            </w:pPr>
            <w:r>
              <w:rPr>
                <w:sz w:val="21"/>
                <w:szCs w:val="21"/>
              </w:rPr>
              <w:t>106°18′52.35″E，29°54′48.60″N</w:t>
            </w:r>
          </w:p>
        </w:tc>
        <w:tc>
          <w:tcPr>
            <w:tcW w:w="626" w:type="pct"/>
            <w:vAlign w:val="center"/>
          </w:tcPr>
          <w:p>
            <w:pPr>
              <w:adjustRightInd/>
              <w:snapToGrid/>
              <w:spacing w:line="240" w:lineRule="auto"/>
              <w:ind w:firstLine="0" w:firstLineChars="0"/>
              <w:jc w:val="center"/>
              <w:rPr>
                <w:kern w:val="0"/>
                <w:sz w:val="21"/>
                <w:szCs w:val="21"/>
              </w:rPr>
            </w:pPr>
            <w:r>
              <w:rPr>
                <w:kern w:val="0"/>
                <w:sz w:val="21"/>
                <w:szCs w:val="21"/>
              </w:rPr>
              <w:t>460</w:t>
            </w:r>
          </w:p>
        </w:tc>
        <w:tc>
          <w:tcPr>
            <w:tcW w:w="470" w:type="pct"/>
            <w:vAlign w:val="center"/>
          </w:tcPr>
          <w:p>
            <w:pPr>
              <w:adjustRightInd/>
              <w:snapToGrid/>
              <w:spacing w:line="240" w:lineRule="auto"/>
              <w:ind w:firstLine="0" w:firstLineChars="0"/>
              <w:jc w:val="center"/>
              <w:rPr>
                <w:kern w:val="0"/>
                <w:sz w:val="21"/>
                <w:szCs w:val="21"/>
              </w:rPr>
            </w:pPr>
            <w:r>
              <w:rPr>
                <w:kern w:val="0"/>
                <w:sz w:val="21"/>
                <w:szCs w:val="21"/>
              </w:rPr>
              <w:t>西北</w:t>
            </w:r>
          </w:p>
        </w:tc>
        <w:tc>
          <w:tcPr>
            <w:tcW w:w="468" w:type="pct"/>
            <w:vAlign w:val="center"/>
          </w:tcPr>
          <w:p>
            <w:pPr>
              <w:adjustRightInd/>
              <w:snapToGrid/>
              <w:spacing w:line="240" w:lineRule="auto"/>
              <w:ind w:firstLine="0" w:firstLineChars="0"/>
              <w:jc w:val="center"/>
              <w:rPr>
                <w:kern w:val="0"/>
                <w:sz w:val="21"/>
                <w:szCs w:val="21"/>
              </w:rPr>
            </w:pPr>
            <w:r>
              <w:rPr>
                <w:kern w:val="0"/>
                <w:sz w:val="21"/>
                <w:szCs w:val="21"/>
              </w:rPr>
              <w:t>25</w:t>
            </w:r>
          </w:p>
        </w:tc>
        <w:tc>
          <w:tcPr>
            <w:tcW w:w="391" w:type="pct"/>
            <w:vAlign w:val="center"/>
          </w:tcPr>
          <w:p>
            <w:pPr>
              <w:adjustRightInd/>
              <w:snapToGrid/>
              <w:spacing w:line="240" w:lineRule="auto"/>
              <w:ind w:firstLine="0" w:firstLineChars="0"/>
              <w:jc w:val="center"/>
              <w:rPr>
                <w:kern w:val="0"/>
                <w:sz w:val="21"/>
                <w:szCs w:val="21"/>
              </w:rPr>
            </w:pPr>
            <w:r>
              <w:rPr>
                <w:kern w:val="0"/>
                <w:sz w:val="21"/>
                <w:szCs w:val="21"/>
              </w:rPr>
              <w:t>灌木</w:t>
            </w:r>
          </w:p>
        </w:tc>
        <w:tc>
          <w:tcPr>
            <w:tcW w:w="508" w:type="pct"/>
            <w:vAlign w:val="center"/>
          </w:tcPr>
          <w:p>
            <w:pPr>
              <w:adjustRightInd/>
              <w:snapToGrid/>
              <w:spacing w:line="240" w:lineRule="auto"/>
              <w:ind w:firstLine="0" w:firstLineChars="0"/>
              <w:jc w:val="center"/>
              <w:rPr>
                <w:kern w:val="0"/>
                <w:sz w:val="21"/>
                <w:szCs w:val="21"/>
              </w:rPr>
            </w:pPr>
            <w:r>
              <w:rPr>
                <w:kern w:val="0"/>
                <w:sz w:val="21"/>
                <w:szCs w:val="21"/>
              </w:rPr>
              <w:t>南天竹</w:t>
            </w:r>
          </w:p>
        </w:tc>
        <w:tc>
          <w:tcPr>
            <w:tcW w:w="662" w:type="pct"/>
            <w:vAlign w:val="center"/>
          </w:tcPr>
          <w:p>
            <w:pPr>
              <w:adjustRightInd/>
              <w:snapToGrid/>
              <w:spacing w:line="240" w:lineRule="auto"/>
              <w:ind w:firstLine="0" w:firstLineChars="0"/>
              <w:jc w:val="center"/>
              <w:rPr>
                <w:kern w:val="0"/>
                <w:sz w:val="21"/>
                <w:szCs w:val="21"/>
              </w:rPr>
            </w:pPr>
            <w:r>
              <w:rPr>
                <w:kern w:val="0"/>
                <w:sz w:val="21"/>
                <w:szCs w:val="21"/>
              </w:rPr>
              <w:t>5m</w:t>
            </w:r>
            <w:r>
              <w:rPr>
                <w:sz w:val="21"/>
                <w:szCs w:val="21"/>
              </w:rPr>
              <w:t>×5m</w:t>
            </w:r>
          </w:p>
        </w:tc>
      </w:tr>
    </w:tbl>
    <w:p>
      <w:pPr>
        <w:spacing w:line="360" w:lineRule="auto"/>
        <w:ind w:firstLine="0" w:firstLineChars="0"/>
        <w:jc w:val="both"/>
        <w:rPr>
          <w:bCs/>
          <w:sz w:val="24"/>
          <w:lang w:bidi="en-US"/>
        </w:rPr>
      </w:pPr>
      <w:r>
        <w:drawing>
          <wp:inline distT="0" distB="0" distL="0" distR="0">
            <wp:extent cx="5760085" cy="4316095"/>
            <wp:effectExtent l="0" t="0" r="0" b="8255"/>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pic:cNvPicPr>
                  </pic:nvPicPr>
                  <pic:blipFill>
                    <a:blip r:embed="rId64"/>
                    <a:stretch>
                      <a:fillRect/>
                    </a:stretch>
                  </pic:blipFill>
                  <pic:spPr>
                    <a:xfrm>
                      <a:off x="0" y="0"/>
                      <a:ext cx="5760085" cy="4316095"/>
                    </a:xfrm>
                    <a:prstGeom prst="rect">
                      <a:avLst/>
                    </a:prstGeom>
                  </pic:spPr>
                </pic:pic>
              </a:graphicData>
            </a:graphic>
          </wp:inline>
        </w:drawing>
      </w:r>
    </w:p>
    <w:p>
      <w:pPr>
        <w:spacing w:line="360" w:lineRule="auto"/>
        <w:ind w:firstLine="0" w:firstLineChars="0"/>
        <w:jc w:val="center"/>
        <w:rPr>
          <w:bCs/>
          <w:sz w:val="24"/>
          <w:lang w:bidi="en-US"/>
        </w:rPr>
      </w:pPr>
      <w:r>
        <w:rPr>
          <w:bCs/>
          <w:sz w:val="24"/>
          <w:lang w:bidi="en-US"/>
        </w:rPr>
        <w:t>图4-3  样方调查布点图</w:t>
      </w:r>
    </w:p>
    <w:p>
      <w:pPr>
        <w:pStyle w:val="6"/>
        <w:numPr>
          <w:ilvl w:val="3"/>
          <w:numId w:val="0"/>
        </w:numPr>
        <w:ind w:firstLine="200"/>
      </w:pPr>
      <w:r>
        <w:t>4.2.4.2植被及植物现状调查</w:t>
      </w:r>
    </w:p>
    <w:p>
      <w:pPr>
        <w:spacing w:line="360" w:lineRule="auto"/>
        <w:ind w:firstLine="480"/>
        <w:jc w:val="both"/>
        <w:rPr>
          <w:sz w:val="24"/>
        </w:rPr>
      </w:pPr>
      <w:r>
        <w:rPr>
          <w:sz w:val="24"/>
        </w:rPr>
        <w:t>（一）常见物种</w:t>
      </w:r>
    </w:p>
    <w:p>
      <w:pPr>
        <w:autoSpaceDE w:val="0"/>
        <w:autoSpaceDN w:val="0"/>
        <w:spacing w:line="360" w:lineRule="auto"/>
        <w:ind w:firstLine="480"/>
        <w:jc w:val="both"/>
        <w:rPr>
          <w:kern w:val="0"/>
          <w:sz w:val="24"/>
        </w:rPr>
      </w:pPr>
      <w:r>
        <w:rPr>
          <w:bCs/>
          <w:kern w:val="0"/>
          <w:sz w:val="24"/>
        </w:rPr>
        <w:t>根据资料收集及现场样地调查，常见的种类，大致地可以划分为如下3类：</w:t>
      </w:r>
    </w:p>
    <w:p>
      <w:pPr>
        <w:autoSpaceDE w:val="0"/>
        <w:autoSpaceDN w:val="0"/>
        <w:spacing w:line="360" w:lineRule="auto"/>
        <w:ind w:firstLine="480"/>
        <w:jc w:val="both"/>
        <w:rPr>
          <w:kern w:val="0"/>
          <w:sz w:val="24"/>
        </w:rPr>
      </w:pPr>
      <w:r>
        <w:rPr>
          <w:kern w:val="0"/>
          <w:sz w:val="24"/>
        </w:rPr>
        <w:t>（1）乔木种类</w:t>
      </w:r>
    </w:p>
    <w:p>
      <w:pPr>
        <w:autoSpaceDE w:val="0"/>
        <w:autoSpaceDN w:val="0"/>
        <w:spacing w:line="360" w:lineRule="auto"/>
        <w:ind w:firstLine="480"/>
        <w:jc w:val="both"/>
        <w:rPr>
          <w:kern w:val="0"/>
          <w:sz w:val="24"/>
        </w:rPr>
      </w:pPr>
      <w:r>
        <w:rPr>
          <w:kern w:val="0"/>
          <w:sz w:val="24"/>
        </w:rPr>
        <w:t>主要有竹子（</w:t>
      </w:r>
      <w:r>
        <w:rPr>
          <w:i/>
          <w:sz w:val="24"/>
          <w:szCs w:val="21"/>
        </w:rPr>
        <w:t> Bambusoideae</w:t>
      </w:r>
      <w:r>
        <w:rPr>
          <w:kern w:val="0"/>
          <w:sz w:val="24"/>
        </w:rPr>
        <w:t>）、</w:t>
      </w:r>
      <w:r>
        <w:rPr>
          <w:kern w:val="0"/>
          <w:sz w:val="24"/>
          <w:szCs w:val="21"/>
          <w:lang w:bidi="ar"/>
        </w:rPr>
        <w:t>楝（</w:t>
      </w:r>
      <w:r>
        <w:rPr>
          <w:i/>
          <w:sz w:val="24"/>
          <w:szCs w:val="21"/>
        </w:rPr>
        <w:t>Melia azedarach L. </w:t>
      </w:r>
      <w:r>
        <w:rPr>
          <w:kern w:val="0"/>
          <w:sz w:val="24"/>
          <w:szCs w:val="21"/>
          <w:lang w:bidi="ar"/>
        </w:rPr>
        <w:t>）、刺楸（</w:t>
      </w:r>
      <w:r>
        <w:rPr>
          <w:i/>
          <w:sz w:val="24"/>
          <w:szCs w:val="21"/>
        </w:rPr>
        <w:t>Kalopanax septemlobus （Thunb.） Koidz.</w:t>
      </w:r>
      <w:r>
        <w:rPr>
          <w:kern w:val="0"/>
          <w:sz w:val="24"/>
          <w:szCs w:val="21"/>
          <w:lang w:bidi="ar"/>
        </w:rPr>
        <w:t>）、牛鼻栓（</w:t>
      </w:r>
      <w:r>
        <w:rPr>
          <w:i/>
          <w:sz w:val="24"/>
          <w:szCs w:val="21"/>
        </w:rPr>
        <w:t>Fortunearia Rehd. et Wils</w:t>
      </w:r>
      <w:r>
        <w:rPr>
          <w:kern w:val="0"/>
          <w:sz w:val="24"/>
          <w:szCs w:val="21"/>
          <w:lang w:bidi="ar"/>
        </w:rPr>
        <w:t>）、栎（</w:t>
      </w:r>
      <w:r>
        <w:rPr>
          <w:i/>
          <w:sz w:val="24"/>
          <w:szCs w:val="21"/>
        </w:rPr>
        <w:t>Quercus L.</w:t>
      </w:r>
      <w:r>
        <w:rPr>
          <w:kern w:val="0"/>
          <w:sz w:val="24"/>
          <w:szCs w:val="21"/>
          <w:lang w:bidi="ar"/>
        </w:rPr>
        <w:t>）、柚（</w:t>
      </w:r>
      <w:r>
        <w:rPr>
          <w:i/>
          <w:sz w:val="24"/>
          <w:szCs w:val="21"/>
        </w:rPr>
        <w:t>Citrus maxima （Burm.） Merr.</w:t>
      </w:r>
      <w:r>
        <w:rPr>
          <w:kern w:val="0"/>
          <w:sz w:val="24"/>
          <w:szCs w:val="21"/>
          <w:lang w:bidi="ar"/>
        </w:rPr>
        <w:t>）、枫杨（</w:t>
      </w:r>
      <w:r>
        <w:rPr>
          <w:i/>
          <w:sz w:val="24"/>
          <w:szCs w:val="21"/>
        </w:rPr>
        <w:t>Pterocarya stenoptera C. DC.</w:t>
      </w:r>
      <w:r>
        <w:rPr>
          <w:kern w:val="0"/>
          <w:sz w:val="24"/>
          <w:szCs w:val="21"/>
          <w:lang w:bidi="ar"/>
        </w:rPr>
        <w:t>）</w:t>
      </w:r>
      <w:r>
        <w:rPr>
          <w:kern w:val="0"/>
          <w:sz w:val="24"/>
        </w:rPr>
        <w:t>等。</w:t>
      </w:r>
    </w:p>
    <w:p>
      <w:pPr>
        <w:autoSpaceDE w:val="0"/>
        <w:autoSpaceDN w:val="0"/>
        <w:spacing w:line="360" w:lineRule="auto"/>
        <w:ind w:firstLine="480"/>
        <w:jc w:val="both"/>
        <w:rPr>
          <w:kern w:val="0"/>
          <w:sz w:val="24"/>
        </w:rPr>
      </w:pPr>
      <w:r>
        <w:rPr>
          <w:kern w:val="0"/>
          <w:sz w:val="24"/>
        </w:rPr>
        <w:t>以上植物主要分布在项目评价现场及其周边的山头、林地，是评价范围内的主要植被建群种，基本代表了各个主要的植被类型。</w:t>
      </w:r>
    </w:p>
    <w:p>
      <w:pPr>
        <w:autoSpaceDE w:val="0"/>
        <w:autoSpaceDN w:val="0"/>
        <w:spacing w:line="360" w:lineRule="auto"/>
        <w:ind w:firstLine="480"/>
        <w:jc w:val="both"/>
        <w:rPr>
          <w:kern w:val="0"/>
          <w:sz w:val="24"/>
        </w:rPr>
      </w:pPr>
      <w:r>
        <w:rPr>
          <w:kern w:val="0"/>
          <w:sz w:val="24"/>
        </w:rPr>
        <w:t>（2）灌木种类</w:t>
      </w:r>
    </w:p>
    <w:p>
      <w:pPr>
        <w:autoSpaceDE w:val="0"/>
        <w:autoSpaceDN w:val="0"/>
        <w:spacing w:line="360" w:lineRule="auto"/>
        <w:ind w:firstLine="480"/>
        <w:jc w:val="both"/>
        <w:rPr>
          <w:kern w:val="0"/>
          <w:sz w:val="24"/>
        </w:rPr>
      </w:pPr>
      <w:r>
        <w:rPr>
          <w:kern w:val="0"/>
          <w:sz w:val="24"/>
        </w:rPr>
        <w:t>主要有</w:t>
      </w:r>
      <w:r>
        <w:rPr>
          <w:sz w:val="24"/>
          <w:szCs w:val="21"/>
        </w:rPr>
        <w:t>牡荆（</w:t>
      </w:r>
      <w:r>
        <w:rPr>
          <w:i/>
          <w:sz w:val="24"/>
          <w:szCs w:val="21"/>
        </w:rPr>
        <w:t> Vitex negundo Linn. var. cannabifolia （Sieb.et Zucc.） Hand.-Mazz.</w:t>
      </w:r>
      <w:r>
        <w:rPr>
          <w:sz w:val="24"/>
          <w:szCs w:val="21"/>
        </w:rPr>
        <w:t>）、水麻（</w:t>
      </w:r>
      <w:r>
        <w:rPr>
          <w:i/>
          <w:sz w:val="24"/>
          <w:szCs w:val="21"/>
        </w:rPr>
        <w:t> Debregeasia orientalis C. J. Chen</w:t>
      </w:r>
      <w:r>
        <w:rPr>
          <w:sz w:val="24"/>
          <w:szCs w:val="21"/>
        </w:rPr>
        <w:t>）、洋金凤（</w:t>
      </w:r>
      <w:r>
        <w:rPr>
          <w:i/>
          <w:sz w:val="24"/>
          <w:szCs w:val="21"/>
        </w:rPr>
        <w:t> Caesalpinia pulcherrima （Linn.） Sw.</w:t>
      </w:r>
      <w:r>
        <w:rPr>
          <w:sz w:val="24"/>
          <w:szCs w:val="21"/>
        </w:rPr>
        <w:t>）、插田泡（</w:t>
      </w:r>
      <w:r>
        <w:rPr>
          <w:i/>
          <w:sz w:val="24"/>
          <w:szCs w:val="21"/>
        </w:rPr>
        <w:t> Rubus coreanus Miq.</w:t>
      </w:r>
      <w:r>
        <w:rPr>
          <w:sz w:val="24"/>
          <w:szCs w:val="21"/>
        </w:rPr>
        <w:t>）、火棘（</w:t>
      </w:r>
      <w:r>
        <w:rPr>
          <w:i/>
          <w:sz w:val="24"/>
          <w:szCs w:val="21"/>
        </w:rPr>
        <w:t>Pyracantha fortuneana （Maxim.） Li</w:t>
      </w:r>
      <w:r>
        <w:rPr>
          <w:sz w:val="24"/>
          <w:szCs w:val="21"/>
        </w:rPr>
        <w:t>）、六月雪（</w:t>
      </w:r>
      <w:r>
        <w:rPr>
          <w:i/>
          <w:sz w:val="24"/>
          <w:szCs w:val="21"/>
        </w:rPr>
        <w:t>Serissa japonica（Thunb.）Thunb.</w:t>
      </w:r>
      <w:r>
        <w:rPr>
          <w:sz w:val="24"/>
          <w:szCs w:val="21"/>
        </w:rPr>
        <w:t>）、白背风（</w:t>
      </w:r>
      <w:r>
        <w:rPr>
          <w:i/>
          <w:sz w:val="24"/>
          <w:szCs w:val="21"/>
        </w:rPr>
        <w:t> Saussurea auriculata （DC.） Sch.-Bip.</w:t>
      </w:r>
      <w:r>
        <w:rPr>
          <w:sz w:val="24"/>
          <w:szCs w:val="21"/>
        </w:rPr>
        <w:t>）、紫麻（</w:t>
      </w:r>
      <w:r>
        <w:rPr>
          <w:i/>
          <w:sz w:val="24"/>
          <w:szCs w:val="21"/>
        </w:rPr>
        <w:t>Oreocnide frutescens （Thunb.） Miq.</w:t>
      </w:r>
      <w:r>
        <w:rPr>
          <w:sz w:val="24"/>
          <w:szCs w:val="21"/>
        </w:rPr>
        <w:t>）、桑（</w:t>
      </w:r>
      <w:r>
        <w:rPr>
          <w:i/>
          <w:sz w:val="24"/>
          <w:szCs w:val="21"/>
        </w:rPr>
        <w:t>Morus alba L.</w:t>
      </w:r>
      <w:r>
        <w:rPr>
          <w:sz w:val="24"/>
          <w:szCs w:val="21"/>
        </w:rPr>
        <w:t>）、</w:t>
      </w:r>
      <w:r>
        <w:rPr>
          <w:kern w:val="0"/>
          <w:sz w:val="24"/>
          <w:szCs w:val="21"/>
          <w:lang w:bidi="ar"/>
        </w:rPr>
        <w:t>八角枫（</w:t>
      </w:r>
      <w:r>
        <w:rPr>
          <w:i/>
          <w:sz w:val="24"/>
          <w:szCs w:val="21"/>
        </w:rPr>
        <w:t>Alangium chinense （Lour.） Harm</w:t>
      </w:r>
      <w:r>
        <w:rPr>
          <w:kern w:val="0"/>
          <w:sz w:val="24"/>
          <w:szCs w:val="21"/>
          <w:lang w:bidi="ar"/>
        </w:rPr>
        <w:t>）、</w:t>
      </w:r>
      <w:r>
        <w:rPr>
          <w:sz w:val="24"/>
          <w:szCs w:val="21"/>
        </w:rPr>
        <w:t>柑橘（</w:t>
      </w:r>
      <w:r>
        <w:rPr>
          <w:i/>
          <w:sz w:val="24"/>
          <w:szCs w:val="21"/>
        </w:rPr>
        <w:t>Citrus reticulata Blanco</w:t>
      </w:r>
      <w:r>
        <w:rPr>
          <w:sz w:val="24"/>
          <w:szCs w:val="21"/>
        </w:rPr>
        <w:t>）、毛桐（</w:t>
      </w:r>
      <w:r>
        <w:rPr>
          <w:i/>
          <w:sz w:val="24"/>
          <w:szCs w:val="21"/>
        </w:rPr>
        <w:t>Mallotus japonicus （Thunb.</w:t>
      </w:r>
      <w:r>
        <w:rPr>
          <w:sz w:val="24"/>
          <w:szCs w:val="21"/>
        </w:rPr>
        <w:t>）、野桐（</w:t>
      </w:r>
      <w:r>
        <w:rPr>
          <w:i/>
          <w:sz w:val="24"/>
          <w:szCs w:val="21"/>
        </w:rPr>
        <w:t>Mallotus Lour.</w:t>
      </w:r>
      <w:r>
        <w:rPr>
          <w:sz w:val="24"/>
          <w:szCs w:val="21"/>
        </w:rPr>
        <w:t>）、刚竹（</w:t>
      </w:r>
      <w:r>
        <w:rPr>
          <w:i/>
          <w:sz w:val="24"/>
          <w:szCs w:val="21"/>
        </w:rPr>
        <w:t>Phyllostachys sulphurea （Carr. ） A.' Viridis '</w:t>
      </w:r>
      <w:r>
        <w:rPr>
          <w:sz w:val="24"/>
          <w:szCs w:val="21"/>
        </w:rPr>
        <w:t>）、棕榈（</w:t>
      </w:r>
      <w:r>
        <w:rPr>
          <w:i/>
          <w:sz w:val="24"/>
          <w:szCs w:val="21"/>
        </w:rPr>
        <w:t>Trachycarpus fortunei （Hook.） H. Wendl.</w:t>
      </w:r>
      <w:r>
        <w:rPr>
          <w:sz w:val="24"/>
          <w:szCs w:val="21"/>
        </w:rPr>
        <w:t>）、青江藤（</w:t>
      </w:r>
      <w:r>
        <w:rPr>
          <w:i/>
          <w:sz w:val="24"/>
          <w:szCs w:val="21"/>
        </w:rPr>
        <w:t>Celastrus hindsii Benth.</w:t>
      </w:r>
      <w:r>
        <w:rPr>
          <w:sz w:val="24"/>
          <w:szCs w:val="21"/>
        </w:rPr>
        <w:t>）、云实（</w:t>
      </w:r>
      <w:r>
        <w:rPr>
          <w:i/>
          <w:sz w:val="24"/>
          <w:szCs w:val="21"/>
        </w:rPr>
        <w:t>Caesalpinia decapetala （Roth） Alston</w:t>
      </w:r>
      <w:r>
        <w:rPr>
          <w:sz w:val="24"/>
          <w:szCs w:val="21"/>
        </w:rPr>
        <w:t>）</w:t>
      </w:r>
      <w:r>
        <w:rPr>
          <w:kern w:val="0"/>
          <w:sz w:val="24"/>
        </w:rPr>
        <w:t>等。</w:t>
      </w:r>
    </w:p>
    <w:p>
      <w:pPr>
        <w:autoSpaceDE w:val="0"/>
        <w:autoSpaceDN w:val="0"/>
        <w:spacing w:line="360" w:lineRule="auto"/>
        <w:ind w:firstLine="480"/>
        <w:jc w:val="both"/>
        <w:rPr>
          <w:kern w:val="0"/>
          <w:sz w:val="24"/>
        </w:rPr>
      </w:pPr>
      <w:r>
        <w:rPr>
          <w:kern w:val="0"/>
          <w:sz w:val="24"/>
        </w:rPr>
        <w:t>以上植物主要分布在林下灌木层、沟溪低谷、道路两侧及农田周边，分布较广。</w:t>
      </w:r>
    </w:p>
    <w:p>
      <w:pPr>
        <w:autoSpaceDE w:val="0"/>
        <w:autoSpaceDN w:val="0"/>
        <w:spacing w:line="360" w:lineRule="auto"/>
        <w:ind w:firstLine="480"/>
        <w:jc w:val="both"/>
        <w:rPr>
          <w:kern w:val="0"/>
          <w:sz w:val="24"/>
        </w:rPr>
      </w:pPr>
      <w:r>
        <w:rPr>
          <w:kern w:val="0"/>
          <w:sz w:val="24"/>
        </w:rPr>
        <w:t>（3）草本种类</w:t>
      </w:r>
    </w:p>
    <w:p>
      <w:pPr>
        <w:autoSpaceDE w:val="0"/>
        <w:autoSpaceDN w:val="0"/>
        <w:spacing w:line="360" w:lineRule="auto"/>
        <w:ind w:firstLine="480"/>
        <w:jc w:val="both"/>
        <w:rPr>
          <w:kern w:val="0"/>
          <w:sz w:val="24"/>
        </w:rPr>
      </w:pPr>
      <w:r>
        <w:rPr>
          <w:sz w:val="24"/>
          <w:szCs w:val="21"/>
        </w:rPr>
        <w:t>葎草（</w:t>
      </w:r>
      <w:r>
        <w:rPr>
          <w:i/>
          <w:sz w:val="24"/>
          <w:szCs w:val="21"/>
        </w:rPr>
        <w:t>Humulus scandens （Lour.） Merr. </w:t>
      </w:r>
      <w:r>
        <w:rPr>
          <w:sz w:val="24"/>
          <w:szCs w:val="21"/>
        </w:rPr>
        <w:t>）、青蒿（</w:t>
      </w:r>
      <w:r>
        <w:rPr>
          <w:i/>
          <w:sz w:val="24"/>
          <w:szCs w:val="21"/>
        </w:rPr>
        <w:t>Artemisia carvifolia Buch.-Ham. ex Roxb. Hort. Beng.</w:t>
      </w:r>
      <w:r>
        <w:rPr>
          <w:sz w:val="24"/>
          <w:szCs w:val="21"/>
        </w:rPr>
        <w:t>）、小蓬草（</w:t>
      </w:r>
      <w:r>
        <w:rPr>
          <w:i/>
          <w:sz w:val="24"/>
          <w:szCs w:val="21"/>
        </w:rPr>
        <w:t>Conyza canadensis （L.） Cronq.</w:t>
      </w:r>
      <w:r>
        <w:rPr>
          <w:sz w:val="24"/>
          <w:szCs w:val="21"/>
        </w:rPr>
        <w:t>）、乌蔹莓（</w:t>
      </w:r>
      <w:r>
        <w:rPr>
          <w:i/>
          <w:sz w:val="24"/>
          <w:szCs w:val="21"/>
        </w:rPr>
        <w:t> Cayratia japonica （Thunb.） Gagnep.</w:t>
      </w:r>
      <w:r>
        <w:rPr>
          <w:sz w:val="24"/>
          <w:szCs w:val="21"/>
        </w:rPr>
        <w:t>）、五节芒（</w:t>
      </w:r>
      <w:r>
        <w:rPr>
          <w:i/>
          <w:sz w:val="24"/>
          <w:szCs w:val="21"/>
        </w:rPr>
        <w:t>Miscanthus floridulus （Lab.） Warb. ex Schum. et Laut.</w:t>
      </w:r>
      <w:r>
        <w:rPr>
          <w:sz w:val="24"/>
          <w:szCs w:val="21"/>
        </w:rPr>
        <w:t>）、艾（</w:t>
      </w:r>
      <w:r>
        <w:rPr>
          <w:i/>
          <w:sz w:val="24"/>
          <w:szCs w:val="21"/>
        </w:rPr>
        <w:t>Artemisia argyi</w:t>
      </w:r>
      <w:r>
        <w:rPr>
          <w:sz w:val="24"/>
          <w:szCs w:val="21"/>
        </w:rPr>
        <w:t>）、薹草（</w:t>
      </w:r>
      <w:r>
        <w:rPr>
          <w:i/>
          <w:sz w:val="24"/>
          <w:szCs w:val="21"/>
        </w:rPr>
        <w:t>Carex parva Nees</w:t>
      </w:r>
      <w:r>
        <w:rPr>
          <w:sz w:val="24"/>
          <w:szCs w:val="21"/>
        </w:rPr>
        <w:t>）、卷柏（</w:t>
      </w:r>
      <w:r>
        <w:rPr>
          <w:i/>
          <w:sz w:val="24"/>
          <w:szCs w:val="21"/>
        </w:rPr>
        <w:t>Selaginella tamariscina（P. Beauv.）Spring</w:t>
      </w:r>
      <w:r>
        <w:rPr>
          <w:sz w:val="24"/>
          <w:szCs w:val="21"/>
        </w:rPr>
        <w:t>）、络石（</w:t>
      </w:r>
      <w:r>
        <w:rPr>
          <w:i/>
          <w:sz w:val="24"/>
          <w:szCs w:val="21"/>
        </w:rPr>
        <w:t>Trachelospermum jasminoides （Lindl.） Lem.</w:t>
      </w:r>
      <w:r>
        <w:rPr>
          <w:sz w:val="24"/>
          <w:szCs w:val="21"/>
        </w:rPr>
        <w:t>）、高粱泡（</w:t>
      </w:r>
      <w:r>
        <w:rPr>
          <w:i/>
          <w:sz w:val="24"/>
          <w:szCs w:val="21"/>
        </w:rPr>
        <w:t> Rubus lambertianus Ser.</w:t>
      </w:r>
      <w:r>
        <w:rPr>
          <w:sz w:val="24"/>
          <w:szCs w:val="21"/>
        </w:rPr>
        <w:t>）、赤爮（</w:t>
      </w:r>
      <w:r>
        <w:rPr>
          <w:i/>
          <w:sz w:val="24"/>
          <w:szCs w:val="21"/>
        </w:rPr>
        <w:t>Thladiantha dubia Bunge</w:t>
      </w:r>
      <w:r>
        <w:rPr>
          <w:sz w:val="24"/>
          <w:szCs w:val="21"/>
        </w:rPr>
        <w:t>）、白茅（</w:t>
      </w:r>
      <w:r>
        <w:rPr>
          <w:i/>
          <w:sz w:val="24"/>
          <w:szCs w:val="21"/>
        </w:rPr>
        <w:t> Imperata cylindrica （Linn.） Beauv.</w:t>
      </w:r>
      <w:r>
        <w:rPr>
          <w:sz w:val="24"/>
          <w:szCs w:val="21"/>
        </w:rPr>
        <w:t>）、</w:t>
      </w:r>
      <w:r>
        <w:rPr>
          <w:kern w:val="0"/>
          <w:sz w:val="24"/>
        </w:rPr>
        <w:t>番薯（</w:t>
      </w:r>
      <w:r>
        <w:rPr>
          <w:i/>
          <w:kern w:val="0"/>
          <w:sz w:val="24"/>
        </w:rPr>
        <w:t xml:space="preserve">Ipomoea batatas </w:t>
      </w:r>
      <w:r>
        <w:rPr>
          <w:kern w:val="0"/>
          <w:sz w:val="24"/>
        </w:rPr>
        <w:t>（L.） Lam.）、玉米（</w:t>
      </w:r>
      <w:r>
        <w:rPr>
          <w:i/>
          <w:kern w:val="0"/>
          <w:sz w:val="24"/>
        </w:rPr>
        <w:t>Zea mays</w:t>
      </w:r>
      <w:r>
        <w:rPr>
          <w:kern w:val="0"/>
          <w:sz w:val="24"/>
        </w:rPr>
        <w:t xml:space="preserve"> </w:t>
      </w:r>
      <w:r>
        <w:rPr>
          <w:iCs/>
          <w:kern w:val="0"/>
          <w:sz w:val="24"/>
        </w:rPr>
        <w:t>Linn</w:t>
      </w:r>
      <w:r>
        <w:rPr>
          <w:kern w:val="0"/>
          <w:sz w:val="24"/>
        </w:rPr>
        <w:t>）、</w:t>
      </w:r>
      <w:r>
        <w:rPr>
          <w:sz w:val="24"/>
          <w:szCs w:val="21"/>
        </w:rPr>
        <w:t>野趾草（</w:t>
      </w:r>
      <w:r>
        <w:rPr>
          <w:i/>
          <w:sz w:val="24"/>
          <w:szCs w:val="21"/>
        </w:rPr>
        <w:t>Commelina communis L</w:t>
      </w:r>
      <w:r>
        <w:rPr>
          <w:sz w:val="24"/>
          <w:szCs w:val="21"/>
        </w:rPr>
        <w:t>）、爵麻（</w:t>
      </w:r>
      <w:r>
        <w:rPr>
          <w:i/>
          <w:sz w:val="24"/>
          <w:szCs w:val="21"/>
        </w:rPr>
        <w:t>Potentilla anserina L.</w:t>
      </w:r>
      <w:r>
        <w:rPr>
          <w:sz w:val="24"/>
          <w:szCs w:val="21"/>
        </w:rPr>
        <w:t>）、地果（</w:t>
      </w:r>
      <w:r>
        <w:rPr>
          <w:i/>
          <w:sz w:val="24"/>
          <w:szCs w:val="21"/>
        </w:rPr>
        <w:t> Ficus tikoua Bur.</w:t>
      </w:r>
      <w:r>
        <w:rPr>
          <w:sz w:val="24"/>
          <w:szCs w:val="21"/>
        </w:rPr>
        <w:t>）、莲子草（</w:t>
      </w:r>
      <w:r>
        <w:rPr>
          <w:i/>
          <w:sz w:val="24"/>
          <w:szCs w:val="21"/>
        </w:rPr>
        <w:t>Alternanthera sessilis （L.</w:t>
      </w:r>
      <w:r>
        <w:rPr>
          <w:sz w:val="24"/>
          <w:szCs w:val="21"/>
        </w:rPr>
        <w:t>）、忍冬（</w:t>
      </w:r>
      <w:r>
        <w:rPr>
          <w:i/>
          <w:sz w:val="24"/>
          <w:szCs w:val="21"/>
        </w:rPr>
        <w:t>Lonicera japonica Thunb.）</w:t>
      </w:r>
      <w:r>
        <w:rPr>
          <w:sz w:val="24"/>
          <w:szCs w:val="21"/>
        </w:rPr>
        <w:t>、葛（</w:t>
      </w:r>
      <w:r>
        <w:rPr>
          <w:i/>
          <w:sz w:val="24"/>
          <w:szCs w:val="21"/>
        </w:rPr>
        <w:t>Pueraria lobata（Willd.）Ohwi</w:t>
      </w:r>
      <w:r>
        <w:rPr>
          <w:sz w:val="24"/>
          <w:szCs w:val="21"/>
        </w:rPr>
        <w:t>）、狗尾草（</w:t>
      </w:r>
      <w:r>
        <w:rPr>
          <w:i/>
          <w:sz w:val="24"/>
          <w:szCs w:val="21"/>
        </w:rPr>
        <w:t>Setaria palmifolia （koen.） Stapf</w:t>
      </w:r>
      <w:r>
        <w:rPr>
          <w:sz w:val="24"/>
          <w:szCs w:val="21"/>
        </w:rPr>
        <w:t>）、糯米团</w:t>
      </w:r>
      <w:r>
        <w:rPr>
          <w:i/>
          <w:sz w:val="24"/>
          <w:szCs w:val="21"/>
        </w:rPr>
        <w:t>（Gonostegia hirta （Bl.） Miq.</w:t>
      </w:r>
      <w:r>
        <w:rPr>
          <w:sz w:val="24"/>
          <w:szCs w:val="21"/>
        </w:rPr>
        <w:t>）、蛇莓（</w:t>
      </w:r>
      <w:r>
        <w:rPr>
          <w:i/>
          <w:sz w:val="24"/>
          <w:szCs w:val="21"/>
        </w:rPr>
        <w:t>Duchesnea indica （Andr.） Focke</w:t>
      </w:r>
      <w:r>
        <w:rPr>
          <w:sz w:val="24"/>
          <w:szCs w:val="21"/>
        </w:rPr>
        <w:t>）、凤尾蕨（</w:t>
      </w:r>
      <w:r>
        <w:rPr>
          <w:i/>
          <w:sz w:val="24"/>
          <w:szCs w:val="21"/>
        </w:rPr>
        <w:t>Pteris cretica L. var. nervosa （Thunb.） Ching et S. H. Wu</w:t>
      </w:r>
      <w:r>
        <w:rPr>
          <w:sz w:val="24"/>
          <w:szCs w:val="21"/>
        </w:rPr>
        <w:t>）、凹叶景天（</w:t>
      </w:r>
      <w:r>
        <w:rPr>
          <w:i/>
          <w:sz w:val="24"/>
          <w:szCs w:val="21"/>
        </w:rPr>
        <w:t> Sedum emarginatum Migo</w:t>
      </w:r>
      <w:r>
        <w:rPr>
          <w:sz w:val="24"/>
          <w:szCs w:val="21"/>
        </w:rPr>
        <w:t>）、阴行草（</w:t>
      </w:r>
      <w:r>
        <w:rPr>
          <w:i/>
          <w:sz w:val="24"/>
          <w:szCs w:val="21"/>
        </w:rPr>
        <w:t>Siphonostegia chinensis Benth.</w:t>
      </w:r>
      <w:r>
        <w:rPr>
          <w:sz w:val="24"/>
          <w:szCs w:val="21"/>
        </w:rPr>
        <w:t>）、垂序商陆（</w:t>
      </w:r>
      <w:r>
        <w:rPr>
          <w:i/>
          <w:sz w:val="24"/>
          <w:szCs w:val="21"/>
        </w:rPr>
        <w:t>Phytolacca americana L.</w:t>
      </w:r>
      <w:r>
        <w:rPr>
          <w:sz w:val="24"/>
          <w:szCs w:val="21"/>
        </w:rPr>
        <w:t>）、冬瓜（</w:t>
      </w:r>
      <w:r>
        <w:rPr>
          <w:i/>
          <w:sz w:val="24"/>
          <w:szCs w:val="21"/>
        </w:rPr>
        <w:t>Benincasa hispida （Thunb.） Cogn.</w:t>
      </w:r>
      <w:r>
        <w:rPr>
          <w:sz w:val="24"/>
          <w:szCs w:val="21"/>
        </w:rPr>
        <w:t>）</w:t>
      </w:r>
      <w:r>
        <w:rPr>
          <w:kern w:val="0"/>
          <w:sz w:val="24"/>
        </w:rPr>
        <w:t>等。</w:t>
      </w:r>
    </w:p>
    <w:p>
      <w:pPr>
        <w:spacing w:line="360" w:lineRule="auto"/>
        <w:ind w:firstLine="480"/>
        <w:jc w:val="both"/>
        <w:rPr>
          <w:bCs/>
          <w:sz w:val="24"/>
          <w:szCs w:val="24"/>
          <w:lang w:bidi="en-US"/>
        </w:rPr>
      </w:pPr>
      <w:r>
        <w:rPr>
          <w:kern w:val="0"/>
          <w:sz w:val="24"/>
          <w:szCs w:val="24"/>
        </w:rPr>
        <w:t>以上植物主要分布在各个山头、村落周边地区、农田、荒草地、道路两侧、林下草本。草本植物植株矮小，而且生物量较低，在植被中占的比重较小。但在农田中，草本植物则为主要的建群种，是这些植被的重要组分。</w:t>
      </w:r>
    </w:p>
    <w:p>
      <w:pPr>
        <w:spacing w:line="360" w:lineRule="auto"/>
        <w:ind w:firstLine="480"/>
        <w:jc w:val="both"/>
        <w:rPr>
          <w:sz w:val="24"/>
          <w:szCs w:val="24"/>
        </w:rPr>
      </w:pPr>
      <w:r>
        <w:rPr>
          <w:sz w:val="24"/>
          <w:szCs w:val="24"/>
        </w:rPr>
        <w:t>（二）植被类型</w:t>
      </w:r>
    </w:p>
    <w:p>
      <w:pPr>
        <w:autoSpaceDE w:val="0"/>
        <w:autoSpaceDN w:val="0"/>
        <w:spacing w:line="360" w:lineRule="auto"/>
        <w:ind w:right="130" w:rightChars="50" w:firstLine="480"/>
        <w:jc w:val="both"/>
        <w:rPr>
          <w:kern w:val="0"/>
          <w:sz w:val="24"/>
          <w:szCs w:val="24"/>
        </w:rPr>
      </w:pPr>
      <w:r>
        <w:rPr>
          <w:kern w:val="0"/>
          <w:sz w:val="24"/>
          <w:szCs w:val="24"/>
        </w:rPr>
        <w:t>按照《中国植被》的植被分类原则和系统对评价区内的植被类型进行划分，可分为2个植被系列，5个植被型组。</w:t>
      </w:r>
    </w:p>
    <w:p>
      <w:pPr>
        <w:autoSpaceDE w:val="0"/>
        <w:autoSpaceDN w:val="0"/>
        <w:spacing w:line="360" w:lineRule="auto"/>
        <w:ind w:right="130" w:rightChars="50" w:firstLine="480"/>
        <w:jc w:val="both"/>
        <w:rPr>
          <w:kern w:val="0"/>
          <w:sz w:val="24"/>
          <w:szCs w:val="24"/>
        </w:rPr>
      </w:pPr>
      <w:r>
        <w:rPr>
          <w:kern w:val="0"/>
          <w:sz w:val="24"/>
          <w:szCs w:val="24"/>
        </w:rPr>
        <w:t>本项目评价范围内主要植被类型为：常绿或落叶阔叶林、竹林、灌丛、山地草丛以及农田植被。评价区受人为活动扰动程度较高，其中，阔叶林包括落叶和常绿均有分布，以竹子、楝、栎为主，在评价区内广泛分布；竹林分布较为广泛；区域内灌草丛广泛分布，主要位于沟谷及山坡等难利用区域，占评价区较大面积。</w:t>
      </w:r>
    </w:p>
    <w:p>
      <w:pPr>
        <w:ind w:firstLine="0" w:firstLineChars="0"/>
        <w:jc w:val="center"/>
        <w:rPr>
          <w:kern w:val="0"/>
          <w:sz w:val="24"/>
          <w:szCs w:val="24"/>
        </w:rPr>
      </w:pPr>
      <w:r>
        <w:rPr>
          <w:kern w:val="0"/>
          <w:sz w:val="24"/>
          <w:szCs w:val="24"/>
        </w:rPr>
        <w:t>表4.2-4  植被群落调查结果统计表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134"/>
        <w:gridCol w:w="992"/>
        <w:gridCol w:w="1134"/>
        <w:gridCol w:w="2365"/>
        <w:gridCol w:w="1295"/>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4" w:hRule="atLeast"/>
          <w:jc w:val="center"/>
        </w:trPr>
        <w:tc>
          <w:tcPr>
            <w:tcW w:w="846" w:type="dxa"/>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植被型组</w:t>
            </w:r>
          </w:p>
        </w:tc>
        <w:tc>
          <w:tcPr>
            <w:tcW w:w="1134" w:type="dxa"/>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植被型</w:t>
            </w:r>
          </w:p>
        </w:tc>
        <w:tc>
          <w:tcPr>
            <w:tcW w:w="992" w:type="dxa"/>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植被亚型</w:t>
            </w:r>
          </w:p>
        </w:tc>
        <w:tc>
          <w:tcPr>
            <w:tcW w:w="1134" w:type="dxa"/>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群系</w:t>
            </w:r>
          </w:p>
        </w:tc>
        <w:tc>
          <w:tcPr>
            <w:tcW w:w="2365" w:type="dxa"/>
            <w:vMerge w:val="restar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分布区域</w:t>
            </w:r>
          </w:p>
        </w:tc>
        <w:tc>
          <w:tcPr>
            <w:tcW w:w="2590" w:type="dxa"/>
            <w:gridSpan w:val="2"/>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工程占用情况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5" w:hRule="atLeast"/>
          <w:jc w:val="center"/>
        </w:trPr>
        <w:tc>
          <w:tcPr>
            <w:tcW w:w="846" w:type="dxa"/>
            <w:vMerge w:val="continue"/>
            <w:shd w:val="clear" w:color="auto" w:fill="D8D8D8" w:themeFill="background1" w:themeFillShade="D9"/>
            <w:vAlign w:val="center"/>
          </w:tcPr>
          <w:p>
            <w:pPr>
              <w:spacing w:line="240" w:lineRule="auto"/>
              <w:ind w:firstLine="0" w:firstLineChars="0"/>
              <w:jc w:val="center"/>
              <w:rPr>
                <w:b/>
                <w:bCs/>
                <w:kern w:val="0"/>
                <w:sz w:val="21"/>
                <w:szCs w:val="21"/>
              </w:rPr>
            </w:pPr>
          </w:p>
        </w:tc>
        <w:tc>
          <w:tcPr>
            <w:tcW w:w="1134" w:type="dxa"/>
            <w:vMerge w:val="continue"/>
            <w:shd w:val="clear" w:color="auto" w:fill="D8D8D8" w:themeFill="background1" w:themeFillShade="D9"/>
            <w:vAlign w:val="center"/>
          </w:tcPr>
          <w:p>
            <w:pPr>
              <w:spacing w:line="240" w:lineRule="auto"/>
              <w:ind w:firstLine="0" w:firstLineChars="0"/>
              <w:jc w:val="center"/>
              <w:rPr>
                <w:b/>
                <w:bCs/>
                <w:kern w:val="0"/>
                <w:sz w:val="21"/>
                <w:szCs w:val="21"/>
              </w:rPr>
            </w:pPr>
          </w:p>
        </w:tc>
        <w:tc>
          <w:tcPr>
            <w:tcW w:w="992" w:type="dxa"/>
            <w:vMerge w:val="continue"/>
            <w:shd w:val="clear" w:color="auto" w:fill="D8D8D8" w:themeFill="background1" w:themeFillShade="D9"/>
            <w:vAlign w:val="center"/>
          </w:tcPr>
          <w:p>
            <w:pPr>
              <w:spacing w:line="240" w:lineRule="auto"/>
              <w:ind w:firstLine="0" w:firstLineChars="0"/>
              <w:jc w:val="center"/>
              <w:rPr>
                <w:b/>
                <w:bCs/>
                <w:kern w:val="0"/>
                <w:sz w:val="21"/>
                <w:szCs w:val="21"/>
              </w:rPr>
            </w:pPr>
          </w:p>
        </w:tc>
        <w:tc>
          <w:tcPr>
            <w:tcW w:w="1134" w:type="dxa"/>
            <w:vMerge w:val="continue"/>
            <w:shd w:val="clear" w:color="auto" w:fill="D8D8D8" w:themeFill="background1" w:themeFillShade="D9"/>
            <w:vAlign w:val="center"/>
          </w:tcPr>
          <w:p>
            <w:pPr>
              <w:spacing w:line="240" w:lineRule="auto"/>
              <w:ind w:firstLine="0" w:firstLineChars="0"/>
              <w:jc w:val="center"/>
              <w:rPr>
                <w:b/>
                <w:bCs/>
                <w:kern w:val="0"/>
                <w:sz w:val="21"/>
                <w:szCs w:val="21"/>
              </w:rPr>
            </w:pPr>
          </w:p>
        </w:tc>
        <w:tc>
          <w:tcPr>
            <w:tcW w:w="2365" w:type="dxa"/>
            <w:vMerge w:val="continue"/>
            <w:shd w:val="clear" w:color="auto" w:fill="D8D8D8" w:themeFill="background1" w:themeFillShade="D9"/>
            <w:vAlign w:val="center"/>
          </w:tcPr>
          <w:p>
            <w:pPr>
              <w:spacing w:line="240" w:lineRule="auto"/>
              <w:ind w:firstLine="0" w:firstLineChars="0"/>
              <w:jc w:val="center"/>
              <w:rPr>
                <w:b/>
                <w:bCs/>
                <w:kern w:val="0"/>
                <w:sz w:val="21"/>
                <w:szCs w:val="21"/>
              </w:rPr>
            </w:pPr>
          </w:p>
        </w:tc>
        <w:tc>
          <w:tcPr>
            <w:tcW w:w="1295" w:type="dxa"/>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占用面积</w:t>
            </w:r>
          </w:p>
        </w:tc>
        <w:tc>
          <w:tcPr>
            <w:tcW w:w="1295" w:type="dxa"/>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占用比例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2" w:hRule="atLeast"/>
          <w:jc w:val="center"/>
        </w:trPr>
        <w:tc>
          <w:tcPr>
            <w:tcW w:w="846" w:type="dxa"/>
            <w:vMerge w:val="restart"/>
            <w:vAlign w:val="center"/>
          </w:tcPr>
          <w:p>
            <w:pPr>
              <w:spacing w:line="240" w:lineRule="auto"/>
              <w:ind w:firstLine="0" w:firstLineChars="0"/>
              <w:jc w:val="center"/>
              <w:rPr>
                <w:kern w:val="0"/>
                <w:sz w:val="21"/>
                <w:szCs w:val="21"/>
              </w:rPr>
            </w:pPr>
            <w:r>
              <w:rPr>
                <w:kern w:val="0"/>
                <w:sz w:val="21"/>
                <w:szCs w:val="21"/>
              </w:rPr>
              <w:t>乔木林</w:t>
            </w:r>
          </w:p>
        </w:tc>
        <w:tc>
          <w:tcPr>
            <w:tcW w:w="1134" w:type="dxa"/>
            <w:vMerge w:val="restart"/>
            <w:vAlign w:val="center"/>
          </w:tcPr>
          <w:p>
            <w:pPr>
              <w:spacing w:line="240" w:lineRule="auto"/>
              <w:ind w:firstLine="0" w:firstLineChars="0"/>
              <w:jc w:val="center"/>
              <w:rPr>
                <w:kern w:val="0"/>
                <w:sz w:val="21"/>
                <w:szCs w:val="21"/>
              </w:rPr>
            </w:pPr>
            <w:r>
              <w:rPr>
                <w:kern w:val="0"/>
                <w:sz w:val="21"/>
                <w:szCs w:val="21"/>
              </w:rPr>
              <w:t>常绿或落叶阔叶林</w:t>
            </w:r>
          </w:p>
        </w:tc>
        <w:tc>
          <w:tcPr>
            <w:tcW w:w="992" w:type="dxa"/>
            <w:vAlign w:val="center"/>
          </w:tcPr>
          <w:p>
            <w:pPr>
              <w:spacing w:line="240" w:lineRule="auto"/>
              <w:ind w:firstLine="0" w:firstLineChars="0"/>
              <w:jc w:val="center"/>
              <w:rPr>
                <w:kern w:val="0"/>
                <w:sz w:val="21"/>
                <w:szCs w:val="21"/>
              </w:rPr>
            </w:pPr>
            <w:r>
              <w:rPr>
                <w:kern w:val="0"/>
                <w:sz w:val="21"/>
                <w:szCs w:val="21"/>
              </w:rPr>
              <w:t>柏木</w:t>
            </w:r>
          </w:p>
        </w:tc>
        <w:tc>
          <w:tcPr>
            <w:tcW w:w="1134" w:type="dxa"/>
            <w:vAlign w:val="center"/>
          </w:tcPr>
          <w:p>
            <w:pPr>
              <w:spacing w:line="240" w:lineRule="auto"/>
              <w:ind w:firstLine="0" w:firstLineChars="0"/>
              <w:rPr>
                <w:kern w:val="0"/>
                <w:sz w:val="21"/>
                <w:szCs w:val="21"/>
              </w:rPr>
            </w:pPr>
            <w:r>
              <w:rPr>
                <w:kern w:val="0"/>
                <w:sz w:val="21"/>
                <w:szCs w:val="21"/>
              </w:rPr>
              <w:t>柏木群系</w:t>
            </w:r>
          </w:p>
        </w:tc>
        <w:tc>
          <w:tcPr>
            <w:tcW w:w="2365" w:type="dxa"/>
            <w:vAlign w:val="center"/>
          </w:tcPr>
          <w:p>
            <w:pPr>
              <w:spacing w:line="240" w:lineRule="auto"/>
              <w:ind w:firstLine="0" w:firstLineChars="0"/>
              <w:jc w:val="center"/>
              <w:rPr>
                <w:kern w:val="0"/>
                <w:sz w:val="21"/>
                <w:szCs w:val="21"/>
              </w:rPr>
            </w:pPr>
            <w:r>
              <w:rPr>
                <w:kern w:val="0"/>
                <w:sz w:val="21"/>
                <w:szCs w:val="21"/>
              </w:rPr>
              <w:t>工业场地东北侧、西南侧，开采区东北侧</w:t>
            </w:r>
          </w:p>
        </w:tc>
        <w:tc>
          <w:tcPr>
            <w:tcW w:w="1295" w:type="dxa"/>
            <w:vAlign w:val="center"/>
          </w:tcPr>
          <w:p>
            <w:pPr>
              <w:spacing w:line="240" w:lineRule="auto"/>
              <w:ind w:firstLine="0" w:firstLineChars="0"/>
              <w:jc w:val="center"/>
              <w:rPr>
                <w:kern w:val="0"/>
                <w:sz w:val="21"/>
                <w:szCs w:val="21"/>
              </w:rPr>
            </w:pPr>
            <w:r>
              <w:rPr>
                <w:sz w:val="21"/>
                <w:szCs w:val="21"/>
              </w:rPr>
              <w:t>41.38</w:t>
            </w:r>
          </w:p>
        </w:tc>
        <w:tc>
          <w:tcPr>
            <w:tcW w:w="1295" w:type="dxa"/>
            <w:vAlign w:val="bottom"/>
          </w:tcPr>
          <w:p>
            <w:pPr>
              <w:spacing w:line="240" w:lineRule="auto"/>
              <w:ind w:firstLine="0" w:firstLineChars="0"/>
              <w:jc w:val="center"/>
              <w:rPr>
                <w:kern w:val="0"/>
                <w:sz w:val="21"/>
                <w:szCs w:val="21"/>
              </w:rPr>
            </w:pPr>
            <w:r>
              <w:rPr>
                <w:sz w:val="21"/>
                <w:szCs w:val="21"/>
              </w:rPr>
              <w:t>16.73%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4" w:hRule="atLeast"/>
          <w:jc w:val="center"/>
        </w:trPr>
        <w:tc>
          <w:tcPr>
            <w:tcW w:w="846" w:type="dxa"/>
            <w:vMerge w:val="continue"/>
            <w:vAlign w:val="center"/>
          </w:tcPr>
          <w:p>
            <w:pPr>
              <w:spacing w:line="240" w:lineRule="auto"/>
              <w:ind w:firstLine="0" w:firstLineChars="0"/>
              <w:jc w:val="center"/>
              <w:rPr>
                <w:kern w:val="0"/>
                <w:sz w:val="21"/>
                <w:szCs w:val="21"/>
              </w:rPr>
            </w:pPr>
          </w:p>
        </w:tc>
        <w:tc>
          <w:tcPr>
            <w:tcW w:w="1134" w:type="dxa"/>
            <w:vMerge w:val="continue"/>
            <w:vAlign w:val="center"/>
          </w:tcPr>
          <w:p>
            <w:pPr>
              <w:spacing w:line="240" w:lineRule="auto"/>
              <w:ind w:firstLine="0" w:firstLineChars="0"/>
              <w:jc w:val="center"/>
              <w:rPr>
                <w:kern w:val="0"/>
                <w:sz w:val="21"/>
                <w:szCs w:val="21"/>
              </w:rPr>
            </w:pPr>
          </w:p>
        </w:tc>
        <w:tc>
          <w:tcPr>
            <w:tcW w:w="992" w:type="dxa"/>
            <w:vAlign w:val="center"/>
          </w:tcPr>
          <w:p>
            <w:pPr>
              <w:spacing w:line="240" w:lineRule="auto"/>
              <w:ind w:firstLine="0" w:firstLineChars="0"/>
              <w:jc w:val="center"/>
              <w:rPr>
                <w:kern w:val="0"/>
                <w:sz w:val="21"/>
                <w:szCs w:val="21"/>
              </w:rPr>
            </w:pPr>
            <w:r>
              <w:rPr>
                <w:kern w:val="0"/>
                <w:sz w:val="21"/>
                <w:szCs w:val="21"/>
              </w:rPr>
              <w:t>杉木</w:t>
            </w:r>
          </w:p>
        </w:tc>
        <w:tc>
          <w:tcPr>
            <w:tcW w:w="1134" w:type="dxa"/>
            <w:vAlign w:val="center"/>
          </w:tcPr>
          <w:p>
            <w:pPr>
              <w:spacing w:line="240" w:lineRule="auto"/>
              <w:ind w:firstLine="0" w:firstLineChars="0"/>
              <w:rPr>
                <w:kern w:val="0"/>
                <w:sz w:val="21"/>
                <w:szCs w:val="21"/>
              </w:rPr>
            </w:pPr>
            <w:r>
              <w:rPr>
                <w:kern w:val="0"/>
                <w:sz w:val="21"/>
                <w:szCs w:val="21"/>
              </w:rPr>
              <w:t>杉木群系</w:t>
            </w:r>
          </w:p>
        </w:tc>
        <w:tc>
          <w:tcPr>
            <w:tcW w:w="2365" w:type="dxa"/>
            <w:vAlign w:val="center"/>
          </w:tcPr>
          <w:p>
            <w:pPr>
              <w:spacing w:line="240" w:lineRule="auto"/>
              <w:ind w:firstLine="0" w:firstLineChars="0"/>
              <w:jc w:val="center"/>
              <w:rPr>
                <w:kern w:val="0"/>
                <w:sz w:val="21"/>
                <w:szCs w:val="21"/>
              </w:rPr>
            </w:pPr>
            <w:r>
              <w:rPr>
                <w:kern w:val="0"/>
                <w:sz w:val="21"/>
                <w:szCs w:val="21"/>
              </w:rPr>
              <w:t>开采区西北侧</w:t>
            </w:r>
          </w:p>
        </w:tc>
        <w:tc>
          <w:tcPr>
            <w:tcW w:w="1295" w:type="dxa"/>
            <w:vAlign w:val="center"/>
          </w:tcPr>
          <w:p>
            <w:pPr>
              <w:spacing w:line="240" w:lineRule="auto"/>
              <w:ind w:firstLine="0" w:firstLineChars="0"/>
              <w:jc w:val="center"/>
              <w:rPr>
                <w:kern w:val="0"/>
                <w:sz w:val="21"/>
                <w:szCs w:val="21"/>
              </w:rPr>
            </w:pPr>
            <w:r>
              <w:rPr>
                <w:sz w:val="21"/>
                <w:szCs w:val="21"/>
              </w:rPr>
              <w:t>14.33</w:t>
            </w:r>
          </w:p>
        </w:tc>
        <w:tc>
          <w:tcPr>
            <w:tcW w:w="1295" w:type="dxa"/>
            <w:vAlign w:val="bottom"/>
          </w:tcPr>
          <w:p>
            <w:pPr>
              <w:spacing w:line="240" w:lineRule="auto"/>
              <w:ind w:firstLine="0" w:firstLineChars="0"/>
              <w:jc w:val="center"/>
              <w:rPr>
                <w:sz w:val="21"/>
                <w:szCs w:val="21"/>
              </w:rPr>
            </w:pPr>
            <w:r>
              <w:rPr>
                <w:sz w:val="21"/>
                <w:szCs w:val="21"/>
              </w:rPr>
              <w:t>5.79%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0" w:hRule="atLeast"/>
          <w:jc w:val="center"/>
        </w:trPr>
        <w:tc>
          <w:tcPr>
            <w:tcW w:w="846" w:type="dxa"/>
            <w:vMerge w:val="continue"/>
            <w:vAlign w:val="center"/>
          </w:tcPr>
          <w:p>
            <w:pPr>
              <w:spacing w:line="240" w:lineRule="auto"/>
              <w:ind w:firstLine="0" w:firstLineChars="0"/>
              <w:jc w:val="center"/>
              <w:rPr>
                <w:kern w:val="0"/>
                <w:sz w:val="21"/>
                <w:szCs w:val="21"/>
              </w:rPr>
            </w:pPr>
          </w:p>
        </w:tc>
        <w:tc>
          <w:tcPr>
            <w:tcW w:w="1134" w:type="dxa"/>
            <w:vMerge w:val="continue"/>
            <w:vAlign w:val="center"/>
          </w:tcPr>
          <w:p>
            <w:pPr>
              <w:spacing w:line="240" w:lineRule="auto"/>
              <w:ind w:firstLine="0" w:firstLineChars="0"/>
              <w:jc w:val="center"/>
              <w:rPr>
                <w:kern w:val="0"/>
                <w:sz w:val="21"/>
                <w:szCs w:val="21"/>
              </w:rPr>
            </w:pPr>
          </w:p>
        </w:tc>
        <w:tc>
          <w:tcPr>
            <w:tcW w:w="992" w:type="dxa"/>
            <w:vAlign w:val="center"/>
          </w:tcPr>
          <w:p>
            <w:pPr>
              <w:spacing w:line="240" w:lineRule="auto"/>
              <w:ind w:firstLine="0" w:firstLineChars="0"/>
              <w:jc w:val="center"/>
              <w:rPr>
                <w:kern w:val="0"/>
                <w:sz w:val="21"/>
                <w:szCs w:val="21"/>
              </w:rPr>
            </w:pPr>
            <w:r>
              <w:rPr>
                <w:kern w:val="0"/>
                <w:sz w:val="21"/>
                <w:szCs w:val="21"/>
              </w:rPr>
              <w:t>青冈</w:t>
            </w:r>
          </w:p>
        </w:tc>
        <w:tc>
          <w:tcPr>
            <w:tcW w:w="1134" w:type="dxa"/>
            <w:vAlign w:val="center"/>
          </w:tcPr>
          <w:p>
            <w:pPr>
              <w:spacing w:line="240" w:lineRule="auto"/>
              <w:ind w:firstLine="0" w:firstLineChars="0"/>
              <w:rPr>
                <w:kern w:val="0"/>
                <w:sz w:val="21"/>
                <w:szCs w:val="21"/>
              </w:rPr>
            </w:pPr>
            <w:r>
              <w:rPr>
                <w:kern w:val="0"/>
                <w:sz w:val="21"/>
                <w:szCs w:val="21"/>
              </w:rPr>
              <w:t>青冈群系</w:t>
            </w:r>
          </w:p>
        </w:tc>
        <w:tc>
          <w:tcPr>
            <w:tcW w:w="2365" w:type="dxa"/>
            <w:vAlign w:val="center"/>
          </w:tcPr>
          <w:p>
            <w:pPr>
              <w:spacing w:line="240" w:lineRule="auto"/>
              <w:ind w:firstLine="0" w:firstLineChars="0"/>
              <w:jc w:val="center"/>
              <w:rPr>
                <w:kern w:val="0"/>
                <w:sz w:val="21"/>
                <w:szCs w:val="21"/>
              </w:rPr>
            </w:pPr>
            <w:r>
              <w:rPr>
                <w:kern w:val="0"/>
                <w:sz w:val="21"/>
                <w:szCs w:val="21"/>
              </w:rPr>
              <w:t>开采区西北侧</w:t>
            </w:r>
          </w:p>
        </w:tc>
        <w:tc>
          <w:tcPr>
            <w:tcW w:w="1295" w:type="dxa"/>
            <w:vAlign w:val="center"/>
          </w:tcPr>
          <w:p>
            <w:pPr>
              <w:spacing w:line="240" w:lineRule="auto"/>
              <w:ind w:firstLine="0" w:firstLineChars="0"/>
              <w:jc w:val="center"/>
              <w:rPr>
                <w:kern w:val="0"/>
                <w:sz w:val="21"/>
                <w:szCs w:val="21"/>
              </w:rPr>
            </w:pPr>
            <w:r>
              <w:rPr>
                <w:sz w:val="21"/>
                <w:szCs w:val="21"/>
              </w:rPr>
              <w:t>6.34</w:t>
            </w:r>
          </w:p>
        </w:tc>
        <w:tc>
          <w:tcPr>
            <w:tcW w:w="1295" w:type="dxa"/>
            <w:vAlign w:val="bottom"/>
          </w:tcPr>
          <w:p>
            <w:pPr>
              <w:spacing w:line="240" w:lineRule="auto"/>
              <w:ind w:firstLine="0" w:firstLineChars="0"/>
              <w:jc w:val="center"/>
              <w:rPr>
                <w:sz w:val="21"/>
                <w:szCs w:val="21"/>
              </w:rPr>
            </w:pPr>
            <w:r>
              <w:rPr>
                <w:sz w:val="21"/>
                <w:szCs w:val="21"/>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kern w:val="0"/>
                <w:sz w:val="21"/>
                <w:szCs w:val="21"/>
              </w:rPr>
            </w:pPr>
            <w:r>
              <w:rPr>
                <w:kern w:val="0"/>
                <w:sz w:val="21"/>
                <w:szCs w:val="21"/>
              </w:rPr>
              <w:t>竹</w:t>
            </w:r>
          </w:p>
        </w:tc>
        <w:tc>
          <w:tcPr>
            <w:tcW w:w="1134" w:type="dxa"/>
            <w:vAlign w:val="center"/>
          </w:tcPr>
          <w:p>
            <w:pPr>
              <w:spacing w:line="240" w:lineRule="auto"/>
              <w:ind w:firstLine="0" w:firstLineChars="0"/>
              <w:jc w:val="center"/>
              <w:rPr>
                <w:kern w:val="0"/>
                <w:sz w:val="21"/>
                <w:szCs w:val="21"/>
              </w:rPr>
            </w:pPr>
            <w:r>
              <w:rPr>
                <w:kern w:val="0"/>
                <w:sz w:val="21"/>
                <w:szCs w:val="21"/>
              </w:rPr>
              <w:t>竹林</w:t>
            </w:r>
          </w:p>
        </w:tc>
        <w:tc>
          <w:tcPr>
            <w:tcW w:w="992" w:type="dxa"/>
            <w:vAlign w:val="center"/>
          </w:tcPr>
          <w:p>
            <w:pPr>
              <w:spacing w:line="240" w:lineRule="auto"/>
              <w:ind w:firstLine="0" w:firstLineChars="0"/>
              <w:jc w:val="center"/>
              <w:rPr>
                <w:kern w:val="0"/>
                <w:sz w:val="21"/>
                <w:szCs w:val="21"/>
              </w:rPr>
            </w:pPr>
            <w:r>
              <w:rPr>
                <w:kern w:val="0"/>
                <w:sz w:val="21"/>
                <w:szCs w:val="21"/>
              </w:rPr>
              <w:t>慈竹</w:t>
            </w:r>
          </w:p>
        </w:tc>
        <w:tc>
          <w:tcPr>
            <w:tcW w:w="1134" w:type="dxa"/>
            <w:vAlign w:val="center"/>
          </w:tcPr>
          <w:p>
            <w:pPr>
              <w:spacing w:line="240" w:lineRule="auto"/>
              <w:ind w:firstLine="0" w:firstLineChars="0"/>
              <w:jc w:val="center"/>
              <w:rPr>
                <w:kern w:val="0"/>
                <w:sz w:val="21"/>
                <w:szCs w:val="21"/>
              </w:rPr>
            </w:pPr>
            <w:r>
              <w:rPr>
                <w:kern w:val="0"/>
                <w:sz w:val="21"/>
                <w:szCs w:val="21"/>
              </w:rPr>
              <w:t>慈竹群系</w:t>
            </w:r>
          </w:p>
        </w:tc>
        <w:tc>
          <w:tcPr>
            <w:tcW w:w="2365" w:type="dxa"/>
            <w:vAlign w:val="center"/>
          </w:tcPr>
          <w:p>
            <w:pPr>
              <w:spacing w:line="240" w:lineRule="auto"/>
              <w:ind w:firstLine="0" w:firstLineChars="0"/>
              <w:jc w:val="center"/>
              <w:rPr>
                <w:kern w:val="0"/>
                <w:sz w:val="21"/>
                <w:szCs w:val="21"/>
              </w:rPr>
            </w:pPr>
            <w:r>
              <w:rPr>
                <w:kern w:val="0"/>
                <w:sz w:val="21"/>
                <w:szCs w:val="21"/>
              </w:rPr>
              <w:t>工业场地北侧、开采区北侧</w:t>
            </w:r>
          </w:p>
        </w:tc>
        <w:tc>
          <w:tcPr>
            <w:tcW w:w="1295" w:type="dxa"/>
            <w:vAlign w:val="center"/>
          </w:tcPr>
          <w:p>
            <w:pPr>
              <w:spacing w:line="240" w:lineRule="auto"/>
              <w:ind w:firstLine="0" w:firstLineChars="0"/>
              <w:jc w:val="center"/>
              <w:rPr>
                <w:kern w:val="0"/>
                <w:sz w:val="21"/>
                <w:szCs w:val="21"/>
              </w:rPr>
            </w:pPr>
            <w:r>
              <w:rPr>
                <w:kern w:val="0"/>
                <w:sz w:val="21"/>
                <w:szCs w:val="21"/>
              </w:rPr>
              <w:t>94.18</w:t>
            </w:r>
          </w:p>
        </w:tc>
        <w:tc>
          <w:tcPr>
            <w:tcW w:w="1295" w:type="dxa"/>
            <w:vAlign w:val="center"/>
          </w:tcPr>
          <w:p>
            <w:pPr>
              <w:spacing w:line="240" w:lineRule="auto"/>
              <w:ind w:firstLine="0" w:firstLineChars="0"/>
              <w:jc w:val="center"/>
              <w:rPr>
                <w:kern w:val="0"/>
                <w:sz w:val="21"/>
                <w:szCs w:val="21"/>
              </w:rPr>
            </w:pPr>
            <w:r>
              <w:rPr>
                <w:sz w:val="21"/>
                <w:szCs w:val="21"/>
              </w:rPr>
              <w:t>38.07%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kern w:val="0"/>
                <w:sz w:val="21"/>
                <w:szCs w:val="21"/>
              </w:rPr>
            </w:pPr>
            <w:r>
              <w:rPr>
                <w:kern w:val="0"/>
                <w:sz w:val="21"/>
                <w:szCs w:val="21"/>
              </w:rPr>
              <w:t>灌木林</w:t>
            </w:r>
          </w:p>
        </w:tc>
        <w:tc>
          <w:tcPr>
            <w:tcW w:w="1134" w:type="dxa"/>
            <w:vAlign w:val="center"/>
          </w:tcPr>
          <w:p>
            <w:pPr>
              <w:spacing w:line="240" w:lineRule="auto"/>
              <w:ind w:firstLine="0" w:firstLineChars="0"/>
              <w:jc w:val="center"/>
              <w:rPr>
                <w:kern w:val="0"/>
                <w:sz w:val="21"/>
                <w:szCs w:val="21"/>
              </w:rPr>
            </w:pPr>
            <w:r>
              <w:rPr>
                <w:kern w:val="0"/>
                <w:sz w:val="21"/>
                <w:szCs w:val="21"/>
              </w:rPr>
              <w:t>灌丛</w:t>
            </w:r>
          </w:p>
        </w:tc>
        <w:tc>
          <w:tcPr>
            <w:tcW w:w="992" w:type="dxa"/>
            <w:vAlign w:val="center"/>
          </w:tcPr>
          <w:p>
            <w:pPr>
              <w:spacing w:line="240" w:lineRule="auto"/>
              <w:ind w:firstLine="0" w:firstLineChars="0"/>
              <w:jc w:val="center"/>
              <w:rPr>
                <w:kern w:val="0"/>
                <w:sz w:val="21"/>
                <w:szCs w:val="21"/>
              </w:rPr>
            </w:pPr>
            <w:r>
              <w:rPr>
                <w:kern w:val="0"/>
                <w:sz w:val="21"/>
                <w:szCs w:val="21"/>
              </w:rPr>
              <w:t>灌木</w:t>
            </w:r>
          </w:p>
        </w:tc>
        <w:tc>
          <w:tcPr>
            <w:tcW w:w="1134" w:type="dxa"/>
            <w:vAlign w:val="center"/>
          </w:tcPr>
          <w:p>
            <w:pPr>
              <w:spacing w:line="240" w:lineRule="auto"/>
              <w:ind w:firstLine="0" w:firstLineChars="0"/>
              <w:jc w:val="center"/>
              <w:rPr>
                <w:kern w:val="0"/>
                <w:sz w:val="21"/>
                <w:szCs w:val="21"/>
              </w:rPr>
            </w:pPr>
            <w:r>
              <w:rPr>
                <w:kern w:val="0"/>
                <w:sz w:val="21"/>
                <w:szCs w:val="21"/>
              </w:rPr>
              <w:t>灌木群系</w:t>
            </w:r>
          </w:p>
        </w:tc>
        <w:tc>
          <w:tcPr>
            <w:tcW w:w="2365" w:type="dxa"/>
            <w:vAlign w:val="center"/>
          </w:tcPr>
          <w:p>
            <w:pPr>
              <w:spacing w:line="240" w:lineRule="auto"/>
              <w:ind w:firstLine="0" w:firstLineChars="0"/>
              <w:jc w:val="center"/>
              <w:rPr>
                <w:kern w:val="0"/>
                <w:sz w:val="21"/>
                <w:szCs w:val="21"/>
              </w:rPr>
            </w:pPr>
            <w:r>
              <w:rPr>
                <w:kern w:val="0"/>
                <w:sz w:val="21"/>
                <w:szCs w:val="21"/>
              </w:rPr>
              <w:t>开采区东侧</w:t>
            </w:r>
          </w:p>
        </w:tc>
        <w:tc>
          <w:tcPr>
            <w:tcW w:w="1295" w:type="dxa"/>
            <w:vAlign w:val="center"/>
          </w:tcPr>
          <w:p>
            <w:pPr>
              <w:spacing w:line="240" w:lineRule="auto"/>
              <w:ind w:firstLine="0" w:firstLineChars="0"/>
              <w:jc w:val="center"/>
              <w:rPr>
                <w:kern w:val="0"/>
                <w:sz w:val="21"/>
                <w:szCs w:val="21"/>
              </w:rPr>
            </w:pPr>
            <w:r>
              <w:rPr>
                <w:kern w:val="0"/>
                <w:sz w:val="21"/>
                <w:szCs w:val="21"/>
              </w:rPr>
              <w:t>3.20</w:t>
            </w:r>
          </w:p>
        </w:tc>
        <w:tc>
          <w:tcPr>
            <w:tcW w:w="1295" w:type="dxa"/>
            <w:vAlign w:val="center"/>
          </w:tcPr>
          <w:p>
            <w:pPr>
              <w:spacing w:line="240" w:lineRule="auto"/>
              <w:ind w:firstLine="0" w:firstLineChars="0"/>
              <w:jc w:val="center"/>
              <w:rPr>
                <w:kern w:val="0"/>
                <w:sz w:val="21"/>
                <w:szCs w:val="21"/>
              </w:rPr>
            </w:pPr>
            <w:r>
              <w:rPr>
                <w:sz w:val="21"/>
                <w:szCs w:val="21"/>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kern w:val="0"/>
                <w:sz w:val="21"/>
                <w:szCs w:val="21"/>
              </w:rPr>
            </w:pPr>
            <w:r>
              <w:rPr>
                <w:kern w:val="0"/>
                <w:sz w:val="21"/>
                <w:szCs w:val="21"/>
              </w:rPr>
              <w:t>草</w:t>
            </w:r>
          </w:p>
        </w:tc>
        <w:tc>
          <w:tcPr>
            <w:tcW w:w="1134" w:type="dxa"/>
            <w:vAlign w:val="center"/>
          </w:tcPr>
          <w:p>
            <w:pPr>
              <w:spacing w:line="240" w:lineRule="auto"/>
              <w:ind w:firstLine="0" w:firstLineChars="0"/>
              <w:jc w:val="center"/>
              <w:rPr>
                <w:kern w:val="0"/>
                <w:sz w:val="21"/>
                <w:szCs w:val="21"/>
              </w:rPr>
            </w:pPr>
            <w:r>
              <w:rPr>
                <w:kern w:val="0"/>
                <w:sz w:val="21"/>
                <w:szCs w:val="21"/>
              </w:rPr>
              <w:t>草丛</w:t>
            </w:r>
          </w:p>
        </w:tc>
        <w:tc>
          <w:tcPr>
            <w:tcW w:w="992" w:type="dxa"/>
            <w:vAlign w:val="center"/>
          </w:tcPr>
          <w:p>
            <w:pPr>
              <w:spacing w:line="240" w:lineRule="auto"/>
              <w:ind w:firstLine="0" w:firstLineChars="0"/>
              <w:jc w:val="center"/>
              <w:rPr>
                <w:kern w:val="0"/>
                <w:sz w:val="21"/>
                <w:szCs w:val="21"/>
              </w:rPr>
            </w:pPr>
            <w:r>
              <w:rPr>
                <w:kern w:val="0"/>
                <w:sz w:val="21"/>
                <w:szCs w:val="21"/>
              </w:rPr>
              <w:t>草本</w:t>
            </w:r>
          </w:p>
        </w:tc>
        <w:tc>
          <w:tcPr>
            <w:tcW w:w="1134" w:type="dxa"/>
            <w:vAlign w:val="center"/>
          </w:tcPr>
          <w:p>
            <w:pPr>
              <w:spacing w:line="240" w:lineRule="auto"/>
              <w:ind w:firstLine="0" w:firstLineChars="0"/>
              <w:jc w:val="center"/>
              <w:rPr>
                <w:kern w:val="0"/>
                <w:sz w:val="21"/>
                <w:szCs w:val="21"/>
              </w:rPr>
            </w:pPr>
            <w:r>
              <w:rPr>
                <w:kern w:val="0"/>
                <w:sz w:val="21"/>
                <w:szCs w:val="21"/>
              </w:rPr>
              <w:t>草本群系</w:t>
            </w:r>
          </w:p>
        </w:tc>
        <w:tc>
          <w:tcPr>
            <w:tcW w:w="2365" w:type="dxa"/>
            <w:vAlign w:val="center"/>
          </w:tcPr>
          <w:p>
            <w:pPr>
              <w:spacing w:line="240" w:lineRule="auto"/>
              <w:ind w:firstLine="0" w:firstLineChars="0"/>
              <w:jc w:val="center"/>
              <w:rPr>
                <w:kern w:val="0"/>
                <w:sz w:val="21"/>
                <w:szCs w:val="21"/>
              </w:rPr>
            </w:pPr>
            <w:r>
              <w:rPr>
                <w:kern w:val="0"/>
                <w:sz w:val="21"/>
                <w:szCs w:val="21"/>
              </w:rPr>
              <w:t>开采区西南侧</w:t>
            </w:r>
          </w:p>
        </w:tc>
        <w:tc>
          <w:tcPr>
            <w:tcW w:w="1295" w:type="dxa"/>
            <w:vAlign w:val="center"/>
          </w:tcPr>
          <w:p>
            <w:pPr>
              <w:spacing w:line="240" w:lineRule="auto"/>
              <w:ind w:firstLine="0" w:firstLineChars="0"/>
              <w:jc w:val="center"/>
              <w:rPr>
                <w:kern w:val="0"/>
                <w:sz w:val="21"/>
                <w:szCs w:val="21"/>
              </w:rPr>
            </w:pPr>
            <w:r>
              <w:rPr>
                <w:kern w:val="0"/>
                <w:sz w:val="21"/>
                <w:szCs w:val="21"/>
              </w:rPr>
              <w:t>1.01</w:t>
            </w:r>
          </w:p>
        </w:tc>
        <w:tc>
          <w:tcPr>
            <w:tcW w:w="1295" w:type="dxa"/>
            <w:vAlign w:val="center"/>
          </w:tcPr>
          <w:p>
            <w:pPr>
              <w:spacing w:line="240" w:lineRule="auto"/>
              <w:ind w:firstLine="0" w:firstLineChars="0"/>
              <w:jc w:val="center"/>
              <w:rPr>
                <w:kern w:val="0"/>
                <w:sz w:val="21"/>
                <w:szCs w:val="21"/>
              </w:rPr>
            </w:pPr>
            <w:r>
              <w:rPr>
                <w:sz w:val="21"/>
                <w:szCs w:val="21"/>
              </w:rPr>
              <w:t>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kern w:val="0"/>
                <w:sz w:val="21"/>
                <w:szCs w:val="21"/>
              </w:rPr>
            </w:pPr>
            <w:r>
              <w:rPr>
                <w:kern w:val="0"/>
                <w:sz w:val="21"/>
                <w:szCs w:val="21"/>
              </w:rPr>
              <w:t>农作物</w:t>
            </w:r>
          </w:p>
        </w:tc>
        <w:tc>
          <w:tcPr>
            <w:tcW w:w="1134" w:type="dxa"/>
            <w:vAlign w:val="center"/>
          </w:tcPr>
          <w:p>
            <w:pPr>
              <w:spacing w:line="240" w:lineRule="auto"/>
              <w:ind w:firstLine="0" w:firstLineChars="0"/>
              <w:jc w:val="center"/>
              <w:rPr>
                <w:kern w:val="0"/>
                <w:sz w:val="21"/>
                <w:szCs w:val="21"/>
              </w:rPr>
            </w:pPr>
            <w:r>
              <w:rPr>
                <w:kern w:val="0"/>
                <w:sz w:val="21"/>
                <w:szCs w:val="21"/>
              </w:rPr>
              <w:t>农田植被</w:t>
            </w:r>
          </w:p>
        </w:tc>
        <w:tc>
          <w:tcPr>
            <w:tcW w:w="992" w:type="dxa"/>
            <w:vAlign w:val="center"/>
          </w:tcPr>
          <w:p>
            <w:pPr>
              <w:spacing w:line="240" w:lineRule="auto"/>
              <w:ind w:firstLine="0" w:firstLineChars="0"/>
              <w:jc w:val="center"/>
              <w:rPr>
                <w:kern w:val="0"/>
                <w:sz w:val="21"/>
                <w:szCs w:val="21"/>
              </w:rPr>
            </w:pPr>
            <w:r>
              <w:rPr>
                <w:kern w:val="0"/>
                <w:sz w:val="21"/>
                <w:szCs w:val="21"/>
              </w:rPr>
              <w:t>/</w:t>
            </w:r>
          </w:p>
        </w:tc>
        <w:tc>
          <w:tcPr>
            <w:tcW w:w="1134" w:type="dxa"/>
            <w:vAlign w:val="center"/>
          </w:tcPr>
          <w:p>
            <w:pPr>
              <w:spacing w:line="240" w:lineRule="auto"/>
              <w:ind w:firstLine="0" w:firstLineChars="0"/>
              <w:jc w:val="center"/>
              <w:rPr>
                <w:kern w:val="0"/>
                <w:sz w:val="21"/>
                <w:szCs w:val="21"/>
              </w:rPr>
            </w:pPr>
            <w:r>
              <w:rPr>
                <w:kern w:val="0"/>
                <w:sz w:val="21"/>
                <w:szCs w:val="21"/>
              </w:rPr>
              <w:t>/</w:t>
            </w:r>
          </w:p>
        </w:tc>
        <w:tc>
          <w:tcPr>
            <w:tcW w:w="2365" w:type="dxa"/>
            <w:vAlign w:val="center"/>
          </w:tcPr>
          <w:p>
            <w:pPr>
              <w:spacing w:line="240" w:lineRule="auto"/>
              <w:ind w:firstLine="0" w:firstLineChars="0"/>
              <w:jc w:val="center"/>
              <w:rPr>
                <w:kern w:val="0"/>
                <w:sz w:val="21"/>
                <w:szCs w:val="21"/>
              </w:rPr>
            </w:pPr>
            <w:r>
              <w:rPr>
                <w:kern w:val="0"/>
                <w:sz w:val="21"/>
                <w:szCs w:val="21"/>
              </w:rPr>
              <w:t>开采区南侧、工业场地西南侧</w:t>
            </w:r>
          </w:p>
        </w:tc>
        <w:tc>
          <w:tcPr>
            <w:tcW w:w="1295" w:type="dxa"/>
            <w:vAlign w:val="center"/>
          </w:tcPr>
          <w:p>
            <w:pPr>
              <w:spacing w:line="240" w:lineRule="auto"/>
              <w:ind w:firstLine="0" w:firstLineChars="0"/>
              <w:jc w:val="center"/>
              <w:rPr>
                <w:kern w:val="0"/>
                <w:sz w:val="21"/>
                <w:szCs w:val="21"/>
              </w:rPr>
            </w:pPr>
            <w:r>
              <w:rPr>
                <w:kern w:val="0"/>
                <w:sz w:val="21"/>
                <w:szCs w:val="21"/>
              </w:rPr>
              <w:t>61.39</w:t>
            </w:r>
          </w:p>
        </w:tc>
        <w:tc>
          <w:tcPr>
            <w:tcW w:w="1295" w:type="dxa"/>
            <w:vAlign w:val="center"/>
          </w:tcPr>
          <w:p>
            <w:pPr>
              <w:spacing w:line="240" w:lineRule="auto"/>
              <w:ind w:firstLine="0" w:firstLineChars="0"/>
              <w:jc w:val="center"/>
              <w:rPr>
                <w:kern w:val="0"/>
                <w:sz w:val="21"/>
                <w:szCs w:val="21"/>
              </w:rPr>
            </w:pPr>
            <w:r>
              <w:rPr>
                <w:sz w:val="21"/>
                <w:szCs w:val="21"/>
              </w:rPr>
              <w:t>24.82%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kern w:val="0"/>
                <w:sz w:val="21"/>
                <w:szCs w:val="21"/>
              </w:rPr>
            </w:pPr>
            <w:r>
              <w:rPr>
                <w:kern w:val="0"/>
                <w:sz w:val="21"/>
                <w:szCs w:val="21"/>
              </w:rPr>
              <w:t>无植被地段</w:t>
            </w:r>
          </w:p>
        </w:tc>
        <w:tc>
          <w:tcPr>
            <w:tcW w:w="1134" w:type="dxa"/>
            <w:vAlign w:val="center"/>
          </w:tcPr>
          <w:p>
            <w:pPr>
              <w:spacing w:line="240" w:lineRule="auto"/>
              <w:ind w:firstLine="0" w:firstLineChars="0"/>
              <w:jc w:val="center"/>
              <w:rPr>
                <w:kern w:val="0"/>
                <w:sz w:val="21"/>
                <w:szCs w:val="21"/>
              </w:rPr>
            </w:pPr>
            <w:r>
              <w:rPr>
                <w:kern w:val="0"/>
                <w:sz w:val="21"/>
                <w:szCs w:val="21"/>
              </w:rPr>
              <w:t>/</w:t>
            </w:r>
          </w:p>
        </w:tc>
        <w:tc>
          <w:tcPr>
            <w:tcW w:w="992" w:type="dxa"/>
            <w:vAlign w:val="center"/>
          </w:tcPr>
          <w:p>
            <w:pPr>
              <w:spacing w:line="240" w:lineRule="auto"/>
              <w:ind w:firstLine="0" w:firstLineChars="0"/>
              <w:jc w:val="center"/>
              <w:rPr>
                <w:kern w:val="0"/>
                <w:sz w:val="21"/>
                <w:szCs w:val="21"/>
              </w:rPr>
            </w:pPr>
            <w:r>
              <w:rPr>
                <w:kern w:val="0"/>
                <w:sz w:val="21"/>
                <w:szCs w:val="21"/>
              </w:rPr>
              <w:t>/</w:t>
            </w:r>
          </w:p>
        </w:tc>
        <w:tc>
          <w:tcPr>
            <w:tcW w:w="1134" w:type="dxa"/>
            <w:vAlign w:val="center"/>
          </w:tcPr>
          <w:p>
            <w:pPr>
              <w:spacing w:line="240" w:lineRule="auto"/>
              <w:ind w:firstLine="0" w:firstLineChars="0"/>
              <w:jc w:val="center"/>
              <w:rPr>
                <w:kern w:val="0"/>
                <w:sz w:val="21"/>
                <w:szCs w:val="21"/>
              </w:rPr>
            </w:pPr>
            <w:r>
              <w:rPr>
                <w:kern w:val="0"/>
                <w:sz w:val="21"/>
                <w:szCs w:val="21"/>
              </w:rPr>
              <w:t>/</w:t>
            </w:r>
          </w:p>
        </w:tc>
        <w:tc>
          <w:tcPr>
            <w:tcW w:w="2365" w:type="dxa"/>
            <w:vAlign w:val="center"/>
          </w:tcPr>
          <w:p>
            <w:pPr>
              <w:spacing w:line="240" w:lineRule="auto"/>
              <w:ind w:firstLine="0" w:firstLineChars="0"/>
              <w:jc w:val="center"/>
              <w:rPr>
                <w:kern w:val="0"/>
                <w:sz w:val="21"/>
                <w:szCs w:val="21"/>
              </w:rPr>
            </w:pPr>
            <w:r>
              <w:rPr>
                <w:kern w:val="0"/>
                <w:sz w:val="21"/>
                <w:szCs w:val="21"/>
              </w:rPr>
              <w:t>开采区西南、工业场地南侧</w:t>
            </w:r>
          </w:p>
        </w:tc>
        <w:tc>
          <w:tcPr>
            <w:tcW w:w="1295" w:type="dxa"/>
            <w:vAlign w:val="center"/>
          </w:tcPr>
          <w:p>
            <w:pPr>
              <w:spacing w:line="240" w:lineRule="auto"/>
              <w:ind w:firstLine="0" w:firstLineChars="0"/>
              <w:jc w:val="center"/>
              <w:rPr>
                <w:kern w:val="0"/>
                <w:sz w:val="21"/>
                <w:szCs w:val="21"/>
              </w:rPr>
            </w:pPr>
            <w:r>
              <w:rPr>
                <w:kern w:val="0"/>
                <w:sz w:val="21"/>
                <w:szCs w:val="21"/>
              </w:rPr>
              <w:t>25.56</w:t>
            </w:r>
          </w:p>
        </w:tc>
        <w:tc>
          <w:tcPr>
            <w:tcW w:w="1295" w:type="dxa"/>
            <w:vAlign w:val="center"/>
          </w:tcPr>
          <w:p>
            <w:pPr>
              <w:spacing w:line="240" w:lineRule="auto"/>
              <w:ind w:firstLine="0" w:firstLineChars="0"/>
              <w:jc w:val="center"/>
              <w:rPr>
                <w:kern w:val="0"/>
                <w:sz w:val="21"/>
                <w:szCs w:val="21"/>
              </w:rPr>
            </w:pPr>
            <w:r>
              <w:rPr>
                <w:sz w:val="21"/>
                <w:szCs w:val="21"/>
              </w:rPr>
              <w:t>10.33%</w:t>
            </w:r>
          </w:p>
        </w:tc>
      </w:tr>
    </w:tbl>
    <w:p>
      <w:pPr>
        <w:ind w:firstLine="480"/>
        <w:jc w:val="both"/>
        <w:rPr>
          <w:sz w:val="24"/>
          <w:szCs w:val="24"/>
        </w:rPr>
      </w:pPr>
      <w:r>
        <w:rPr>
          <w:sz w:val="24"/>
          <w:szCs w:val="24"/>
        </w:rPr>
        <w:t>（三）典型植被样方调查结果</w:t>
      </w:r>
    </w:p>
    <w:p>
      <w:pPr>
        <w:ind w:firstLine="480"/>
        <w:jc w:val="both"/>
        <w:rPr>
          <w:sz w:val="24"/>
          <w:szCs w:val="24"/>
        </w:rPr>
      </w:pPr>
      <w:r>
        <w:rPr>
          <w:sz w:val="24"/>
          <w:szCs w:val="24"/>
        </w:rPr>
        <w:t>根据对以上群系典型样地调查，结果如下：</w:t>
      </w:r>
    </w:p>
    <w:p>
      <w:pPr>
        <w:ind w:firstLine="480"/>
        <w:jc w:val="both"/>
        <w:rPr>
          <w:sz w:val="24"/>
          <w:szCs w:val="24"/>
        </w:rPr>
      </w:pPr>
      <w:r>
        <w:rPr>
          <w:sz w:val="24"/>
          <w:szCs w:val="24"/>
        </w:rPr>
        <w:t>（1）常绿或落叶阔叶林</w:t>
      </w:r>
    </w:p>
    <w:p>
      <w:pPr>
        <w:ind w:firstLine="480"/>
        <w:jc w:val="both"/>
        <w:rPr>
          <w:sz w:val="24"/>
          <w:szCs w:val="24"/>
        </w:rPr>
      </w:pPr>
      <w:r>
        <w:rPr>
          <w:sz w:val="24"/>
          <w:szCs w:val="24"/>
        </w:rPr>
        <w:t>该植被类型以人工林半人工林为主，群落中主要树种有楝、栎、竹子、枫杨等，评价区内广泛分布，外貌呈浅绿或棕绿色。</w:t>
      </w:r>
    </w:p>
    <w:p>
      <w:pPr>
        <w:ind w:firstLine="480"/>
        <w:jc w:val="both"/>
        <w:rPr>
          <w:sz w:val="24"/>
          <w:szCs w:val="24"/>
        </w:rPr>
      </w:pPr>
      <w:r>
        <w:rPr>
          <w:sz w:val="24"/>
          <w:szCs w:val="24"/>
        </w:rPr>
        <w:t>落叶阔叶林以半人工林内为主，通过对典型样地进行调查，样地总盖度约40%，乔木层树种以栎为主，掺杂有楝、竹子、枫杨、刺楸、香樟等，平均高度14m，平均胸径35cm，郁闭度30%；林下灌木层发育一般，有胡桃、棕树、桑、梨、紫麻、六月雪、毛桐插田泡等，灌木层平均高度约3.0m，盖度约30%；林下草本层茂盛，有艾、芦苇、紫堇、五节芒、蛇莓、凤尾蕨、白茅、葛、艾、糯米团等，平均高度约0.25m，盖度约38%。</w:t>
      </w:r>
    </w:p>
    <w:p>
      <w:pPr>
        <w:ind w:firstLine="480"/>
        <w:jc w:val="both"/>
        <w:rPr>
          <w:sz w:val="24"/>
          <w:szCs w:val="24"/>
        </w:rPr>
      </w:pPr>
    </w:p>
    <w:p>
      <w:pPr>
        <w:ind w:firstLine="480"/>
        <w:jc w:val="both"/>
        <w:rPr>
          <w:sz w:val="24"/>
          <w:szCs w:val="24"/>
        </w:rPr>
      </w:pPr>
    </w:p>
    <w:p>
      <w:pPr>
        <w:ind w:firstLine="480"/>
        <w:jc w:val="both"/>
        <w:rPr>
          <w:sz w:val="24"/>
          <w:szCs w:val="24"/>
        </w:rPr>
      </w:pPr>
    </w:p>
    <w:p>
      <w:pPr>
        <w:ind w:firstLine="480"/>
        <w:jc w:val="both"/>
        <w:rPr>
          <w:sz w:val="24"/>
          <w:szCs w:val="24"/>
        </w:rPr>
      </w:pPr>
    </w:p>
    <w:p>
      <w:pPr>
        <w:ind w:firstLine="480"/>
        <w:jc w:val="both"/>
        <w:rPr>
          <w:sz w:val="24"/>
          <w:szCs w:val="24"/>
        </w:rPr>
      </w:pPr>
    </w:p>
    <w:p>
      <w:pPr>
        <w:ind w:firstLine="480"/>
        <w:jc w:val="both"/>
        <w:rPr>
          <w:sz w:val="24"/>
          <w:szCs w:val="24"/>
        </w:rPr>
      </w:pPr>
    </w:p>
    <w:p>
      <w:pPr>
        <w:ind w:firstLine="0" w:firstLineChars="0"/>
        <w:jc w:val="center"/>
        <w:rPr>
          <w:sz w:val="24"/>
          <w:szCs w:val="24"/>
        </w:rPr>
      </w:pPr>
      <w:r>
        <w:rPr>
          <w:sz w:val="24"/>
          <w:szCs w:val="24"/>
        </w:rPr>
        <w:t>表4.2-5  样方调查表（S3）</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761"/>
        <w:gridCol w:w="771"/>
        <w:gridCol w:w="1560"/>
        <w:gridCol w:w="1203"/>
        <w:gridCol w:w="1270"/>
        <w:gridCol w:w="1116"/>
        <w:gridCol w:w="1270"/>
        <w:gridCol w:w="115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bookmarkStart w:id="140" w:name="_Hlk162015797"/>
            <w:r>
              <w:rPr>
                <w:kern w:val="0"/>
                <w:sz w:val="21"/>
                <w:szCs w:val="21"/>
                <w:lang w:bidi="ar"/>
              </w:rPr>
              <w:t>样地名称</w:t>
            </w:r>
          </w:p>
        </w:tc>
        <w:tc>
          <w:tcPr>
            <w:tcW w:w="130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乔木</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33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S3</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10m×10m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0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106°18′40.34″</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33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29°55′2.21″</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0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33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西北</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8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32" w:hRule="atLeast"/>
          <w:jc w:val="center"/>
        </w:trPr>
        <w:tc>
          <w:tcPr>
            <w:tcW w:w="430" w:type="pct"/>
            <w:tcBorders>
              <w:tl2br w:val="nil"/>
              <w:tr2bl w:val="nil"/>
            </w:tcBorders>
            <w:vAlign w:val="center"/>
          </w:tcPr>
          <w:p>
            <w:pPr>
              <w:spacing w:line="240" w:lineRule="atLeast"/>
              <w:ind w:firstLine="0" w:firstLineChars="0"/>
              <w:jc w:val="center"/>
              <w:textAlignment w:val="center"/>
              <w:rPr>
                <w:sz w:val="21"/>
                <w:szCs w:val="21"/>
              </w:rPr>
            </w:pPr>
            <w:r>
              <w:rPr>
                <w:kern w:val="0"/>
                <w:sz w:val="21"/>
                <w:szCs w:val="21"/>
                <w:lang w:bidi="ar"/>
              </w:rPr>
              <w:t>乔木层</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枫杨</w:t>
            </w:r>
          </w:p>
        </w:tc>
        <w:tc>
          <w:tcPr>
            <w:tcW w:w="1542" w:type="pct"/>
            <w:gridSpan w:val="2"/>
            <w:tcBorders>
              <w:tl2br w:val="nil"/>
              <w:tr2bl w:val="nil"/>
            </w:tcBorders>
            <w:vAlign w:val="center"/>
          </w:tcPr>
          <w:p>
            <w:pPr>
              <w:spacing w:line="240" w:lineRule="atLeast"/>
              <w:ind w:firstLine="0" w:firstLineChars="0"/>
              <w:jc w:val="center"/>
              <w:rPr>
                <w:i/>
                <w:sz w:val="21"/>
                <w:szCs w:val="21"/>
              </w:rPr>
            </w:pPr>
            <w:r>
              <w:rPr>
                <w:i/>
                <w:sz w:val="21"/>
                <w:szCs w:val="21"/>
              </w:rPr>
              <w:t>Pterocarya stenoptera C. DC.</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w:t>
            </w:r>
          </w:p>
        </w:tc>
        <w:tc>
          <w:tcPr>
            <w:tcW w:w="6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15~18</w:t>
            </w:r>
          </w:p>
        </w:tc>
        <w:tc>
          <w:tcPr>
            <w:tcW w:w="54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70"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w:t>
            </w:r>
          </w:p>
        </w:tc>
        <w:tc>
          <w:tcPr>
            <w:tcW w:w="43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1542" w:type="pct"/>
            <w:gridSpan w:val="2"/>
            <w:tcBorders>
              <w:tl2br w:val="nil"/>
              <w:tr2bl w:val="nil"/>
            </w:tcBorders>
            <w:vAlign w:val="center"/>
          </w:tcPr>
          <w:p>
            <w:pPr>
              <w:spacing w:line="240" w:lineRule="atLeast"/>
              <w:ind w:firstLine="0" w:firstLineChars="0"/>
              <w:jc w:val="center"/>
              <w:rPr>
                <w:i/>
                <w:sz w:val="21"/>
                <w:szCs w:val="21"/>
              </w:rPr>
            </w:pPr>
            <w:r>
              <w:rPr>
                <w:i/>
                <w:sz w:val="21"/>
                <w:szCs w:val="21"/>
              </w:rPr>
              <w:t>-</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6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4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6" w:type="pct"/>
            <w:tcBorders>
              <w:tl2br w:val="nil"/>
              <w:tr2bl w:val="nil"/>
            </w:tcBorders>
            <w:vAlign w:val="center"/>
          </w:tcPr>
          <w:p>
            <w:pPr>
              <w:spacing w:line="240" w:lineRule="atLeast"/>
              <w:ind w:firstLine="0" w:firstLineChars="0"/>
              <w:jc w:val="center"/>
              <w:rPr>
                <w:sz w:val="21"/>
                <w:szCs w:val="21"/>
              </w:rPr>
            </w:pPr>
            <w:r>
              <w:rPr>
                <w:sz w:val="21"/>
                <w:szCs w:val="21"/>
              </w:rPr>
              <w:t>芦苇</w:t>
            </w:r>
          </w:p>
        </w:tc>
        <w:tc>
          <w:tcPr>
            <w:tcW w:w="15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21"/>
                <w:szCs w:val="18"/>
                <w:shd w:val="clear" w:color="auto" w:fill="FFFFFF"/>
              </w:rPr>
              <w:t>Phragmites australis</w:t>
            </w:r>
            <w:r>
              <w:rPr>
                <w:rStyle w:val="3242"/>
                <w:i/>
                <w:sz w:val="21"/>
                <w:szCs w:val="18"/>
                <w:shd w:val="clear" w:color="auto" w:fill="FFFFFF"/>
              </w:rPr>
              <w:t> （Cav.） Trin. ex Steud</w:t>
            </w:r>
          </w:p>
        </w:tc>
        <w:tc>
          <w:tcPr>
            <w:tcW w:w="710"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25" w:type="pct"/>
            <w:tcBorders>
              <w:tl2br w:val="nil"/>
              <w:tr2bl w:val="nil"/>
            </w:tcBorders>
            <w:vAlign w:val="center"/>
          </w:tcPr>
          <w:p>
            <w:pPr>
              <w:spacing w:line="240" w:lineRule="atLeast"/>
              <w:ind w:firstLine="0" w:firstLineChars="0"/>
              <w:jc w:val="center"/>
              <w:rPr>
                <w:sz w:val="21"/>
                <w:szCs w:val="21"/>
              </w:rPr>
            </w:pPr>
            <w:r>
              <w:rPr>
                <w:sz w:val="21"/>
                <w:szCs w:val="21"/>
              </w:rPr>
              <w:t>COP1</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1.8~2.2</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36" w:type="pct"/>
            <w:tcBorders>
              <w:tl2br w:val="nil"/>
              <w:tr2bl w:val="nil"/>
            </w:tcBorders>
            <w:vAlign w:val="center"/>
          </w:tcPr>
          <w:p>
            <w:pPr>
              <w:spacing w:line="240" w:lineRule="atLeast"/>
              <w:ind w:firstLine="0" w:firstLineChars="0"/>
              <w:jc w:val="center"/>
              <w:rPr>
                <w:sz w:val="21"/>
                <w:szCs w:val="21"/>
              </w:rPr>
            </w:pPr>
            <w:r>
              <w:rPr>
                <w:sz w:val="21"/>
                <w:szCs w:val="21"/>
              </w:rPr>
              <w:t>紫堇</w:t>
            </w:r>
          </w:p>
        </w:tc>
        <w:tc>
          <w:tcPr>
            <w:tcW w:w="1542" w:type="pct"/>
            <w:gridSpan w:val="2"/>
            <w:tcBorders>
              <w:tl2br w:val="nil"/>
              <w:tr2bl w:val="nil"/>
            </w:tcBorders>
            <w:vAlign w:val="center"/>
          </w:tcPr>
          <w:p>
            <w:pPr>
              <w:spacing w:line="240" w:lineRule="atLeast"/>
              <w:ind w:firstLine="0" w:firstLineChars="0"/>
              <w:jc w:val="center"/>
              <w:rPr>
                <w:sz w:val="21"/>
                <w:szCs w:val="21"/>
              </w:rPr>
            </w:pPr>
            <w:r>
              <w:rPr>
                <w:rStyle w:val="3242"/>
                <w:i/>
                <w:iCs/>
                <w:sz w:val="18"/>
                <w:szCs w:val="18"/>
                <w:shd w:val="clear" w:color="auto" w:fill="FFFFFF"/>
              </w:rPr>
              <w:t>Corydalis edulis</w:t>
            </w:r>
            <w:r>
              <w:rPr>
                <w:rStyle w:val="3242"/>
                <w:sz w:val="18"/>
                <w:szCs w:val="18"/>
                <w:shd w:val="clear" w:color="auto" w:fill="FFFFFF"/>
              </w:rPr>
              <w:t> Maxim.</w:t>
            </w:r>
          </w:p>
        </w:tc>
        <w:tc>
          <w:tcPr>
            <w:tcW w:w="710"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25"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10~20</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3</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艾</w:t>
            </w:r>
          </w:p>
        </w:tc>
        <w:tc>
          <w:tcPr>
            <w:tcW w:w="1542" w:type="pct"/>
            <w:gridSpan w:val="2"/>
            <w:tcBorders>
              <w:tl2br w:val="nil"/>
              <w:tr2bl w:val="nil"/>
            </w:tcBorders>
            <w:vAlign w:val="center"/>
          </w:tcPr>
          <w:p>
            <w:pPr>
              <w:spacing w:line="240" w:lineRule="atLeast"/>
              <w:ind w:firstLine="0" w:firstLineChars="0"/>
              <w:jc w:val="center"/>
              <w:rPr>
                <w:i/>
                <w:sz w:val="21"/>
                <w:szCs w:val="21"/>
              </w:rPr>
            </w:pPr>
            <w:r>
              <w:rPr>
                <w:sz w:val="21"/>
              </w:rPr>
              <w:t>Artemisia argyi</w:t>
            </w:r>
            <w:r>
              <w:rPr>
                <w:i/>
                <w:sz w:val="21"/>
              </w:rPr>
              <w:t> H. Lév. &amp; Vaniot</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COP1</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10~15</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3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五节芒</w:t>
            </w:r>
          </w:p>
        </w:tc>
        <w:tc>
          <w:tcPr>
            <w:tcW w:w="1542" w:type="pct"/>
            <w:gridSpan w:val="2"/>
            <w:tcBorders>
              <w:tl2br w:val="nil"/>
              <w:tr2bl w:val="nil"/>
            </w:tcBorders>
            <w:vAlign w:val="center"/>
          </w:tcPr>
          <w:p>
            <w:pPr>
              <w:spacing w:line="240" w:lineRule="atLeast"/>
              <w:ind w:firstLine="0" w:firstLineChars="0"/>
              <w:jc w:val="center"/>
              <w:rPr>
                <w:i/>
                <w:sz w:val="21"/>
                <w:szCs w:val="21"/>
              </w:rPr>
            </w:pPr>
            <w:r>
              <w:rPr>
                <w:rStyle w:val="3243"/>
                <w:i/>
                <w:iCs/>
                <w:sz w:val="18"/>
                <w:szCs w:val="18"/>
                <w:shd w:val="clear" w:color="auto" w:fill="FFFFFF"/>
              </w:rPr>
              <w:t>Miscanthus floridulus </w:t>
            </w:r>
            <w:r>
              <w:rPr>
                <w:rStyle w:val="3243"/>
                <w:sz w:val="18"/>
                <w:szCs w:val="18"/>
                <w:shd w:val="clear" w:color="auto" w:fill="FFFFFF"/>
              </w:rPr>
              <w:t>（Lab.） Warb. ex Schum. et Lau</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SOL</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40~50</w:t>
            </w:r>
          </w:p>
        </w:tc>
        <w:tc>
          <w:tcPr>
            <w:tcW w:w="54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408"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152015" cy="2684145"/>
                  <wp:effectExtent l="635" t="0" r="1270" b="1270"/>
                  <wp:docPr id="39"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true" noChangeArrowheads="true"/>
                          </pic:cNvPicPr>
                        </pic:nvPicPr>
                        <pic:blipFill>
                          <a:blip r:embed="rId65" cstate="print">
                            <a:extLst>
                              <a:ext uri="{28A0092B-C50C-407E-A947-70E740481C1C}">
                                <a14:useLocalDpi xmlns:a14="http://schemas.microsoft.com/office/drawing/2010/main" val="false"/>
                              </a:ext>
                            </a:extLst>
                          </a:blip>
                          <a:srcRect/>
                          <a:stretch>
                            <a:fillRect/>
                          </a:stretch>
                        </pic:blipFill>
                        <pic:spPr>
                          <a:xfrm rot="5400000">
                            <a:off x="0" y="0"/>
                            <a:ext cx="2175565" cy="2713723"/>
                          </a:xfrm>
                          <a:prstGeom prst="rect">
                            <a:avLst/>
                          </a:prstGeom>
                          <a:noFill/>
                          <a:ln>
                            <a:noFill/>
                          </a:ln>
                        </pic:spPr>
                      </pic:pic>
                    </a:graphicData>
                  </a:graphic>
                </wp:inline>
              </w:drawing>
            </w:r>
          </w:p>
        </w:tc>
        <w:tc>
          <w:tcPr>
            <w:tcW w:w="2592"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805430" cy="2206625"/>
                  <wp:effectExtent l="0" t="0" r="0" b="3175"/>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noChangeArrowheads="true"/>
                          </pic:cNvPicPr>
                        </pic:nvPicPr>
                        <pic:blipFill>
                          <a:blip r:embed="rId66" cstate="print">
                            <a:extLst>
                              <a:ext uri="{28A0092B-C50C-407E-A947-70E740481C1C}">
                                <a14:useLocalDpi xmlns:a14="http://schemas.microsoft.com/office/drawing/2010/main" val="false"/>
                              </a:ext>
                            </a:extLst>
                          </a:blip>
                          <a:srcRect/>
                          <a:stretch>
                            <a:fillRect/>
                          </a:stretch>
                        </pic:blipFill>
                        <pic:spPr>
                          <a:xfrm rot="10800000">
                            <a:off x="0" y="0"/>
                            <a:ext cx="2813470" cy="2213083"/>
                          </a:xfrm>
                          <a:prstGeom prst="rect">
                            <a:avLst/>
                          </a:prstGeom>
                          <a:noFill/>
                          <a:ln>
                            <a:noFill/>
                          </a:ln>
                        </pic:spPr>
                      </pic:pic>
                    </a:graphicData>
                  </a:graphic>
                </wp:inline>
              </w:drawing>
            </w:r>
          </w:p>
        </w:tc>
      </w:tr>
      <w:bookmarkEnd w:id="140"/>
    </w:tbl>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r>
        <w:rPr>
          <w:sz w:val="24"/>
          <w:szCs w:val="24"/>
        </w:rPr>
        <w:t>表4.2-6  样方调查表（S5）</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03"/>
        <w:gridCol w:w="810"/>
        <w:gridCol w:w="1589"/>
        <w:gridCol w:w="1239"/>
        <w:gridCol w:w="1221"/>
        <w:gridCol w:w="1068"/>
        <w:gridCol w:w="1221"/>
        <w:gridCol w:w="115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bookmarkStart w:id="141" w:name="_Hlk162015809"/>
            <w:r>
              <w:rPr>
                <w:kern w:val="0"/>
                <w:sz w:val="21"/>
                <w:szCs w:val="21"/>
                <w:lang w:bidi="ar"/>
              </w:rPr>
              <w:t>样地名称</w:t>
            </w:r>
          </w:p>
        </w:tc>
        <w:tc>
          <w:tcPr>
            <w:tcW w:w="134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乔木</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8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S5</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10m×10m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4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106°18′30.84″</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8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29°55′5.86″</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442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4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8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东南</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30</w:t>
            </w:r>
          </w:p>
        </w:tc>
        <w:tc>
          <w:tcPr>
            <w:tcW w:w="88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26" w:hRule="atLeast"/>
          <w:jc w:val="center"/>
        </w:trPr>
        <w:tc>
          <w:tcPr>
            <w:tcW w:w="456"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银桦</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Grevillea robusta</w:t>
            </w:r>
            <w:r>
              <w:rPr>
                <w:rStyle w:val="3242"/>
                <w:sz w:val="18"/>
                <w:szCs w:val="18"/>
                <w:shd w:val="clear" w:color="auto" w:fill="FFFFFF"/>
              </w:rPr>
              <w:t> A. Cunn. ex R. Br.</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w:t>
            </w:r>
          </w:p>
        </w:tc>
        <w:tc>
          <w:tcPr>
            <w:tcW w:w="60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18-23</w:t>
            </w:r>
          </w:p>
        </w:tc>
        <w:tc>
          <w:tcPr>
            <w:tcW w:w="53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60-70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1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0" w:type="pct"/>
            <w:tcBorders>
              <w:tl2br w:val="nil"/>
              <w:tr2bl w:val="nil"/>
            </w:tcBorders>
            <w:vAlign w:val="center"/>
          </w:tcPr>
          <w:p>
            <w:pPr>
              <w:spacing w:line="240" w:lineRule="atLeast"/>
              <w:ind w:firstLine="0" w:firstLineChars="0"/>
              <w:jc w:val="center"/>
              <w:rPr>
                <w:sz w:val="21"/>
                <w:szCs w:val="21"/>
              </w:rPr>
            </w:pPr>
            <w:r>
              <w:rPr>
                <w:sz w:val="21"/>
                <w:szCs w:val="21"/>
              </w:rPr>
              <w:t>胡桃</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i/>
                <w:sz w:val="21"/>
                <w:szCs w:val="21"/>
              </w:rPr>
              <w:t>Juglans regia L.</w:t>
            </w:r>
          </w:p>
        </w:tc>
        <w:tc>
          <w:tcPr>
            <w:tcW w:w="685" w:type="pct"/>
            <w:tcBorders>
              <w:tl2br w:val="nil"/>
              <w:tr2bl w:val="nil"/>
            </w:tcBorders>
            <w:vAlign w:val="center"/>
          </w:tcPr>
          <w:p>
            <w:pPr>
              <w:spacing w:line="240" w:lineRule="atLeast"/>
              <w:ind w:firstLine="0" w:firstLineChars="0"/>
              <w:jc w:val="center"/>
              <w:rPr>
                <w:sz w:val="21"/>
                <w:szCs w:val="21"/>
              </w:rPr>
            </w:pPr>
            <w:r>
              <w:rPr>
                <w:sz w:val="21"/>
                <w:szCs w:val="21"/>
              </w:rPr>
              <w:t>4</w:t>
            </w:r>
          </w:p>
        </w:tc>
        <w:tc>
          <w:tcPr>
            <w:tcW w:w="601"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棕树</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i/>
                <w:sz w:val="21"/>
              </w:rPr>
              <w:t>Trachycarpus fortunei （Hook.） H. Wendl.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60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2~4</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艾</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sz w:val="21"/>
              </w:rPr>
              <w:t>Artemisia argyi</w:t>
            </w:r>
            <w:r>
              <w:rPr>
                <w:i/>
                <w:sz w:val="21"/>
              </w:rPr>
              <w:t> H. Lév. &amp; Vaniot</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COP1</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10~15</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499"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699385" cy="2024380"/>
                  <wp:effectExtent l="0" t="0" r="5715" b="0"/>
                  <wp:docPr id="4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true" noChangeArrowheads="true"/>
                          </pic:cNvPicPr>
                        </pic:nvPicPr>
                        <pic:blipFill>
                          <a:blip r:embed="rId67" cstate="print">
                            <a:extLst>
                              <a:ext uri="{28A0092B-C50C-407E-A947-70E740481C1C}">
                                <a14:useLocalDpi xmlns:a14="http://schemas.microsoft.com/office/drawing/2010/main" val="false"/>
                              </a:ext>
                            </a:extLst>
                          </a:blip>
                          <a:srcRect/>
                          <a:stretch>
                            <a:fillRect/>
                          </a:stretch>
                        </pic:blipFill>
                        <pic:spPr>
                          <a:xfrm rot="10800000">
                            <a:off x="0" y="0"/>
                            <a:ext cx="2700000" cy="2025000"/>
                          </a:xfrm>
                          <a:prstGeom prst="rect">
                            <a:avLst/>
                          </a:prstGeom>
                          <a:noFill/>
                          <a:ln>
                            <a:noFill/>
                          </a:ln>
                        </pic:spPr>
                      </pic:pic>
                    </a:graphicData>
                  </a:graphic>
                </wp:inline>
              </w:drawing>
            </w:r>
          </w:p>
        </w:tc>
        <w:tc>
          <w:tcPr>
            <w:tcW w:w="2501"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699385" cy="2024380"/>
                  <wp:effectExtent l="0" t="0" r="5715" b="0"/>
                  <wp:docPr id="4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true" noChangeArrowheads="true"/>
                          </pic:cNvPicPr>
                        </pic:nvPicPr>
                        <pic:blipFill>
                          <a:blip r:embed="rId68" cstate="print">
                            <a:extLst>
                              <a:ext uri="{28A0092B-C50C-407E-A947-70E740481C1C}">
                                <a14:useLocalDpi xmlns:a14="http://schemas.microsoft.com/office/drawing/2010/main" val="false"/>
                              </a:ext>
                            </a:extLst>
                          </a:blip>
                          <a:srcRect/>
                          <a:stretch>
                            <a:fillRect/>
                          </a:stretch>
                        </pic:blipFill>
                        <pic:spPr>
                          <a:xfrm rot="10800000">
                            <a:off x="0" y="0"/>
                            <a:ext cx="2700000" cy="2025000"/>
                          </a:xfrm>
                          <a:prstGeom prst="rect">
                            <a:avLst/>
                          </a:prstGeom>
                          <a:noFill/>
                          <a:ln>
                            <a:noFill/>
                          </a:ln>
                        </pic:spPr>
                      </pic:pic>
                    </a:graphicData>
                  </a:graphic>
                </wp:inline>
              </w:drawing>
            </w:r>
          </w:p>
        </w:tc>
      </w:tr>
      <w:bookmarkEnd w:id="141"/>
    </w:tbl>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r>
        <w:rPr>
          <w:sz w:val="24"/>
          <w:szCs w:val="24"/>
        </w:rPr>
        <w:t>表4.2-7  样方调查表（S7）</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26"/>
        <w:gridCol w:w="837"/>
        <w:gridCol w:w="1644"/>
        <w:gridCol w:w="1280"/>
        <w:gridCol w:w="1169"/>
        <w:gridCol w:w="1022"/>
        <w:gridCol w:w="1173"/>
        <w:gridCol w:w="115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样地名称</w:t>
            </w:r>
          </w:p>
        </w:tc>
        <w:tc>
          <w:tcPr>
            <w:tcW w:w="1399"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乔木</w:t>
            </w:r>
          </w:p>
        </w:tc>
        <w:tc>
          <w:tcPr>
            <w:tcW w:w="72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39"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S7</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10m×10m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99"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106°19′12.82″</w:t>
            </w:r>
          </w:p>
        </w:tc>
        <w:tc>
          <w:tcPr>
            <w:tcW w:w="72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39"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29°55′25.64″</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331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99"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72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39"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东南</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c>
          <w:tcPr>
            <w:tcW w:w="92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72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c>
          <w:tcPr>
            <w:tcW w:w="6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32" w:hRule="atLeast"/>
          <w:jc w:val="center"/>
        </w:trPr>
        <w:tc>
          <w:tcPr>
            <w:tcW w:w="472"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78" w:type="pct"/>
            <w:tcBorders>
              <w:tl2br w:val="nil"/>
              <w:tr2bl w:val="nil"/>
            </w:tcBorders>
            <w:vAlign w:val="center"/>
          </w:tcPr>
          <w:p>
            <w:pPr>
              <w:spacing w:line="240" w:lineRule="atLeast"/>
              <w:ind w:firstLine="0" w:firstLineChars="0"/>
              <w:jc w:val="center"/>
              <w:rPr>
                <w:sz w:val="21"/>
                <w:szCs w:val="21"/>
              </w:rPr>
            </w:pPr>
            <w:r>
              <w:rPr>
                <w:sz w:val="21"/>
                <w:szCs w:val="21"/>
              </w:rPr>
              <w:t>香椿</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Toona sinensis</w:t>
            </w:r>
            <w:r>
              <w:rPr>
                <w:rStyle w:val="3242"/>
                <w:sz w:val="18"/>
                <w:szCs w:val="18"/>
                <w:shd w:val="clear" w:color="auto" w:fill="FFFFFF"/>
              </w:rPr>
              <w:t> （A. Juss.） Roem.</w:t>
            </w:r>
          </w:p>
        </w:tc>
        <w:tc>
          <w:tcPr>
            <w:tcW w:w="6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12</w:t>
            </w:r>
          </w:p>
        </w:tc>
        <w:tc>
          <w:tcPr>
            <w:tcW w:w="50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7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竹</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sz w:val="18"/>
                <w:szCs w:val="18"/>
                <w:shd w:val="clear" w:color="auto" w:fill="FFFFFF"/>
              </w:rPr>
              <w:t>Bambusoideae</w:t>
            </w:r>
          </w:p>
        </w:tc>
        <w:tc>
          <w:tcPr>
            <w:tcW w:w="6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56</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COP1</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7</w:t>
            </w:r>
          </w:p>
        </w:tc>
        <w:tc>
          <w:tcPr>
            <w:tcW w:w="50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57"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7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桑</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Morus alba</w:t>
            </w:r>
            <w:r>
              <w:rPr>
                <w:rStyle w:val="3242"/>
                <w:sz w:val="18"/>
                <w:szCs w:val="18"/>
                <w:shd w:val="clear" w:color="auto" w:fill="FFFFFF"/>
              </w:rPr>
              <w:t> L.</w:t>
            </w:r>
          </w:p>
        </w:tc>
        <w:tc>
          <w:tcPr>
            <w:tcW w:w="660" w:type="pct"/>
            <w:tcBorders>
              <w:tl2br w:val="nil"/>
              <w:tr2bl w:val="nil"/>
            </w:tcBorders>
            <w:vAlign w:val="center"/>
          </w:tcPr>
          <w:p>
            <w:pPr>
              <w:spacing w:line="240" w:lineRule="atLeast"/>
              <w:ind w:firstLine="0" w:firstLineChars="0"/>
              <w:jc w:val="center"/>
              <w:rPr>
                <w:sz w:val="21"/>
                <w:szCs w:val="21"/>
              </w:rPr>
            </w:pPr>
            <w:r>
              <w:rPr>
                <w:sz w:val="21"/>
                <w:szCs w:val="21"/>
              </w:rPr>
              <w:t>2</w:t>
            </w:r>
          </w:p>
        </w:tc>
        <w:tc>
          <w:tcPr>
            <w:tcW w:w="579"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7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桃树</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Prunus persica</w:t>
            </w:r>
            <w:r>
              <w:rPr>
                <w:rStyle w:val="3242"/>
                <w:sz w:val="18"/>
                <w:szCs w:val="18"/>
                <w:shd w:val="clear" w:color="auto" w:fill="FFFFFF"/>
              </w:rPr>
              <w:t> （L.） Batsch</w:t>
            </w:r>
          </w:p>
        </w:tc>
        <w:tc>
          <w:tcPr>
            <w:tcW w:w="6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3.5</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梨</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sz w:val="18"/>
                <w:szCs w:val="18"/>
                <w:shd w:val="clear" w:color="auto" w:fill="FFFFFF"/>
              </w:rPr>
              <w:t>Pyrus spp</w:t>
            </w:r>
          </w:p>
        </w:tc>
        <w:tc>
          <w:tcPr>
            <w:tcW w:w="6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4.5</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w:t>
            </w:r>
          </w:p>
        </w:tc>
        <w:tc>
          <w:tcPr>
            <w:tcW w:w="478"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1642" w:type="pct"/>
            <w:gridSpan w:val="2"/>
            <w:tcBorders>
              <w:tl2br w:val="nil"/>
              <w:tr2bl w:val="nil"/>
            </w:tcBorders>
            <w:vAlign w:val="center"/>
          </w:tcPr>
          <w:p>
            <w:pPr>
              <w:spacing w:line="240" w:lineRule="atLeast"/>
              <w:ind w:firstLine="0" w:firstLineChars="0"/>
              <w:jc w:val="center"/>
              <w:rPr>
                <w:sz w:val="21"/>
                <w:szCs w:val="21"/>
              </w:rPr>
            </w:pPr>
            <w:r>
              <w:rPr>
                <w:sz w:val="21"/>
                <w:szCs w:val="21"/>
              </w:rPr>
              <w:t>-</w:t>
            </w:r>
          </w:p>
        </w:tc>
        <w:tc>
          <w:tcPr>
            <w:tcW w:w="660"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579"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c>
          <w:tcPr>
            <w:tcW w:w="50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592"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699385" cy="2025650"/>
                  <wp:effectExtent l="0" t="0" r="5715" b="0"/>
                  <wp:docPr id="48"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true" noChangeArrowheads="true"/>
                          </pic:cNvPicPr>
                        </pic:nvPicPr>
                        <pic:blipFill>
                          <a:blip r:embed="rId69" cstate="print">
                            <a:extLst>
                              <a:ext uri="{28A0092B-C50C-407E-A947-70E740481C1C}">
                                <a14:useLocalDpi xmlns:a14="http://schemas.microsoft.com/office/drawing/2010/main" val="false"/>
                              </a:ext>
                            </a:extLst>
                          </a:blip>
                          <a:srcRect/>
                          <a:stretch>
                            <a:fillRect/>
                          </a:stretch>
                        </pic:blipFill>
                        <pic:spPr>
                          <a:xfrm rot="10800000">
                            <a:off x="0" y="0"/>
                            <a:ext cx="2700000" cy="2026071"/>
                          </a:xfrm>
                          <a:prstGeom prst="rect">
                            <a:avLst/>
                          </a:prstGeom>
                          <a:noFill/>
                          <a:ln>
                            <a:noFill/>
                          </a:ln>
                        </pic:spPr>
                      </pic:pic>
                    </a:graphicData>
                  </a:graphic>
                </wp:inline>
              </w:drawing>
            </w:r>
          </w:p>
        </w:tc>
        <w:tc>
          <w:tcPr>
            <w:tcW w:w="2408"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097405" cy="2399665"/>
                  <wp:effectExtent l="1270" t="0" r="0" b="0"/>
                  <wp:docPr id="49"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true" noChangeArrowheads="true"/>
                          </pic:cNvPicPr>
                        </pic:nvPicPr>
                        <pic:blipFill>
                          <a:blip r:embed="rId70" cstate="print">
                            <a:extLst>
                              <a:ext uri="{28A0092B-C50C-407E-A947-70E740481C1C}">
                                <a14:useLocalDpi xmlns:a14="http://schemas.microsoft.com/office/drawing/2010/main" val="false"/>
                              </a:ext>
                            </a:extLst>
                          </a:blip>
                          <a:srcRect/>
                          <a:stretch>
                            <a:fillRect/>
                          </a:stretch>
                        </pic:blipFill>
                        <pic:spPr>
                          <a:xfrm rot="5400000">
                            <a:off x="0" y="0"/>
                            <a:ext cx="2103316" cy="2405844"/>
                          </a:xfrm>
                          <a:prstGeom prst="rect">
                            <a:avLst/>
                          </a:prstGeom>
                          <a:noFill/>
                          <a:ln>
                            <a:noFill/>
                          </a:ln>
                        </pic:spPr>
                      </pic:pic>
                    </a:graphicData>
                  </a:graphic>
                </wp:inline>
              </w:drawing>
            </w:r>
          </w:p>
        </w:tc>
      </w:tr>
    </w:tbl>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r>
        <w:rPr>
          <w:sz w:val="24"/>
          <w:szCs w:val="24"/>
        </w:rPr>
        <w:t>表4.2-8  样方调查表（S8）</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11"/>
        <w:gridCol w:w="824"/>
        <w:gridCol w:w="1615"/>
        <w:gridCol w:w="1256"/>
        <w:gridCol w:w="1198"/>
        <w:gridCol w:w="1049"/>
        <w:gridCol w:w="1198"/>
        <w:gridCol w:w="115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样地名称</w:t>
            </w:r>
          </w:p>
        </w:tc>
        <w:tc>
          <w:tcPr>
            <w:tcW w:w="137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乔木</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6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S8</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10m×10m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7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106°19′2.98″</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6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29°55′27.07″</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7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6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东南</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45</w:t>
            </w:r>
          </w:p>
        </w:tc>
        <w:tc>
          <w:tcPr>
            <w:tcW w:w="90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32" w:hRule="atLeast"/>
          <w:jc w:val="center"/>
        </w:trPr>
        <w:tc>
          <w:tcPr>
            <w:tcW w:w="462"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1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樟</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Camphora officinarum</w:t>
            </w:r>
            <w:r>
              <w:rPr>
                <w:rStyle w:val="3242"/>
                <w:sz w:val="18"/>
                <w:szCs w:val="18"/>
                <w:shd w:val="clear" w:color="auto" w:fill="FFFFFF"/>
              </w:rPr>
              <w:t> Nees ex Wall</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59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12</w:t>
            </w:r>
          </w:p>
        </w:tc>
        <w:tc>
          <w:tcPr>
            <w:tcW w:w="51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6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榆树</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Ulmus pumila</w:t>
            </w:r>
            <w:r>
              <w:rPr>
                <w:rStyle w:val="3242"/>
                <w:sz w:val="18"/>
                <w:szCs w:val="18"/>
                <w:shd w:val="clear" w:color="auto" w:fill="FFFFFF"/>
              </w:rPr>
              <w:t> L.</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59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18</w:t>
            </w:r>
          </w:p>
        </w:tc>
        <w:tc>
          <w:tcPr>
            <w:tcW w:w="51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6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蓝果树</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Nyssa sinensis</w:t>
            </w:r>
            <w:r>
              <w:rPr>
                <w:rStyle w:val="3242"/>
                <w:sz w:val="18"/>
                <w:szCs w:val="18"/>
                <w:shd w:val="clear" w:color="auto" w:fill="FFFFFF"/>
              </w:rPr>
              <w:t> Oliver</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592"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w:t>
            </w:r>
          </w:p>
        </w:tc>
        <w:tc>
          <w:tcPr>
            <w:tcW w:w="51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57"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1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9" w:type="pct"/>
            <w:tcBorders>
              <w:tl2br w:val="nil"/>
              <w:tr2bl w:val="nil"/>
            </w:tcBorders>
            <w:vAlign w:val="center"/>
          </w:tcPr>
          <w:p>
            <w:pPr>
              <w:spacing w:line="240" w:lineRule="atLeast"/>
              <w:ind w:firstLine="0" w:firstLineChars="0"/>
              <w:jc w:val="center"/>
              <w:rPr>
                <w:sz w:val="21"/>
                <w:szCs w:val="21"/>
              </w:rPr>
            </w:pPr>
            <w:r>
              <w:rPr>
                <w:sz w:val="21"/>
                <w:szCs w:val="21"/>
              </w:rPr>
              <w:t>白兰</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Michelia × alba</w:t>
            </w:r>
            <w:r>
              <w:rPr>
                <w:rStyle w:val="3242"/>
                <w:sz w:val="18"/>
                <w:szCs w:val="18"/>
                <w:shd w:val="clear" w:color="auto" w:fill="FFFFFF"/>
              </w:rPr>
              <w:t> DC.</w:t>
            </w:r>
          </w:p>
        </w:tc>
        <w:tc>
          <w:tcPr>
            <w:tcW w:w="674"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592"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3.5</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1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w:t>
            </w:r>
          </w:p>
        </w:tc>
        <w:tc>
          <w:tcPr>
            <w:tcW w:w="469"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1610" w:type="pct"/>
            <w:gridSpan w:val="2"/>
            <w:tcBorders>
              <w:tl2br w:val="nil"/>
              <w:tr2bl w:val="nil"/>
            </w:tcBorders>
            <w:vAlign w:val="center"/>
          </w:tcPr>
          <w:p>
            <w:pPr>
              <w:spacing w:line="240" w:lineRule="atLeast"/>
              <w:ind w:firstLine="0" w:firstLineChars="0"/>
              <w:jc w:val="center"/>
              <w:rPr>
                <w:sz w:val="21"/>
                <w:szCs w:val="21"/>
              </w:rPr>
            </w:pPr>
            <w:r>
              <w:rPr>
                <w:sz w:val="21"/>
                <w:szCs w:val="21"/>
              </w:rPr>
              <w:t>-</w:t>
            </w:r>
          </w:p>
        </w:tc>
        <w:tc>
          <w:tcPr>
            <w:tcW w:w="674"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592"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541" w:type="pct"/>
            <w:gridSpan w:val="4"/>
            <w:tcBorders>
              <w:tl2br w:val="nil"/>
              <w:tr2bl w:val="nil"/>
            </w:tcBorders>
            <w:vAlign w:val="center"/>
          </w:tcPr>
          <w:p>
            <w:pPr>
              <w:spacing w:line="240" w:lineRule="atLeast"/>
              <w:ind w:firstLine="0" w:firstLineChars="0"/>
              <w:jc w:val="center"/>
              <w:rPr>
                <w:sz w:val="21"/>
                <w:szCs w:val="21"/>
              </w:rPr>
            </w:pPr>
            <w:r>
              <w:drawing>
                <wp:inline distT="0" distB="0" distL="0" distR="0">
                  <wp:extent cx="2698750" cy="2752090"/>
                  <wp:effectExtent l="0" t="7620" r="0" b="0"/>
                  <wp:docPr id="31"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true" noChangeArrowheads="true"/>
                          </pic:cNvPicPr>
                        </pic:nvPicPr>
                        <pic:blipFill>
                          <a:blip r:embed="rId71" cstate="print">
                            <a:extLst>
                              <a:ext uri="{28A0092B-C50C-407E-A947-70E740481C1C}">
                                <a14:useLocalDpi xmlns:a14="http://schemas.microsoft.com/office/drawing/2010/main" val="false"/>
                              </a:ext>
                            </a:extLst>
                          </a:blip>
                          <a:srcRect/>
                          <a:stretch>
                            <a:fillRect/>
                          </a:stretch>
                        </pic:blipFill>
                        <pic:spPr>
                          <a:xfrm rot="5400000">
                            <a:off x="0" y="0"/>
                            <a:ext cx="2704747" cy="2758444"/>
                          </a:xfrm>
                          <a:prstGeom prst="rect">
                            <a:avLst/>
                          </a:prstGeom>
                          <a:noFill/>
                          <a:ln>
                            <a:noFill/>
                          </a:ln>
                        </pic:spPr>
                      </pic:pic>
                    </a:graphicData>
                  </a:graphic>
                </wp:inline>
              </w:drawing>
            </w:r>
          </w:p>
        </w:tc>
        <w:tc>
          <w:tcPr>
            <w:tcW w:w="2459"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697480" cy="2675255"/>
                  <wp:effectExtent l="0" t="7938" r="0" b="0"/>
                  <wp:docPr id="50"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true" noChangeArrowheads="true"/>
                          </pic:cNvPicPr>
                        </pic:nvPicPr>
                        <pic:blipFill>
                          <a:blip r:embed="rId72" cstate="print">
                            <a:extLst>
                              <a:ext uri="{28A0092B-C50C-407E-A947-70E740481C1C}">
                                <a14:useLocalDpi xmlns:a14="http://schemas.microsoft.com/office/drawing/2010/main" val="false"/>
                              </a:ext>
                            </a:extLst>
                          </a:blip>
                          <a:srcRect/>
                          <a:stretch>
                            <a:fillRect/>
                          </a:stretch>
                        </pic:blipFill>
                        <pic:spPr>
                          <a:xfrm rot="5400000">
                            <a:off x="0" y="0"/>
                            <a:ext cx="2717102" cy="2694217"/>
                          </a:xfrm>
                          <a:prstGeom prst="rect">
                            <a:avLst/>
                          </a:prstGeom>
                          <a:noFill/>
                          <a:ln>
                            <a:noFill/>
                          </a:ln>
                        </pic:spPr>
                      </pic:pic>
                    </a:graphicData>
                  </a:graphic>
                </wp:inline>
              </w:drawing>
            </w:r>
          </w:p>
        </w:tc>
      </w:tr>
    </w:tbl>
    <w:p>
      <w:pPr>
        <w:ind w:firstLine="480"/>
        <w:jc w:val="both"/>
        <w:rPr>
          <w:sz w:val="24"/>
          <w:szCs w:val="24"/>
        </w:rPr>
      </w:pPr>
      <w:r>
        <w:rPr>
          <w:sz w:val="24"/>
          <w:szCs w:val="24"/>
        </w:rPr>
        <w:t>（2）竹林</w:t>
      </w:r>
    </w:p>
    <w:p>
      <w:pPr>
        <w:ind w:firstLine="480"/>
        <w:jc w:val="both"/>
        <w:rPr>
          <w:sz w:val="24"/>
          <w:szCs w:val="24"/>
        </w:rPr>
      </w:pPr>
      <w:r>
        <w:rPr>
          <w:sz w:val="24"/>
          <w:szCs w:val="24"/>
        </w:rPr>
        <w:t>该植被类型多分布在住宅区房前屋后，也有部分零星分布，多以人工栽植为主。</w:t>
      </w:r>
    </w:p>
    <w:p>
      <w:pPr>
        <w:ind w:firstLine="480"/>
        <w:jc w:val="both"/>
        <w:rPr>
          <w:sz w:val="24"/>
          <w:szCs w:val="24"/>
        </w:rPr>
      </w:pPr>
      <w:r>
        <w:rPr>
          <w:sz w:val="24"/>
          <w:szCs w:val="24"/>
        </w:rPr>
        <w:t>调查的典型竹样地总盖度约85%，乔木层有麻竹，平均高度16m，胸径8cm，样地内共计270株。林下灌木及草本层不发育，灌木层有棕榈、牡荆、青江藤等，盖度约8%。草本层有薹草、卷柏、络石等，盖度约10%。</w:t>
      </w:r>
    </w:p>
    <w:p>
      <w:pPr>
        <w:ind w:firstLine="480"/>
        <w:jc w:val="both"/>
        <w:rPr>
          <w:sz w:val="24"/>
          <w:szCs w:val="24"/>
        </w:rPr>
      </w:pPr>
      <w:r>
        <w:rPr>
          <w:sz w:val="24"/>
          <w:szCs w:val="24"/>
        </w:rPr>
        <w:t>（3）灌从</w:t>
      </w:r>
    </w:p>
    <w:p>
      <w:pPr>
        <w:ind w:firstLine="480"/>
        <w:jc w:val="both"/>
        <w:rPr>
          <w:sz w:val="24"/>
          <w:szCs w:val="24"/>
        </w:rPr>
      </w:pPr>
      <w:r>
        <w:rPr>
          <w:sz w:val="24"/>
          <w:szCs w:val="24"/>
        </w:rPr>
        <w:t>评价区内的灌丛一般是森林砍伐后发育起来的次生类型。由于人类活动的影响，森林受到强度砍伐或其他原因，改变了自然环境条件，致使多种阳性落叶阔叶灌木迅速繁生，形成各种灌丛。灌丛外貌、多度和结构较为杂乱，零星分布于荒坡荒地。</w:t>
      </w:r>
    </w:p>
    <w:p>
      <w:pPr>
        <w:ind w:firstLine="480"/>
        <w:jc w:val="both"/>
        <w:rPr>
          <w:sz w:val="24"/>
          <w:szCs w:val="24"/>
        </w:rPr>
      </w:pPr>
      <w:r>
        <w:rPr>
          <w:sz w:val="24"/>
          <w:szCs w:val="24"/>
        </w:rPr>
        <w:t>通过对典型样地进行调查，样地总盖度约70%，灌木层有柑橘、棕树、小琴丝竹、枇杷树、槲寄生、南天竹、假鹰爪、牡荆、插田泡、棕榈、火棘等，灌木层平均高度约2.0m；草本层生长一般，有接骨草、荨麻、野菊、腹水草、白茅、卷柏、艾蒿、地果等，平均高度约0.2m，盖度约40%。</w:t>
      </w:r>
    </w:p>
    <w:p>
      <w:pPr>
        <w:ind w:firstLine="0" w:firstLineChars="0"/>
        <w:jc w:val="center"/>
        <w:rPr>
          <w:sz w:val="24"/>
          <w:szCs w:val="24"/>
        </w:rPr>
      </w:pPr>
      <w:r>
        <w:rPr>
          <w:sz w:val="24"/>
          <w:szCs w:val="24"/>
        </w:rPr>
        <w:t>表4.2-9  样方调查表（S1）</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40"/>
        <w:gridCol w:w="854"/>
        <w:gridCol w:w="1645"/>
        <w:gridCol w:w="1285"/>
        <w:gridCol w:w="1227"/>
        <w:gridCol w:w="1078"/>
        <w:gridCol w:w="1227"/>
        <w:gridCol w:w="9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bookmarkStart w:id="142" w:name="_Hlk162015742"/>
            <w:r>
              <w:rPr>
                <w:kern w:val="0"/>
                <w:sz w:val="21"/>
                <w:szCs w:val="21"/>
                <w:lang w:bidi="ar"/>
              </w:rPr>
              <w:t>样地名称</w:t>
            </w:r>
          </w:p>
        </w:tc>
        <w:tc>
          <w:tcPr>
            <w:tcW w:w="137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灌木</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6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S1</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5m×5m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7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106°18′46.35″</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6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29°54′56.36″</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7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6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西北</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80</w:t>
            </w:r>
          </w:p>
        </w:tc>
        <w:tc>
          <w:tcPr>
            <w:tcW w:w="90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706" w:type="pct"/>
            <w:tcBorders>
              <w:tl2br w:val="nil"/>
              <w:tr2bl w:val="nil"/>
            </w:tcBorders>
            <w:vAlign w:val="center"/>
          </w:tcPr>
          <w:p>
            <w:pPr>
              <w:widowControl/>
              <w:spacing w:line="240" w:lineRule="atLeast"/>
              <w:ind w:firstLine="0" w:firstLineChars="0"/>
              <w:jc w:val="center"/>
              <w:textAlignment w:val="center"/>
              <w:rPr>
                <w:sz w:val="21"/>
                <w:szCs w:val="21"/>
              </w:rPr>
            </w:pP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32" w:hRule="atLeast"/>
          <w:jc w:val="center"/>
        </w:trPr>
        <w:tc>
          <w:tcPr>
            <w:tcW w:w="462"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1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w:t>
            </w:r>
          </w:p>
        </w:tc>
        <w:tc>
          <w:tcPr>
            <w:tcW w:w="46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i/>
                <w:sz w:val="21"/>
                <w:szCs w:val="21"/>
              </w:rPr>
              <w:t>-</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9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1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7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1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9" w:type="pct"/>
            <w:tcBorders>
              <w:tl2br w:val="nil"/>
              <w:tr2bl w:val="nil"/>
            </w:tcBorders>
            <w:vAlign w:val="center"/>
          </w:tcPr>
          <w:p>
            <w:pPr>
              <w:spacing w:line="240" w:lineRule="atLeast"/>
              <w:ind w:firstLine="0" w:firstLineChars="0"/>
              <w:jc w:val="center"/>
              <w:rPr>
                <w:sz w:val="21"/>
                <w:szCs w:val="21"/>
              </w:rPr>
            </w:pPr>
            <w:r>
              <w:rPr>
                <w:sz w:val="21"/>
                <w:szCs w:val="21"/>
              </w:rPr>
              <w:t>柑桔</w:t>
            </w:r>
          </w:p>
        </w:tc>
        <w:tc>
          <w:tcPr>
            <w:tcW w:w="1610" w:type="pct"/>
            <w:gridSpan w:val="2"/>
            <w:tcBorders>
              <w:tl2br w:val="nil"/>
              <w:tr2bl w:val="nil"/>
            </w:tcBorders>
            <w:vAlign w:val="center"/>
          </w:tcPr>
          <w:p>
            <w:pPr>
              <w:ind w:firstLine="420"/>
              <w:rPr>
                <w:i/>
                <w:sz w:val="21"/>
                <w:szCs w:val="21"/>
              </w:rPr>
            </w:pPr>
            <w:r>
              <w:rPr>
                <w:i/>
                <w:sz w:val="21"/>
                <w:szCs w:val="21"/>
              </w:rPr>
              <w:t>Citrus reticulata Blanco</w:t>
            </w:r>
          </w:p>
        </w:tc>
        <w:tc>
          <w:tcPr>
            <w:tcW w:w="674" w:type="pct"/>
            <w:tcBorders>
              <w:tl2br w:val="nil"/>
              <w:tr2bl w:val="nil"/>
            </w:tcBorders>
            <w:vAlign w:val="center"/>
          </w:tcPr>
          <w:p>
            <w:pPr>
              <w:spacing w:line="240" w:lineRule="atLeast"/>
              <w:ind w:firstLine="0" w:firstLineChars="0"/>
              <w:jc w:val="center"/>
              <w:rPr>
                <w:sz w:val="21"/>
                <w:szCs w:val="21"/>
              </w:rPr>
            </w:pPr>
            <w:r>
              <w:rPr>
                <w:sz w:val="21"/>
                <w:szCs w:val="21"/>
              </w:rPr>
              <w:t>2</w:t>
            </w:r>
          </w:p>
        </w:tc>
        <w:tc>
          <w:tcPr>
            <w:tcW w:w="592"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4.5</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69" w:type="pct"/>
            <w:tcBorders>
              <w:tl2br w:val="nil"/>
              <w:tr2bl w:val="nil"/>
            </w:tcBorders>
            <w:vAlign w:val="center"/>
          </w:tcPr>
          <w:p>
            <w:pPr>
              <w:spacing w:line="240" w:lineRule="atLeast"/>
              <w:ind w:firstLine="0" w:firstLineChars="0"/>
              <w:jc w:val="center"/>
              <w:rPr>
                <w:sz w:val="21"/>
                <w:szCs w:val="21"/>
              </w:rPr>
            </w:pPr>
            <w:r>
              <w:rPr>
                <w:sz w:val="21"/>
                <w:szCs w:val="21"/>
              </w:rPr>
              <w:t>棕树</w:t>
            </w:r>
          </w:p>
        </w:tc>
        <w:tc>
          <w:tcPr>
            <w:tcW w:w="1610" w:type="pct"/>
            <w:gridSpan w:val="2"/>
            <w:tcBorders>
              <w:tl2br w:val="nil"/>
              <w:tr2bl w:val="nil"/>
            </w:tcBorders>
            <w:vAlign w:val="center"/>
          </w:tcPr>
          <w:p>
            <w:pPr>
              <w:spacing w:line="240" w:lineRule="auto"/>
              <w:ind w:firstLine="420"/>
              <w:rPr>
                <w:i/>
              </w:rPr>
            </w:pPr>
            <w:r>
              <w:rPr>
                <w:i/>
                <w:sz w:val="21"/>
              </w:rPr>
              <w:t>Trachycarpus fortunei （Hook.） H. Wendl.</w:t>
            </w:r>
          </w:p>
        </w:tc>
        <w:tc>
          <w:tcPr>
            <w:tcW w:w="674" w:type="pct"/>
            <w:tcBorders>
              <w:tl2br w:val="nil"/>
              <w:tr2bl w:val="nil"/>
            </w:tcBorders>
            <w:vAlign w:val="center"/>
          </w:tcPr>
          <w:p>
            <w:pPr>
              <w:spacing w:line="240" w:lineRule="atLeast"/>
              <w:ind w:firstLine="0" w:firstLineChars="0"/>
              <w:jc w:val="center"/>
              <w:rPr>
                <w:sz w:val="21"/>
                <w:szCs w:val="21"/>
              </w:rPr>
            </w:pPr>
            <w:r>
              <w:rPr>
                <w:sz w:val="21"/>
                <w:szCs w:val="21"/>
              </w:rPr>
              <w:t>2</w:t>
            </w:r>
          </w:p>
        </w:tc>
        <w:tc>
          <w:tcPr>
            <w:tcW w:w="592"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3.4</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69" w:type="pct"/>
            <w:tcBorders>
              <w:tl2br w:val="nil"/>
              <w:tr2bl w:val="nil"/>
            </w:tcBorders>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小琴丝竹</w:t>
            </w:r>
          </w:p>
        </w:tc>
        <w:tc>
          <w:tcPr>
            <w:tcW w:w="1610" w:type="pct"/>
            <w:gridSpan w:val="2"/>
            <w:tcBorders>
              <w:tl2br w:val="nil"/>
              <w:tr2bl w:val="nil"/>
            </w:tcBorders>
            <w:vAlign w:val="center"/>
          </w:tcPr>
          <w:p>
            <w:pPr>
              <w:spacing w:line="240" w:lineRule="auto"/>
              <w:ind w:firstLine="420"/>
              <w:rPr>
                <w:i/>
              </w:rPr>
            </w:pPr>
            <w:r>
              <w:rPr>
                <w:i/>
                <w:sz w:val="21"/>
              </w:rPr>
              <w:t>Bambusa multiplex cv. Alphonse-karri Rob. A. Young</w:t>
            </w:r>
          </w:p>
        </w:tc>
        <w:tc>
          <w:tcPr>
            <w:tcW w:w="674" w:type="pct"/>
            <w:tcBorders>
              <w:tl2br w:val="nil"/>
              <w:tr2bl w:val="nil"/>
            </w:tcBorders>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1</w:t>
            </w:r>
          </w:p>
        </w:tc>
        <w:tc>
          <w:tcPr>
            <w:tcW w:w="592" w:type="pct"/>
            <w:tcBorders>
              <w:tl2br w:val="nil"/>
              <w:tr2bl w:val="nil"/>
            </w:tcBorders>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SOL</w:t>
            </w:r>
          </w:p>
        </w:tc>
        <w:tc>
          <w:tcPr>
            <w:tcW w:w="674" w:type="pct"/>
            <w:tcBorders>
              <w:tl2br w:val="nil"/>
              <w:tr2bl w:val="nil"/>
            </w:tcBorders>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46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枇杷树</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i/>
                <w:sz w:val="21"/>
                <w:szCs w:val="21"/>
              </w:rPr>
              <w:t>Eriobotrya japonica （Thunb.） Lindl</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w:t>
            </w:r>
          </w:p>
        </w:tc>
        <w:tc>
          <w:tcPr>
            <w:tcW w:w="59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74"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5.0</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1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9" w:type="pct"/>
            <w:tcBorders>
              <w:tl2br w:val="nil"/>
              <w:tr2bl w:val="nil"/>
            </w:tcBorders>
            <w:vAlign w:val="center"/>
          </w:tcPr>
          <w:p>
            <w:pPr>
              <w:spacing w:line="240" w:lineRule="atLeast"/>
              <w:ind w:firstLine="0" w:firstLineChars="0"/>
              <w:jc w:val="center"/>
              <w:rPr>
                <w:sz w:val="21"/>
                <w:szCs w:val="21"/>
              </w:rPr>
            </w:pPr>
            <w:r>
              <w:rPr>
                <w:sz w:val="21"/>
                <w:szCs w:val="21"/>
              </w:rPr>
              <w:t>接骨草</w:t>
            </w:r>
          </w:p>
        </w:tc>
        <w:tc>
          <w:tcPr>
            <w:tcW w:w="1610" w:type="pct"/>
            <w:gridSpan w:val="2"/>
            <w:tcBorders>
              <w:tl2br w:val="nil"/>
              <w:tr2bl w:val="nil"/>
            </w:tcBorders>
            <w:vAlign w:val="center"/>
          </w:tcPr>
          <w:p>
            <w:pPr>
              <w:spacing w:line="240" w:lineRule="atLeast"/>
              <w:ind w:firstLine="0" w:firstLineChars="0"/>
              <w:jc w:val="center"/>
              <w:rPr>
                <w:sz w:val="21"/>
                <w:szCs w:val="21"/>
              </w:rPr>
            </w:pPr>
            <w:r>
              <w:rPr>
                <w:i/>
                <w:sz w:val="21"/>
                <w:szCs w:val="21"/>
              </w:rPr>
              <w:t>Sambucus javanica Reinw. ex Blume</w:t>
            </w:r>
          </w:p>
        </w:tc>
        <w:tc>
          <w:tcPr>
            <w:tcW w:w="674"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592" w:type="pct"/>
            <w:tcBorders>
              <w:tl2br w:val="nil"/>
              <w:tr2bl w:val="nil"/>
            </w:tcBorders>
            <w:vAlign w:val="center"/>
          </w:tcPr>
          <w:p>
            <w:pPr>
              <w:spacing w:line="240" w:lineRule="atLeast"/>
              <w:ind w:firstLine="0" w:firstLineChars="0"/>
              <w:jc w:val="center"/>
              <w:rPr>
                <w:sz w:val="21"/>
                <w:szCs w:val="21"/>
              </w:rPr>
            </w:pPr>
            <w:r>
              <w:rPr>
                <w:sz w:val="21"/>
                <w:szCs w:val="21"/>
              </w:rPr>
              <w:t>COP1</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100~140</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6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荨麻</w:t>
            </w:r>
          </w:p>
        </w:tc>
        <w:tc>
          <w:tcPr>
            <w:tcW w:w="1610" w:type="pct"/>
            <w:gridSpan w:val="2"/>
            <w:tcBorders>
              <w:tl2br w:val="nil"/>
              <w:tr2bl w:val="nil"/>
            </w:tcBorders>
            <w:vAlign w:val="center"/>
          </w:tcPr>
          <w:p>
            <w:pPr>
              <w:spacing w:line="240" w:lineRule="atLeast"/>
              <w:ind w:firstLine="0" w:firstLineChars="0"/>
              <w:jc w:val="center"/>
              <w:rPr>
                <w:i/>
                <w:sz w:val="21"/>
                <w:szCs w:val="21"/>
              </w:rPr>
            </w:pPr>
            <w:r>
              <w:rPr>
                <w:i/>
                <w:sz w:val="21"/>
                <w:szCs w:val="21"/>
              </w:rPr>
              <w:t>Urticales</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w:t>
            </w:r>
          </w:p>
        </w:tc>
        <w:tc>
          <w:tcPr>
            <w:tcW w:w="59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SP</w:t>
            </w:r>
          </w:p>
        </w:tc>
        <w:tc>
          <w:tcPr>
            <w:tcW w:w="674"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50</w:t>
            </w:r>
          </w:p>
        </w:tc>
        <w:tc>
          <w:tcPr>
            <w:tcW w:w="51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541" w:type="pct"/>
            <w:gridSpan w:val="4"/>
            <w:tcBorders>
              <w:tl2br w:val="nil"/>
              <w:tr2bl w:val="nil"/>
            </w:tcBorders>
            <w:vAlign w:val="center"/>
          </w:tcPr>
          <w:p>
            <w:pPr>
              <w:spacing w:line="240" w:lineRule="atLeast"/>
              <w:ind w:firstLine="0" w:firstLineChars="0"/>
              <w:jc w:val="center"/>
              <w:rPr>
                <w:sz w:val="21"/>
                <w:szCs w:val="21"/>
              </w:rPr>
            </w:pPr>
            <w:r>
              <w:rPr>
                <w:sz w:val="21"/>
                <w:szCs w:val="21"/>
              </w:rPr>
              <w:drawing>
                <wp:inline distT="0" distB="0" distL="0" distR="0">
                  <wp:extent cx="2108835" cy="2484755"/>
                  <wp:effectExtent l="2540" t="0" r="8255" b="8255"/>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noChangeArrowheads="true"/>
                          </pic:cNvPicPr>
                        </pic:nvPicPr>
                        <pic:blipFill>
                          <a:blip r:embed="rId73" cstate="print">
                            <a:extLst>
                              <a:ext uri="{28A0092B-C50C-407E-A947-70E740481C1C}">
                                <a14:useLocalDpi xmlns:a14="http://schemas.microsoft.com/office/drawing/2010/main" val="false"/>
                              </a:ext>
                            </a:extLst>
                          </a:blip>
                          <a:srcRect/>
                          <a:stretch>
                            <a:fillRect/>
                          </a:stretch>
                        </pic:blipFill>
                        <pic:spPr>
                          <a:xfrm rot="5400000">
                            <a:off x="0" y="0"/>
                            <a:ext cx="2124204" cy="2502721"/>
                          </a:xfrm>
                          <a:prstGeom prst="rect">
                            <a:avLst/>
                          </a:prstGeom>
                          <a:noFill/>
                          <a:ln>
                            <a:noFill/>
                          </a:ln>
                        </pic:spPr>
                      </pic:pic>
                    </a:graphicData>
                  </a:graphic>
                </wp:inline>
              </w:drawing>
            </w:r>
          </w:p>
        </w:tc>
        <w:tc>
          <w:tcPr>
            <w:tcW w:w="2459" w:type="pct"/>
            <w:gridSpan w:val="4"/>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drawing>
                <wp:inline distT="0" distB="0" distL="0" distR="0">
                  <wp:extent cx="2109470" cy="2439035"/>
                  <wp:effectExtent l="6667" t="0" r="0" b="0"/>
                  <wp:docPr id="37"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true" noChangeArrowheads="true"/>
                          </pic:cNvPicPr>
                        </pic:nvPicPr>
                        <pic:blipFill>
                          <a:blip r:embed="rId74" cstate="print">
                            <a:extLst>
                              <a:ext uri="{28A0092B-C50C-407E-A947-70E740481C1C}">
                                <a14:useLocalDpi xmlns:a14="http://schemas.microsoft.com/office/drawing/2010/main" val="false"/>
                              </a:ext>
                            </a:extLst>
                          </a:blip>
                          <a:srcRect/>
                          <a:stretch>
                            <a:fillRect/>
                          </a:stretch>
                        </pic:blipFill>
                        <pic:spPr>
                          <a:xfrm rot="5400000">
                            <a:off x="0" y="0"/>
                            <a:ext cx="2124557" cy="2456586"/>
                          </a:xfrm>
                          <a:prstGeom prst="rect">
                            <a:avLst/>
                          </a:prstGeom>
                          <a:noFill/>
                          <a:ln>
                            <a:noFill/>
                          </a:ln>
                        </pic:spPr>
                      </pic:pic>
                    </a:graphicData>
                  </a:graphic>
                </wp:inline>
              </w:drawing>
            </w:r>
          </w:p>
        </w:tc>
      </w:tr>
      <w:bookmarkEnd w:id="142"/>
    </w:tbl>
    <w:p>
      <w:pPr>
        <w:ind w:firstLine="0" w:firstLineChars="0"/>
        <w:jc w:val="center"/>
        <w:rPr>
          <w:sz w:val="24"/>
          <w:szCs w:val="24"/>
        </w:rPr>
      </w:pPr>
      <w:r>
        <w:rPr>
          <w:sz w:val="24"/>
          <w:szCs w:val="24"/>
        </w:rPr>
        <w:t>表4.2-10  样方调查表（S4）</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35"/>
        <w:gridCol w:w="842"/>
        <w:gridCol w:w="1625"/>
        <w:gridCol w:w="1272"/>
        <w:gridCol w:w="1240"/>
        <w:gridCol w:w="1087"/>
        <w:gridCol w:w="1241"/>
        <w:gridCol w:w="95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样地名称</w:t>
            </w:r>
          </w:p>
        </w:tc>
        <w:tc>
          <w:tcPr>
            <w:tcW w:w="134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灌木</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8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S4</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5m×5m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4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106°18′23.50″</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8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29°54′58.10″</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4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86"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东南</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c>
          <w:tcPr>
            <w:tcW w:w="88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69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78" w:hRule="atLeast"/>
          <w:jc w:val="center"/>
        </w:trPr>
        <w:tc>
          <w:tcPr>
            <w:tcW w:w="456"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枣树</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Ziziphus jujuba</w:t>
            </w:r>
            <w:r>
              <w:rPr>
                <w:rStyle w:val="3242"/>
                <w:sz w:val="18"/>
                <w:szCs w:val="18"/>
                <w:shd w:val="clear" w:color="auto" w:fill="FFFFFF"/>
              </w:rPr>
              <w:t> Mill.</w:t>
            </w:r>
            <w:r>
              <w:rPr>
                <w:rStyle w:val="3244"/>
                <w:sz w:val="18"/>
                <w:szCs w:val="18"/>
                <w:shd w:val="clear" w:color="auto" w:fill="FFFFFF"/>
                <w:vertAlign w:val="superscript"/>
              </w:rPr>
              <w:t> </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60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SOL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12</w:t>
            </w:r>
          </w:p>
        </w:tc>
        <w:tc>
          <w:tcPr>
            <w:tcW w:w="53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松</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Pinus</w:t>
            </w:r>
            <w:r>
              <w:rPr>
                <w:rStyle w:val="3242"/>
                <w:sz w:val="18"/>
                <w:szCs w:val="18"/>
                <w:shd w:val="clear" w:color="auto" w:fill="FFFFFF"/>
              </w:rPr>
              <w:t> 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60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SOL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13</w:t>
            </w:r>
          </w:p>
        </w:tc>
        <w:tc>
          <w:tcPr>
            <w:tcW w:w="53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柏木</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Cupressus funebris</w:t>
            </w:r>
            <w:r>
              <w:rPr>
                <w:rStyle w:val="3242"/>
                <w:sz w:val="18"/>
                <w:szCs w:val="18"/>
                <w:shd w:val="clear" w:color="auto" w:fill="FFFFFF"/>
              </w:rPr>
              <w:t> Endl.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w:t>
            </w:r>
          </w:p>
        </w:tc>
        <w:tc>
          <w:tcPr>
            <w:tcW w:w="601"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10</w:t>
            </w:r>
          </w:p>
        </w:tc>
        <w:tc>
          <w:tcPr>
            <w:tcW w:w="53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枫杨</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i/>
                <w:sz w:val="21"/>
                <w:szCs w:val="21"/>
              </w:rPr>
              <w:t>Pterocarya stenoptera C. DC.</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601"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9</w:t>
            </w:r>
          </w:p>
        </w:tc>
        <w:tc>
          <w:tcPr>
            <w:tcW w:w="53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08"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0" w:type="pct"/>
            <w:tcBorders>
              <w:tl2br w:val="nil"/>
              <w:tr2bl w:val="nil"/>
            </w:tcBorders>
            <w:vAlign w:val="center"/>
          </w:tcPr>
          <w:p>
            <w:pPr>
              <w:spacing w:line="240" w:lineRule="atLeast"/>
              <w:ind w:firstLine="0" w:firstLineChars="0"/>
              <w:jc w:val="center"/>
              <w:rPr>
                <w:sz w:val="21"/>
                <w:szCs w:val="21"/>
              </w:rPr>
            </w:pPr>
            <w:r>
              <w:rPr>
                <w:sz w:val="21"/>
                <w:szCs w:val="21"/>
              </w:rPr>
              <w:t>桃李</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Prunus salicina</w:t>
            </w:r>
            <w:r>
              <w:rPr>
                <w:rStyle w:val="3242"/>
                <w:b/>
                <w:bCs/>
                <w:sz w:val="18"/>
                <w:szCs w:val="18"/>
                <w:shd w:val="clear" w:color="auto" w:fill="FFFFFF"/>
              </w:rPr>
              <w:t> </w:t>
            </w:r>
            <w:r>
              <w:rPr>
                <w:rStyle w:val="3242"/>
                <w:sz w:val="18"/>
                <w:szCs w:val="18"/>
                <w:shd w:val="clear" w:color="auto" w:fill="FFFFFF"/>
              </w:rPr>
              <w:t>Lindl.</w:t>
            </w:r>
          </w:p>
        </w:tc>
        <w:tc>
          <w:tcPr>
            <w:tcW w:w="685" w:type="pct"/>
            <w:tcBorders>
              <w:tl2br w:val="nil"/>
              <w:tr2bl w:val="nil"/>
            </w:tcBorders>
            <w:vAlign w:val="center"/>
          </w:tcPr>
          <w:p>
            <w:pPr>
              <w:spacing w:line="240" w:lineRule="atLeast"/>
              <w:ind w:firstLine="0" w:firstLineChars="0"/>
              <w:jc w:val="center"/>
              <w:rPr>
                <w:sz w:val="21"/>
                <w:szCs w:val="21"/>
              </w:rPr>
            </w:pPr>
            <w:r>
              <w:rPr>
                <w:sz w:val="21"/>
                <w:szCs w:val="21"/>
              </w:rPr>
              <w:t>8</w:t>
            </w:r>
          </w:p>
        </w:tc>
        <w:tc>
          <w:tcPr>
            <w:tcW w:w="601" w:type="pct"/>
            <w:tcBorders>
              <w:tl2br w:val="nil"/>
              <w:tr2bl w:val="nil"/>
            </w:tcBorders>
            <w:vAlign w:val="center"/>
          </w:tcPr>
          <w:p>
            <w:pPr>
              <w:spacing w:line="240" w:lineRule="atLeast"/>
              <w:ind w:firstLine="0" w:firstLineChars="0"/>
              <w:jc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柑橘</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Citrus reticulata</w:t>
            </w:r>
            <w:r>
              <w:rPr>
                <w:rStyle w:val="3242"/>
                <w:sz w:val="18"/>
                <w:szCs w:val="18"/>
                <w:shd w:val="clear" w:color="auto" w:fill="FFFFFF"/>
              </w:rPr>
              <w:t> Blanco</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19</w:t>
            </w:r>
          </w:p>
        </w:tc>
        <w:tc>
          <w:tcPr>
            <w:tcW w:w="60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SP</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1.8</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6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棕树</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rachycarpus fortunei</w:t>
            </w:r>
            <w:r>
              <w:rPr>
                <w:rStyle w:val="3242"/>
                <w:sz w:val="18"/>
                <w:szCs w:val="18"/>
                <w:shd w:val="clear" w:color="auto" w:fill="FFFFFF"/>
              </w:rPr>
              <w:t> （Hook.） H. Wendl.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60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SOL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4.3</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60" w:type="pct"/>
            <w:tcBorders>
              <w:tl2br w:val="nil"/>
              <w:tr2bl w:val="nil"/>
            </w:tcBorders>
            <w:vAlign w:val="center"/>
          </w:tcPr>
          <w:p>
            <w:pPr>
              <w:spacing w:line="240" w:lineRule="atLeast"/>
              <w:ind w:firstLine="0" w:firstLineChars="0"/>
              <w:jc w:val="center"/>
              <w:rPr>
                <w:sz w:val="21"/>
                <w:szCs w:val="21"/>
              </w:rPr>
            </w:pPr>
            <w:r>
              <w:rPr>
                <w:sz w:val="21"/>
                <w:szCs w:val="21"/>
              </w:rPr>
              <w:t>接骨草</w:t>
            </w:r>
          </w:p>
        </w:tc>
        <w:tc>
          <w:tcPr>
            <w:tcW w:w="1583" w:type="pct"/>
            <w:gridSpan w:val="2"/>
            <w:tcBorders>
              <w:tl2br w:val="nil"/>
              <w:tr2bl w:val="nil"/>
            </w:tcBorders>
            <w:vAlign w:val="center"/>
          </w:tcPr>
          <w:p>
            <w:pPr>
              <w:spacing w:line="240" w:lineRule="atLeast"/>
              <w:ind w:firstLine="0" w:firstLineChars="0"/>
              <w:jc w:val="center"/>
              <w:rPr>
                <w:sz w:val="21"/>
                <w:szCs w:val="21"/>
              </w:rPr>
            </w:pPr>
            <w:r>
              <w:rPr>
                <w:rStyle w:val="3242"/>
                <w:i/>
                <w:iCs/>
                <w:sz w:val="18"/>
                <w:szCs w:val="18"/>
                <w:shd w:val="clear" w:color="auto" w:fill="FFFFFF"/>
              </w:rPr>
              <w:t>Sambucus javanica</w:t>
            </w:r>
            <w:r>
              <w:rPr>
                <w:rStyle w:val="3242"/>
                <w:sz w:val="18"/>
                <w:szCs w:val="18"/>
                <w:shd w:val="clear" w:color="auto" w:fill="FFFFFF"/>
              </w:rPr>
              <w:t> Reinw. ex Blume</w:t>
            </w:r>
          </w:p>
        </w:tc>
        <w:tc>
          <w:tcPr>
            <w:tcW w:w="685"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01"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蚕豆</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i/>
                <w:sz w:val="21"/>
                <w:szCs w:val="21"/>
              </w:rPr>
              <w:t>Vicia faba L.</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COP1</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65</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5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3</w:t>
            </w:r>
          </w:p>
        </w:tc>
        <w:tc>
          <w:tcPr>
            <w:tcW w:w="46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打碗花</w:t>
            </w:r>
          </w:p>
        </w:tc>
        <w:tc>
          <w:tcPr>
            <w:tcW w:w="1583"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Calystegia hederacea</w:t>
            </w:r>
            <w:r>
              <w:rPr>
                <w:rStyle w:val="3242"/>
                <w:sz w:val="18"/>
                <w:szCs w:val="18"/>
                <w:shd w:val="clear" w:color="auto" w:fill="FFFFFF"/>
              </w:rPr>
              <w:t> Wall. in Roxb.</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60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53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499"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885440" cy="2165350"/>
                  <wp:effectExtent l="0" t="0" r="0" b="6350"/>
                  <wp:docPr id="213481114"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3481114" name="图片 3"/>
                          <pic:cNvPicPr>
                            <a:picLocks noChangeAspect="true" noChangeArrowheads="true"/>
                          </pic:cNvPicPr>
                        </pic:nvPicPr>
                        <pic:blipFill>
                          <a:blip r:embed="rId75" cstate="print">
                            <a:extLst>
                              <a:ext uri="{28A0092B-C50C-407E-A947-70E740481C1C}">
                                <a14:useLocalDpi xmlns:a14="http://schemas.microsoft.com/office/drawing/2010/main" val="false"/>
                              </a:ext>
                            </a:extLst>
                          </a:blip>
                          <a:srcRect/>
                          <a:stretch>
                            <a:fillRect/>
                          </a:stretch>
                        </pic:blipFill>
                        <pic:spPr>
                          <a:xfrm rot="10800000">
                            <a:off x="0" y="0"/>
                            <a:ext cx="2891636" cy="2169922"/>
                          </a:xfrm>
                          <a:prstGeom prst="rect">
                            <a:avLst/>
                          </a:prstGeom>
                          <a:noFill/>
                          <a:ln>
                            <a:noFill/>
                          </a:ln>
                        </pic:spPr>
                      </pic:pic>
                    </a:graphicData>
                  </a:graphic>
                </wp:inline>
              </w:drawing>
            </w:r>
          </w:p>
        </w:tc>
        <w:tc>
          <w:tcPr>
            <w:tcW w:w="2501"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258060" cy="2707005"/>
                  <wp:effectExtent l="4127" t="0" r="0" b="0"/>
                  <wp:docPr id="45"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true" noChangeArrowheads="true"/>
                          </pic:cNvPicPr>
                        </pic:nvPicPr>
                        <pic:blipFill>
                          <a:blip r:embed="rId76" cstate="print">
                            <a:extLst>
                              <a:ext uri="{28A0092B-C50C-407E-A947-70E740481C1C}">
                                <a14:useLocalDpi xmlns:a14="http://schemas.microsoft.com/office/drawing/2010/main" val="false"/>
                              </a:ext>
                            </a:extLst>
                          </a:blip>
                          <a:srcRect/>
                          <a:stretch>
                            <a:fillRect/>
                          </a:stretch>
                        </pic:blipFill>
                        <pic:spPr>
                          <a:xfrm rot="5400000">
                            <a:off x="0" y="0"/>
                            <a:ext cx="2268785" cy="2720170"/>
                          </a:xfrm>
                          <a:prstGeom prst="rect">
                            <a:avLst/>
                          </a:prstGeom>
                          <a:noFill/>
                          <a:ln>
                            <a:noFill/>
                          </a:ln>
                        </pic:spPr>
                      </pic:pic>
                    </a:graphicData>
                  </a:graphic>
                </wp:inline>
              </w:drawing>
            </w:r>
          </w:p>
        </w:tc>
      </w:tr>
    </w:tbl>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r>
        <w:rPr>
          <w:sz w:val="24"/>
          <w:szCs w:val="24"/>
        </w:rPr>
        <w:t>表4.2-11  样方调查表（S10）</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777"/>
        <w:gridCol w:w="794"/>
        <w:gridCol w:w="1585"/>
        <w:gridCol w:w="1225"/>
        <w:gridCol w:w="1292"/>
        <w:gridCol w:w="1138"/>
        <w:gridCol w:w="1292"/>
        <w:gridCol w:w="99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样地名称</w:t>
            </w:r>
          </w:p>
        </w:tc>
        <w:tc>
          <w:tcPr>
            <w:tcW w:w="1307"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灌木</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33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S10</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5m×5m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07"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106°18′52.35″</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33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29°54′48.60″</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07"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335"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西北</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55</w:t>
            </w:r>
          </w:p>
        </w:tc>
        <w:tc>
          <w:tcPr>
            <w:tcW w:w="87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673"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30</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45</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68" w:hRule="atLeast"/>
          <w:jc w:val="center"/>
        </w:trPr>
        <w:tc>
          <w:tcPr>
            <w:tcW w:w="427"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44"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小琴丝竹</w:t>
            </w:r>
          </w:p>
        </w:tc>
        <w:tc>
          <w:tcPr>
            <w:tcW w:w="1544" w:type="pct"/>
            <w:gridSpan w:val="2"/>
            <w:tcBorders>
              <w:tl2br w:val="nil"/>
              <w:tr2bl w:val="nil"/>
            </w:tcBorders>
            <w:vAlign w:val="center"/>
          </w:tcPr>
          <w:p>
            <w:pPr>
              <w:spacing w:line="240" w:lineRule="auto"/>
              <w:ind w:firstLine="420"/>
              <w:rPr>
                <w:i/>
              </w:rPr>
            </w:pPr>
            <w:r>
              <w:rPr>
                <w:i/>
                <w:sz w:val="21"/>
              </w:rPr>
              <w:t>Bambusa multiplex cv. Alphonse-karri Rob. A. Young</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w:t>
            </w:r>
          </w:p>
        </w:tc>
        <w:tc>
          <w:tcPr>
            <w:tcW w:w="6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6.0</w:t>
            </w:r>
          </w:p>
        </w:tc>
        <w:tc>
          <w:tcPr>
            <w:tcW w:w="54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3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枇杷树</w:t>
            </w:r>
          </w:p>
        </w:tc>
        <w:tc>
          <w:tcPr>
            <w:tcW w:w="1544" w:type="pct"/>
            <w:gridSpan w:val="2"/>
            <w:tcBorders>
              <w:tl2br w:val="nil"/>
              <w:tr2bl w:val="nil"/>
            </w:tcBorders>
            <w:vAlign w:val="center"/>
          </w:tcPr>
          <w:p>
            <w:pPr>
              <w:spacing w:line="240" w:lineRule="atLeast"/>
              <w:ind w:firstLine="0" w:firstLineChars="0"/>
              <w:jc w:val="center"/>
              <w:rPr>
                <w:i/>
                <w:sz w:val="21"/>
                <w:szCs w:val="21"/>
              </w:rPr>
            </w:pPr>
            <w:r>
              <w:rPr>
                <w:i/>
                <w:sz w:val="21"/>
                <w:szCs w:val="21"/>
              </w:rPr>
              <w:t>Eriobotrya japonica （Thunb.） Lindl</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6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5.5</w:t>
            </w:r>
          </w:p>
        </w:tc>
        <w:tc>
          <w:tcPr>
            <w:tcW w:w="54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3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侧柏</w:t>
            </w:r>
          </w:p>
        </w:tc>
        <w:tc>
          <w:tcPr>
            <w:tcW w:w="1544" w:type="pct"/>
            <w:gridSpan w:val="2"/>
            <w:tcBorders>
              <w:tl2br w:val="nil"/>
              <w:tr2bl w:val="nil"/>
            </w:tcBorders>
            <w:vAlign w:val="center"/>
          </w:tcPr>
          <w:p>
            <w:pPr>
              <w:spacing w:line="240" w:lineRule="atLeast"/>
              <w:ind w:firstLine="0" w:firstLineChars="0"/>
              <w:jc w:val="center"/>
              <w:rPr>
                <w:i/>
                <w:sz w:val="21"/>
                <w:szCs w:val="21"/>
              </w:rPr>
            </w:pPr>
            <w:r>
              <w:rPr>
                <w:rStyle w:val="3243"/>
                <w:i/>
                <w:iCs/>
                <w:sz w:val="18"/>
                <w:szCs w:val="18"/>
                <w:shd w:val="clear" w:color="auto" w:fill="FFFFFF"/>
              </w:rPr>
              <w:t>Platycladus orientalis </w:t>
            </w:r>
            <w:r>
              <w:rPr>
                <w:rStyle w:val="3243"/>
                <w:sz w:val="18"/>
                <w:szCs w:val="18"/>
                <w:shd w:val="clear" w:color="auto" w:fill="FFFFFF"/>
              </w:rPr>
              <w:t>（L.） Franco</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625"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7.0</w:t>
            </w:r>
          </w:p>
        </w:tc>
        <w:tc>
          <w:tcPr>
            <w:tcW w:w="54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84"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44"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6" w:type="pct"/>
            <w:tcBorders>
              <w:tl2br w:val="nil"/>
              <w:tr2bl w:val="nil"/>
            </w:tcBorders>
            <w:vAlign w:val="center"/>
          </w:tcPr>
          <w:p>
            <w:pPr>
              <w:spacing w:line="240" w:lineRule="atLeast"/>
              <w:ind w:firstLine="0" w:firstLineChars="0"/>
              <w:jc w:val="center"/>
              <w:rPr>
                <w:sz w:val="21"/>
                <w:szCs w:val="21"/>
              </w:rPr>
            </w:pPr>
            <w:r>
              <w:rPr>
                <w:sz w:val="21"/>
                <w:szCs w:val="21"/>
              </w:rPr>
              <w:t>假鹰爪</w:t>
            </w:r>
          </w:p>
        </w:tc>
        <w:tc>
          <w:tcPr>
            <w:tcW w:w="1544"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Desmos chinensis</w:t>
            </w:r>
            <w:r>
              <w:rPr>
                <w:rStyle w:val="3242"/>
                <w:sz w:val="18"/>
                <w:szCs w:val="18"/>
                <w:shd w:val="clear" w:color="auto" w:fill="FFFFFF"/>
              </w:rPr>
              <w:t> Lour.</w:t>
            </w:r>
          </w:p>
        </w:tc>
        <w:tc>
          <w:tcPr>
            <w:tcW w:w="710"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25" w:type="pct"/>
            <w:tcBorders>
              <w:tl2br w:val="nil"/>
              <w:tr2bl w:val="nil"/>
            </w:tcBorders>
            <w:vAlign w:val="center"/>
          </w:tcPr>
          <w:p>
            <w:pPr>
              <w:spacing w:line="240" w:lineRule="atLeast"/>
              <w:ind w:firstLine="0" w:firstLineChars="0"/>
              <w:jc w:val="center"/>
              <w:rPr>
                <w:sz w:val="21"/>
                <w:szCs w:val="21"/>
              </w:rPr>
            </w:pPr>
            <w:r>
              <w:rPr>
                <w:sz w:val="21"/>
                <w:szCs w:val="21"/>
              </w:rPr>
              <w:t>SP</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36" w:type="pct"/>
            <w:tcBorders>
              <w:tl2br w:val="nil"/>
              <w:tr2bl w:val="nil"/>
            </w:tcBorders>
            <w:vAlign w:val="center"/>
          </w:tcPr>
          <w:p>
            <w:pPr>
              <w:spacing w:line="240" w:lineRule="atLeast"/>
              <w:ind w:firstLine="0" w:firstLineChars="0"/>
              <w:jc w:val="center"/>
              <w:rPr>
                <w:sz w:val="21"/>
                <w:szCs w:val="21"/>
              </w:rPr>
            </w:pPr>
            <w:r>
              <w:rPr>
                <w:sz w:val="21"/>
                <w:szCs w:val="21"/>
              </w:rPr>
              <w:t>南天竹</w:t>
            </w:r>
          </w:p>
        </w:tc>
        <w:tc>
          <w:tcPr>
            <w:tcW w:w="1544"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Nandina domestica</w:t>
            </w:r>
            <w:r>
              <w:rPr>
                <w:rStyle w:val="3242"/>
                <w:sz w:val="18"/>
                <w:szCs w:val="18"/>
                <w:shd w:val="clear" w:color="auto" w:fill="FFFFFF"/>
              </w:rPr>
              <w:t> Thunb.</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12</w:t>
            </w:r>
          </w:p>
        </w:tc>
        <w:tc>
          <w:tcPr>
            <w:tcW w:w="6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SOL</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3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槲寄生</w:t>
            </w:r>
          </w:p>
        </w:tc>
        <w:tc>
          <w:tcPr>
            <w:tcW w:w="1544"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Viscum coloratum</w:t>
            </w:r>
            <w:r>
              <w:rPr>
                <w:rStyle w:val="3242"/>
                <w:sz w:val="18"/>
                <w:szCs w:val="18"/>
                <w:shd w:val="clear" w:color="auto" w:fill="FFFFFF"/>
              </w:rPr>
              <w:t> （Kom.） Nakai</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w:t>
            </w:r>
          </w:p>
        </w:tc>
        <w:tc>
          <w:tcPr>
            <w:tcW w:w="6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71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0.6</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544"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6" w:type="pct"/>
            <w:tcBorders>
              <w:tl2br w:val="nil"/>
              <w:tr2bl w:val="nil"/>
            </w:tcBorders>
            <w:vAlign w:val="center"/>
          </w:tcPr>
          <w:p>
            <w:pPr>
              <w:spacing w:line="240" w:lineRule="atLeast"/>
              <w:ind w:firstLine="0" w:firstLineChars="0"/>
              <w:jc w:val="center"/>
              <w:rPr>
                <w:sz w:val="21"/>
                <w:szCs w:val="21"/>
              </w:rPr>
            </w:pPr>
            <w:r>
              <w:rPr>
                <w:sz w:val="21"/>
                <w:szCs w:val="21"/>
              </w:rPr>
              <w:t>艾</w:t>
            </w:r>
          </w:p>
        </w:tc>
        <w:tc>
          <w:tcPr>
            <w:tcW w:w="1544" w:type="pct"/>
            <w:gridSpan w:val="2"/>
            <w:tcBorders>
              <w:tl2br w:val="nil"/>
              <w:tr2bl w:val="nil"/>
            </w:tcBorders>
            <w:vAlign w:val="center"/>
          </w:tcPr>
          <w:p>
            <w:pPr>
              <w:spacing w:line="240" w:lineRule="atLeast"/>
              <w:ind w:firstLine="0" w:firstLineChars="0"/>
              <w:jc w:val="center"/>
              <w:rPr>
                <w:sz w:val="21"/>
                <w:szCs w:val="21"/>
              </w:rPr>
            </w:pPr>
            <w:r>
              <w:rPr>
                <w:rStyle w:val="3242"/>
                <w:i/>
                <w:iCs/>
                <w:sz w:val="18"/>
                <w:szCs w:val="18"/>
                <w:shd w:val="clear" w:color="auto" w:fill="FFFFFF"/>
              </w:rPr>
              <w:t>Artemisia argyi</w:t>
            </w:r>
            <w:r>
              <w:rPr>
                <w:rStyle w:val="3242"/>
                <w:sz w:val="18"/>
                <w:szCs w:val="18"/>
                <w:shd w:val="clear" w:color="auto" w:fill="FFFFFF"/>
              </w:rPr>
              <w:t> H. Lév. &amp; Vaniot</w:t>
            </w:r>
          </w:p>
        </w:tc>
        <w:tc>
          <w:tcPr>
            <w:tcW w:w="710"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25" w:type="pct"/>
            <w:tcBorders>
              <w:tl2br w:val="nil"/>
              <w:tr2bl w:val="nil"/>
            </w:tcBorders>
            <w:vAlign w:val="center"/>
          </w:tcPr>
          <w:p>
            <w:pPr>
              <w:spacing w:line="240" w:lineRule="atLeast"/>
              <w:ind w:firstLine="0" w:firstLineChars="0"/>
              <w:jc w:val="center"/>
              <w:rPr>
                <w:sz w:val="21"/>
                <w:szCs w:val="21"/>
              </w:rPr>
            </w:pPr>
            <w:r>
              <w:rPr>
                <w:sz w:val="21"/>
                <w:szCs w:val="21"/>
              </w:rPr>
              <w:t>COP1</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0.15</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野菊</w:t>
            </w:r>
          </w:p>
        </w:tc>
        <w:tc>
          <w:tcPr>
            <w:tcW w:w="1544"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Chrysanthemum</w:t>
            </w:r>
            <w:r>
              <w:rPr>
                <w:rStyle w:val="3242"/>
                <w:sz w:val="18"/>
                <w:szCs w:val="18"/>
                <w:shd w:val="clear" w:color="auto" w:fill="FFFFFF"/>
              </w:rPr>
              <w:t> </w:t>
            </w:r>
            <w:r>
              <w:rPr>
                <w:rStyle w:val="3242"/>
                <w:i/>
                <w:iCs/>
                <w:sz w:val="18"/>
                <w:szCs w:val="18"/>
                <w:shd w:val="clear" w:color="auto" w:fill="FFFFFF"/>
              </w:rPr>
              <w:t>indicum</w:t>
            </w:r>
            <w:r>
              <w:rPr>
                <w:rStyle w:val="3242"/>
                <w:sz w:val="18"/>
                <w:szCs w:val="18"/>
                <w:shd w:val="clear" w:color="auto" w:fill="FFFFFF"/>
              </w:rPr>
              <w:t> L.</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UN</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0.1</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3</w:t>
            </w:r>
          </w:p>
        </w:tc>
        <w:tc>
          <w:tcPr>
            <w:tcW w:w="43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腹水草</w:t>
            </w:r>
          </w:p>
        </w:tc>
        <w:tc>
          <w:tcPr>
            <w:tcW w:w="1544" w:type="pct"/>
            <w:gridSpan w:val="2"/>
            <w:tcBorders>
              <w:tl2br w:val="nil"/>
              <w:tr2bl w:val="nil"/>
            </w:tcBorders>
            <w:vAlign w:val="center"/>
          </w:tcPr>
          <w:p>
            <w:pPr>
              <w:spacing w:line="240" w:lineRule="atLeast"/>
              <w:ind w:firstLine="0" w:firstLineChars="0"/>
              <w:jc w:val="center"/>
              <w:rPr>
                <w:rStyle w:val="3242"/>
                <w:i/>
                <w:iCs/>
                <w:sz w:val="18"/>
                <w:szCs w:val="18"/>
                <w:shd w:val="clear" w:color="auto" w:fill="FFFFFF"/>
              </w:rPr>
            </w:pPr>
            <w:r>
              <w:rPr>
                <w:rStyle w:val="3242"/>
                <w:i/>
                <w:iCs/>
                <w:sz w:val="18"/>
                <w:szCs w:val="18"/>
                <w:shd w:val="clear" w:color="auto" w:fill="FFFFFF"/>
              </w:rPr>
              <w:t xml:space="preserve">Veronicastrum </w:t>
            </w:r>
          </w:p>
          <w:p>
            <w:pPr>
              <w:spacing w:line="240" w:lineRule="atLeast"/>
              <w:ind w:firstLine="0" w:firstLineChars="0"/>
              <w:jc w:val="center"/>
              <w:rPr>
                <w:rStyle w:val="3242"/>
                <w:sz w:val="18"/>
                <w:szCs w:val="18"/>
                <w:shd w:val="clear" w:color="auto" w:fill="FFFFFF"/>
              </w:rPr>
            </w:pPr>
            <w:r>
              <w:rPr>
                <w:rStyle w:val="3242"/>
                <w:i/>
                <w:iCs/>
                <w:sz w:val="18"/>
                <w:szCs w:val="18"/>
                <w:shd w:val="clear" w:color="auto" w:fill="FFFFFF"/>
              </w:rPr>
              <w:t>stenostachyum</w:t>
            </w:r>
            <w:r>
              <w:rPr>
                <w:rStyle w:val="3242"/>
                <w:sz w:val="18"/>
                <w:szCs w:val="18"/>
                <w:shd w:val="clear" w:color="auto" w:fill="FFFFFF"/>
              </w:rPr>
              <w:t> </w:t>
            </w:r>
          </w:p>
          <w:p>
            <w:pPr>
              <w:spacing w:line="240" w:lineRule="atLeast"/>
              <w:ind w:firstLine="0" w:firstLineChars="0"/>
              <w:jc w:val="center"/>
              <w:rPr>
                <w:rStyle w:val="3242"/>
                <w:sz w:val="18"/>
                <w:szCs w:val="18"/>
                <w:shd w:val="clear" w:color="auto" w:fill="FFFFFF"/>
              </w:rPr>
            </w:pPr>
            <w:r>
              <w:rPr>
                <w:rStyle w:val="3242"/>
                <w:sz w:val="18"/>
                <w:szCs w:val="18"/>
                <w:shd w:val="clear" w:color="auto" w:fill="FFFFFF"/>
              </w:rPr>
              <w:t>subsp. </w:t>
            </w:r>
            <w:r>
              <w:rPr>
                <w:rStyle w:val="3242"/>
                <w:i/>
                <w:iCs/>
                <w:sz w:val="18"/>
                <w:szCs w:val="18"/>
                <w:shd w:val="clear" w:color="auto" w:fill="FFFFFF"/>
              </w:rPr>
              <w:t>plukenetii</w:t>
            </w:r>
            <w:r>
              <w:rPr>
                <w:rStyle w:val="3242"/>
                <w:sz w:val="18"/>
                <w:szCs w:val="18"/>
                <w:shd w:val="clear" w:color="auto" w:fill="FFFFFF"/>
              </w:rPr>
              <w:t> </w:t>
            </w:r>
          </w:p>
          <w:p>
            <w:pPr>
              <w:spacing w:line="240" w:lineRule="atLeast"/>
              <w:ind w:firstLine="0" w:firstLineChars="0"/>
              <w:jc w:val="center"/>
              <w:rPr>
                <w:i/>
                <w:sz w:val="21"/>
                <w:szCs w:val="21"/>
              </w:rPr>
            </w:pPr>
            <w:r>
              <w:rPr>
                <w:rStyle w:val="3242"/>
                <w:sz w:val="18"/>
                <w:szCs w:val="18"/>
                <w:shd w:val="clear" w:color="auto" w:fill="FFFFFF"/>
              </w:rPr>
              <w:t>（T.Yamazaki）D.Y.Hong</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w:t>
            </w:r>
          </w:p>
        </w:tc>
        <w:tc>
          <w:tcPr>
            <w:tcW w:w="6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UN</w:t>
            </w:r>
          </w:p>
        </w:tc>
        <w:tc>
          <w:tcPr>
            <w:tcW w:w="71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0.15</w:t>
            </w:r>
          </w:p>
        </w:tc>
        <w:tc>
          <w:tcPr>
            <w:tcW w:w="54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407"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043430" cy="2420620"/>
                  <wp:effectExtent l="1905" t="0" r="0" b="0"/>
                  <wp:docPr id="36"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true" noChangeArrowheads="true"/>
                          </pic:cNvPicPr>
                        </pic:nvPicPr>
                        <pic:blipFill>
                          <a:blip r:embed="rId77" cstate="print">
                            <a:extLst>
                              <a:ext uri="{28A0092B-C50C-407E-A947-70E740481C1C}">
                                <a14:useLocalDpi xmlns:a14="http://schemas.microsoft.com/office/drawing/2010/main" val="false"/>
                              </a:ext>
                            </a:extLst>
                          </a:blip>
                          <a:srcRect/>
                          <a:stretch>
                            <a:fillRect/>
                          </a:stretch>
                        </pic:blipFill>
                        <pic:spPr>
                          <a:xfrm rot="5400000">
                            <a:off x="0" y="0"/>
                            <a:ext cx="2048901" cy="2426677"/>
                          </a:xfrm>
                          <a:prstGeom prst="rect">
                            <a:avLst/>
                          </a:prstGeom>
                          <a:noFill/>
                          <a:ln>
                            <a:noFill/>
                          </a:ln>
                        </pic:spPr>
                      </pic:pic>
                    </a:graphicData>
                  </a:graphic>
                </wp:inline>
              </w:drawing>
            </w:r>
          </w:p>
        </w:tc>
        <w:tc>
          <w:tcPr>
            <w:tcW w:w="2593"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699385" cy="2025650"/>
                  <wp:effectExtent l="0" t="0" r="5715" b="0"/>
                  <wp:docPr id="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true" noChangeArrowheads="true"/>
                          </pic:cNvPicPr>
                        </pic:nvPicPr>
                        <pic:blipFill>
                          <a:blip r:embed="rId78" cstate="print">
                            <a:extLst>
                              <a:ext uri="{28A0092B-C50C-407E-A947-70E740481C1C}">
                                <a14:useLocalDpi xmlns:a14="http://schemas.microsoft.com/office/drawing/2010/main" val="false"/>
                              </a:ext>
                            </a:extLst>
                          </a:blip>
                          <a:srcRect/>
                          <a:stretch>
                            <a:fillRect/>
                          </a:stretch>
                        </pic:blipFill>
                        <pic:spPr>
                          <a:xfrm>
                            <a:off x="0" y="0"/>
                            <a:ext cx="2700000" cy="2026071"/>
                          </a:xfrm>
                          <a:prstGeom prst="rect">
                            <a:avLst/>
                          </a:prstGeom>
                          <a:noFill/>
                          <a:ln>
                            <a:noFill/>
                          </a:ln>
                        </pic:spPr>
                      </pic:pic>
                    </a:graphicData>
                  </a:graphic>
                </wp:inline>
              </w:drawing>
            </w:r>
          </w:p>
        </w:tc>
      </w:tr>
    </w:tbl>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p>
    <w:p>
      <w:pPr>
        <w:ind w:firstLine="0" w:firstLineChars="0"/>
        <w:jc w:val="center"/>
        <w:rPr>
          <w:sz w:val="24"/>
          <w:szCs w:val="24"/>
        </w:rPr>
      </w:pPr>
      <w:r>
        <w:rPr>
          <w:sz w:val="24"/>
          <w:szCs w:val="24"/>
        </w:rPr>
        <w:t>表4.2-12  样方调查表（S9）</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748"/>
        <w:gridCol w:w="769"/>
        <w:gridCol w:w="1639"/>
        <w:gridCol w:w="1290"/>
        <w:gridCol w:w="1217"/>
        <w:gridCol w:w="1066"/>
        <w:gridCol w:w="1221"/>
        <w:gridCol w:w="115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样地名称</w:t>
            </w:r>
          </w:p>
        </w:tc>
        <w:tc>
          <w:tcPr>
            <w:tcW w:w="135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乔木</w:t>
            </w:r>
          </w:p>
        </w:tc>
        <w:tc>
          <w:tcPr>
            <w:tcW w:w="72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S9</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10m×10m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5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106°19′29.20″</w:t>
            </w:r>
          </w:p>
        </w:tc>
        <w:tc>
          <w:tcPr>
            <w:tcW w:w="72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29°55′7.83″</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5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72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83"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西北</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3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60</w:t>
            </w:r>
          </w:p>
        </w:tc>
        <w:tc>
          <w:tcPr>
            <w:tcW w:w="91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723"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c>
          <w:tcPr>
            <w:tcW w:w="68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60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16" w:hRule="atLeast"/>
          <w:jc w:val="center"/>
        </w:trPr>
        <w:tc>
          <w:tcPr>
            <w:tcW w:w="425"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3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3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43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枫杨</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i/>
                <w:sz w:val="21"/>
                <w:szCs w:val="21"/>
              </w:rPr>
              <w:t>Pterocarya stenoptera C. DC.</w:t>
            </w:r>
          </w:p>
        </w:tc>
        <w:tc>
          <w:tcPr>
            <w:tcW w:w="683"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600"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UN</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12</w:t>
            </w:r>
          </w:p>
        </w:tc>
        <w:tc>
          <w:tcPr>
            <w:tcW w:w="53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43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银杏</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Ginkgo biloba</w:t>
            </w:r>
            <w:r>
              <w:rPr>
                <w:rStyle w:val="3242"/>
                <w:sz w:val="18"/>
                <w:szCs w:val="18"/>
                <w:shd w:val="clear" w:color="auto" w:fill="FFFFFF"/>
              </w:rPr>
              <w:t> L.</w:t>
            </w:r>
          </w:p>
        </w:tc>
        <w:tc>
          <w:tcPr>
            <w:tcW w:w="683"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UN</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10</w:t>
            </w:r>
          </w:p>
        </w:tc>
        <w:tc>
          <w:tcPr>
            <w:tcW w:w="53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43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柏木</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3"/>
                <w:i/>
                <w:iCs/>
                <w:sz w:val="18"/>
                <w:szCs w:val="18"/>
                <w:shd w:val="clear" w:color="auto" w:fill="FFFFFF"/>
              </w:rPr>
              <w:t>Cupressus funebris</w:t>
            </w:r>
            <w:r>
              <w:rPr>
                <w:rStyle w:val="3243"/>
                <w:sz w:val="18"/>
                <w:szCs w:val="18"/>
                <w:shd w:val="clear" w:color="auto" w:fill="FFFFFF"/>
              </w:rPr>
              <w:t> Endl.</w:t>
            </w:r>
          </w:p>
        </w:tc>
        <w:tc>
          <w:tcPr>
            <w:tcW w:w="683"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6</w:t>
            </w:r>
          </w:p>
        </w:tc>
        <w:tc>
          <w:tcPr>
            <w:tcW w:w="53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43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杉木</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3"/>
                <w:i/>
                <w:iCs/>
                <w:sz w:val="18"/>
                <w:szCs w:val="18"/>
                <w:shd w:val="clear" w:color="auto" w:fill="FFFFFF"/>
              </w:rPr>
              <w:t>Cunninghamia lanceolata</w:t>
            </w:r>
            <w:r>
              <w:rPr>
                <w:rStyle w:val="3243"/>
                <w:sz w:val="18"/>
                <w:szCs w:val="18"/>
                <w:shd w:val="clear" w:color="auto" w:fill="FFFFFF"/>
              </w:rPr>
              <w:t> （Lamb.） Hook.</w:t>
            </w:r>
          </w:p>
        </w:tc>
        <w:tc>
          <w:tcPr>
            <w:tcW w:w="683"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24</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7</w:t>
            </w:r>
          </w:p>
        </w:tc>
        <w:tc>
          <w:tcPr>
            <w:tcW w:w="53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5</w:t>
            </w:r>
          </w:p>
        </w:tc>
        <w:tc>
          <w:tcPr>
            <w:tcW w:w="43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雪松</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3"/>
                <w:i/>
                <w:iCs/>
                <w:sz w:val="18"/>
                <w:szCs w:val="18"/>
                <w:shd w:val="clear" w:color="auto" w:fill="FFFFFF"/>
              </w:rPr>
              <w:t>Cedrus deodara</w:t>
            </w:r>
            <w:r>
              <w:rPr>
                <w:rStyle w:val="3243"/>
                <w:sz w:val="18"/>
                <w:szCs w:val="18"/>
                <w:shd w:val="clear" w:color="auto" w:fill="FFFFFF"/>
              </w:rPr>
              <w:t> （Roxb.） G. Don</w:t>
            </w:r>
          </w:p>
        </w:tc>
        <w:tc>
          <w:tcPr>
            <w:tcW w:w="683"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68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8</w:t>
            </w:r>
          </w:p>
        </w:tc>
        <w:tc>
          <w:tcPr>
            <w:tcW w:w="53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70"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3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3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7" w:type="pct"/>
            <w:tcBorders>
              <w:tl2br w:val="nil"/>
              <w:tr2bl w:val="nil"/>
            </w:tcBorders>
            <w:vAlign w:val="center"/>
          </w:tcPr>
          <w:p>
            <w:pPr>
              <w:spacing w:line="240" w:lineRule="atLeast"/>
              <w:ind w:firstLine="0" w:firstLineChars="0"/>
              <w:jc w:val="center"/>
              <w:rPr>
                <w:sz w:val="21"/>
                <w:szCs w:val="21"/>
              </w:rPr>
            </w:pPr>
            <w:r>
              <w:rPr>
                <w:sz w:val="21"/>
                <w:szCs w:val="21"/>
              </w:rPr>
              <w:t>山茶</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Camellia japonica</w:t>
            </w:r>
            <w:r>
              <w:rPr>
                <w:rStyle w:val="3242"/>
                <w:sz w:val="18"/>
                <w:szCs w:val="18"/>
                <w:shd w:val="clear" w:color="auto" w:fill="FFFFFF"/>
              </w:rPr>
              <w:t> L.</w:t>
            </w:r>
          </w:p>
        </w:tc>
        <w:tc>
          <w:tcPr>
            <w:tcW w:w="683"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1.2</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37" w:type="pct"/>
            <w:tcBorders>
              <w:tl2br w:val="nil"/>
              <w:tr2bl w:val="nil"/>
            </w:tcBorders>
            <w:vAlign w:val="center"/>
          </w:tcPr>
          <w:p>
            <w:pPr>
              <w:spacing w:line="240" w:lineRule="atLeast"/>
              <w:ind w:firstLine="0" w:firstLineChars="0"/>
              <w:jc w:val="center"/>
              <w:rPr>
                <w:sz w:val="21"/>
                <w:szCs w:val="21"/>
              </w:rPr>
            </w:pPr>
            <w:r>
              <w:rPr>
                <w:sz w:val="21"/>
                <w:szCs w:val="21"/>
              </w:rPr>
              <w:t>火棘</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Pyracantha fortuneana</w:t>
            </w:r>
            <w:r>
              <w:rPr>
                <w:rStyle w:val="3242"/>
                <w:sz w:val="18"/>
                <w:szCs w:val="18"/>
                <w:shd w:val="clear" w:color="auto" w:fill="FFFFFF"/>
              </w:rPr>
              <w:t> （Maxim.） H. L. Li</w:t>
            </w:r>
          </w:p>
        </w:tc>
        <w:tc>
          <w:tcPr>
            <w:tcW w:w="683"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1.8</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3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3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83"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60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37" w:type="pct"/>
            <w:tcBorders>
              <w:tl2br w:val="nil"/>
              <w:tr2bl w:val="nil"/>
            </w:tcBorders>
            <w:vAlign w:val="center"/>
          </w:tcPr>
          <w:p>
            <w:pPr>
              <w:spacing w:line="240" w:lineRule="atLeast"/>
              <w:ind w:firstLine="0" w:firstLineChars="0"/>
              <w:jc w:val="center"/>
              <w:rPr>
                <w:sz w:val="21"/>
                <w:szCs w:val="21"/>
              </w:rPr>
            </w:pPr>
            <w:r>
              <w:rPr>
                <w:sz w:val="21"/>
                <w:szCs w:val="21"/>
              </w:rPr>
              <w:t>沿阶草</w:t>
            </w:r>
          </w:p>
        </w:tc>
        <w:tc>
          <w:tcPr>
            <w:tcW w:w="1638" w:type="pct"/>
            <w:gridSpan w:val="2"/>
            <w:tcBorders>
              <w:tl2br w:val="nil"/>
              <w:tr2bl w:val="nil"/>
            </w:tcBorders>
            <w:vAlign w:val="center"/>
          </w:tcPr>
          <w:p>
            <w:pPr>
              <w:spacing w:line="240" w:lineRule="atLeast"/>
              <w:ind w:firstLine="0" w:firstLineChars="0"/>
              <w:rPr>
                <w:sz w:val="21"/>
                <w:szCs w:val="21"/>
              </w:rPr>
            </w:pPr>
            <w:r>
              <w:rPr>
                <w:rStyle w:val="3242"/>
                <w:i/>
                <w:iCs/>
                <w:sz w:val="18"/>
                <w:szCs w:val="18"/>
                <w:shd w:val="clear" w:color="auto" w:fill="FFFFFF"/>
              </w:rPr>
              <w:t>Ophiopogon bodinieri</w:t>
            </w:r>
            <w:r>
              <w:rPr>
                <w:rStyle w:val="3242"/>
                <w:sz w:val="18"/>
                <w:szCs w:val="18"/>
                <w:shd w:val="clear" w:color="auto" w:fill="FFFFFF"/>
              </w:rPr>
              <w:t> H. Lév.</w:t>
            </w:r>
          </w:p>
        </w:tc>
        <w:tc>
          <w:tcPr>
            <w:tcW w:w="683"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600"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15</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37" w:type="pct"/>
            <w:tcBorders>
              <w:tl2br w:val="nil"/>
              <w:tr2bl w:val="nil"/>
            </w:tcBorders>
            <w:vAlign w:val="center"/>
          </w:tcPr>
          <w:p>
            <w:pPr>
              <w:spacing w:line="240" w:lineRule="atLeast"/>
              <w:ind w:firstLine="0" w:firstLineChars="0"/>
              <w:jc w:val="center"/>
              <w:rPr>
                <w:sz w:val="21"/>
                <w:szCs w:val="21"/>
              </w:rPr>
            </w:pPr>
            <w:r>
              <w:rPr>
                <w:sz w:val="21"/>
                <w:szCs w:val="21"/>
              </w:rPr>
              <w:t>天蓝苜蓿</w:t>
            </w:r>
          </w:p>
        </w:tc>
        <w:tc>
          <w:tcPr>
            <w:tcW w:w="1638" w:type="pct"/>
            <w:gridSpan w:val="2"/>
            <w:tcBorders>
              <w:tl2br w:val="nil"/>
              <w:tr2bl w:val="nil"/>
            </w:tcBorders>
            <w:vAlign w:val="center"/>
          </w:tcPr>
          <w:p>
            <w:pPr>
              <w:spacing w:line="240" w:lineRule="atLeast"/>
              <w:ind w:firstLine="0" w:firstLineChars="0"/>
              <w:jc w:val="center"/>
              <w:rPr>
                <w:sz w:val="21"/>
                <w:szCs w:val="21"/>
              </w:rPr>
            </w:pPr>
            <w:r>
              <w:rPr>
                <w:rStyle w:val="3242"/>
                <w:i/>
                <w:iCs/>
                <w:sz w:val="18"/>
                <w:szCs w:val="18"/>
                <w:shd w:val="clear" w:color="auto" w:fill="FFFFFF"/>
              </w:rPr>
              <w:t>Medicago lupulina</w:t>
            </w:r>
            <w:r>
              <w:rPr>
                <w:rStyle w:val="3242"/>
                <w:sz w:val="18"/>
                <w:szCs w:val="18"/>
                <w:shd w:val="clear" w:color="auto" w:fill="FFFFFF"/>
              </w:rPr>
              <w:t> L.</w:t>
            </w:r>
          </w:p>
        </w:tc>
        <w:tc>
          <w:tcPr>
            <w:tcW w:w="683"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60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2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3</w:t>
            </w:r>
          </w:p>
        </w:tc>
        <w:tc>
          <w:tcPr>
            <w:tcW w:w="43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垂盆草</w:t>
            </w:r>
          </w:p>
        </w:tc>
        <w:tc>
          <w:tcPr>
            <w:tcW w:w="1638"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Sedum sarmentosum </w:t>
            </w:r>
            <w:r>
              <w:rPr>
                <w:rStyle w:val="3242"/>
                <w:sz w:val="18"/>
                <w:szCs w:val="18"/>
                <w:shd w:val="clear" w:color="auto" w:fill="FFFFFF"/>
              </w:rPr>
              <w:t>Bunge</w:t>
            </w:r>
          </w:p>
        </w:tc>
        <w:tc>
          <w:tcPr>
            <w:tcW w:w="683"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w:t>
            </w:r>
          </w:p>
        </w:tc>
        <w:tc>
          <w:tcPr>
            <w:tcW w:w="600"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SP</w:t>
            </w:r>
          </w:p>
        </w:tc>
        <w:tc>
          <w:tcPr>
            <w:tcW w:w="68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w:t>
            </w:r>
          </w:p>
        </w:tc>
        <w:tc>
          <w:tcPr>
            <w:tcW w:w="53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500"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699385" cy="2025650"/>
                  <wp:effectExtent l="0" t="0" r="5715" b="0"/>
                  <wp:docPr id="51"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true" noChangeArrowheads="true"/>
                          </pic:cNvPicPr>
                        </pic:nvPicPr>
                        <pic:blipFill>
                          <a:blip r:embed="rId79" cstate="print">
                            <a:extLst>
                              <a:ext uri="{28A0092B-C50C-407E-A947-70E740481C1C}">
                                <a14:useLocalDpi xmlns:a14="http://schemas.microsoft.com/office/drawing/2010/main" val="false"/>
                              </a:ext>
                            </a:extLst>
                          </a:blip>
                          <a:srcRect/>
                          <a:stretch>
                            <a:fillRect/>
                          </a:stretch>
                        </pic:blipFill>
                        <pic:spPr>
                          <a:xfrm rot="10800000">
                            <a:off x="0" y="0"/>
                            <a:ext cx="2700000" cy="2026071"/>
                          </a:xfrm>
                          <a:prstGeom prst="rect">
                            <a:avLst/>
                          </a:prstGeom>
                          <a:noFill/>
                          <a:ln>
                            <a:noFill/>
                          </a:ln>
                        </pic:spPr>
                      </pic:pic>
                    </a:graphicData>
                  </a:graphic>
                </wp:inline>
              </w:drawing>
            </w:r>
          </w:p>
        </w:tc>
        <w:tc>
          <w:tcPr>
            <w:tcW w:w="2500"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699385" cy="2025650"/>
                  <wp:effectExtent l="0" t="0" r="5715" b="0"/>
                  <wp:docPr id="53"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true" noChangeArrowheads="true"/>
                          </pic:cNvPicPr>
                        </pic:nvPicPr>
                        <pic:blipFill>
                          <a:blip r:embed="rId80" cstate="print">
                            <a:extLst>
                              <a:ext uri="{28A0092B-C50C-407E-A947-70E740481C1C}">
                                <a14:useLocalDpi xmlns:a14="http://schemas.microsoft.com/office/drawing/2010/main" val="false"/>
                              </a:ext>
                            </a:extLst>
                          </a:blip>
                          <a:srcRect/>
                          <a:stretch>
                            <a:fillRect/>
                          </a:stretch>
                        </pic:blipFill>
                        <pic:spPr>
                          <a:xfrm rot="10800000">
                            <a:off x="0" y="0"/>
                            <a:ext cx="2700000" cy="2026071"/>
                          </a:xfrm>
                          <a:prstGeom prst="rect">
                            <a:avLst/>
                          </a:prstGeom>
                          <a:noFill/>
                          <a:ln>
                            <a:noFill/>
                          </a:ln>
                        </pic:spPr>
                      </pic:pic>
                    </a:graphicData>
                  </a:graphic>
                </wp:inline>
              </w:drawing>
            </w:r>
          </w:p>
        </w:tc>
      </w:tr>
    </w:tbl>
    <w:p>
      <w:pPr>
        <w:ind w:firstLine="480"/>
        <w:jc w:val="both"/>
        <w:rPr>
          <w:sz w:val="24"/>
          <w:szCs w:val="24"/>
        </w:rPr>
      </w:pPr>
      <w:r>
        <w:rPr>
          <w:sz w:val="24"/>
          <w:szCs w:val="24"/>
        </w:rPr>
        <w:t>（4）草丛</w:t>
      </w:r>
    </w:p>
    <w:p>
      <w:pPr>
        <w:ind w:firstLine="480"/>
        <w:jc w:val="both"/>
        <w:rPr>
          <w:sz w:val="24"/>
          <w:szCs w:val="24"/>
        </w:rPr>
      </w:pPr>
      <w:r>
        <w:rPr>
          <w:sz w:val="24"/>
          <w:szCs w:val="24"/>
        </w:rPr>
        <w:t>山地草丛群落在评价区零星分布，主要在荒地及田间山坡。样地主要草种有蒲公英、艾、大戟、野菊、黄鹌菜、奇蒿、地果、赤爮、莲子草、艾、狗尾草等，群落结构简单，主要功能为水土保持。</w:t>
      </w:r>
    </w:p>
    <w:p>
      <w:pPr>
        <w:ind w:firstLine="480"/>
        <w:jc w:val="both"/>
        <w:rPr>
          <w:sz w:val="24"/>
          <w:szCs w:val="24"/>
        </w:rPr>
      </w:pPr>
    </w:p>
    <w:p>
      <w:pPr>
        <w:ind w:firstLine="480"/>
        <w:jc w:val="both"/>
        <w:rPr>
          <w:sz w:val="24"/>
          <w:szCs w:val="24"/>
        </w:rPr>
      </w:pPr>
    </w:p>
    <w:p>
      <w:pPr>
        <w:ind w:firstLine="0" w:firstLineChars="0"/>
        <w:jc w:val="center"/>
        <w:rPr>
          <w:sz w:val="24"/>
          <w:szCs w:val="24"/>
        </w:rPr>
      </w:pPr>
      <w:r>
        <w:rPr>
          <w:sz w:val="24"/>
          <w:szCs w:val="24"/>
        </w:rPr>
        <w:t>表4.2-14  样方调查表（S6）</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59"/>
        <w:gridCol w:w="870"/>
        <w:gridCol w:w="1678"/>
        <w:gridCol w:w="1311"/>
        <w:gridCol w:w="1203"/>
        <w:gridCol w:w="1054"/>
        <w:gridCol w:w="1205"/>
        <w:gridCol w:w="92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样地名称</w:t>
            </w:r>
          </w:p>
        </w:tc>
        <w:tc>
          <w:tcPr>
            <w:tcW w:w="140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草本</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4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S6</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1m×1m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40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106°19′21.98″</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4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29°55′31.20″</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40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4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东南</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c>
          <w:tcPr>
            <w:tcW w:w="92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188" w:hRule="atLeast"/>
          <w:jc w:val="center"/>
        </w:trPr>
        <w:tc>
          <w:tcPr>
            <w:tcW w:w="472"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c>
          <w:tcPr>
            <w:tcW w:w="478"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i/>
                <w:sz w:val="21"/>
                <w:szCs w:val="21"/>
              </w:rPr>
              <w:t>-</w:t>
            </w:r>
          </w:p>
        </w:tc>
        <w:tc>
          <w:tcPr>
            <w:tcW w:w="66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06"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7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c>
          <w:tcPr>
            <w:tcW w:w="478"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i/>
                <w:sz w:val="21"/>
                <w:szCs w:val="21"/>
              </w:rPr>
              <w:t>-</w:t>
            </w:r>
          </w:p>
        </w:tc>
        <w:tc>
          <w:tcPr>
            <w:tcW w:w="661"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579" w:type="pct"/>
            <w:tcBorders>
              <w:tl2br w:val="nil"/>
              <w:tr2bl w:val="nil"/>
            </w:tcBorders>
            <w:vAlign w:val="center"/>
          </w:tcPr>
          <w:p>
            <w:pPr>
              <w:spacing w:line="240" w:lineRule="atLeast"/>
              <w:ind w:firstLine="0" w:firstLineChars="0"/>
              <w:jc w:val="center"/>
              <w:rPr>
                <w:sz w:val="21"/>
                <w:szCs w:val="21"/>
              </w:rPr>
            </w:pPr>
            <w:r>
              <w:rPr>
                <w:sz w:val="21"/>
                <w:szCs w:val="21"/>
              </w:rPr>
              <w:t>-</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2"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78" w:type="pct"/>
            <w:tcBorders>
              <w:tl2br w:val="nil"/>
              <w:tr2bl w:val="nil"/>
            </w:tcBorders>
            <w:vAlign w:val="center"/>
          </w:tcPr>
          <w:p>
            <w:pPr>
              <w:spacing w:line="240" w:lineRule="atLeast"/>
              <w:ind w:firstLine="0" w:firstLineChars="0"/>
              <w:jc w:val="center"/>
              <w:rPr>
                <w:sz w:val="21"/>
                <w:szCs w:val="21"/>
              </w:rPr>
            </w:pPr>
            <w:r>
              <w:rPr>
                <w:sz w:val="21"/>
                <w:szCs w:val="21"/>
              </w:rPr>
              <w:t>大戟</w:t>
            </w:r>
          </w:p>
        </w:tc>
        <w:tc>
          <w:tcPr>
            <w:tcW w:w="1642" w:type="pct"/>
            <w:gridSpan w:val="2"/>
            <w:tcBorders>
              <w:tl2br w:val="nil"/>
              <w:tr2bl w:val="nil"/>
            </w:tcBorders>
            <w:vAlign w:val="center"/>
          </w:tcPr>
          <w:p>
            <w:pPr>
              <w:spacing w:line="240" w:lineRule="atLeast"/>
              <w:ind w:firstLine="0" w:firstLineChars="0"/>
              <w:jc w:val="center"/>
              <w:rPr>
                <w:sz w:val="21"/>
                <w:szCs w:val="21"/>
              </w:rPr>
            </w:pPr>
            <w:r>
              <w:rPr>
                <w:rStyle w:val="3242"/>
                <w:i/>
                <w:iCs/>
                <w:sz w:val="18"/>
                <w:szCs w:val="18"/>
                <w:shd w:val="clear" w:color="auto" w:fill="FFFFFF"/>
              </w:rPr>
              <w:t>Euphorbia pekinensis</w:t>
            </w:r>
            <w:r>
              <w:rPr>
                <w:rStyle w:val="3242"/>
                <w:sz w:val="18"/>
                <w:szCs w:val="18"/>
                <w:shd w:val="clear" w:color="auto" w:fill="FFFFFF"/>
              </w:rPr>
              <w:t> Rupr.</w:t>
            </w:r>
          </w:p>
        </w:tc>
        <w:tc>
          <w:tcPr>
            <w:tcW w:w="661"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579" w:type="pct"/>
            <w:tcBorders>
              <w:tl2br w:val="nil"/>
              <w:tr2bl w:val="nil"/>
            </w:tcBorders>
            <w:vAlign w:val="center"/>
          </w:tcPr>
          <w:p>
            <w:pPr>
              <w:spacing w:line="240" w:lineRule="atLeast"/>
              <w:ind w:firstLine="0" w:firstLineChars="0"/>
              <w:jc w:val="center"/>
              <w:rPr>
                <w:sz w:val="21"/>
                <w:szCs w:val="21"/>
              </w:rPr>
            </w:pPr>
            <w:r>
              <w:rPr>
                <w:sz w:val="21"/>
                <w:szCs w:val="21"/>
              </w:rPr>
              <w:t>SOL</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野菊</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Chrysanthemum</w:t>
            </w:r>
            <w:r>
              <w:rPr>
                <w:rStyle w:val="3242"/>
                <w:sz w:val="18"/>
                <w:szCs w:val="18"/>
                <w:shd w:val="clear" w:color="auto" w:fill="FFFFFF"/>
              </w:rPr>
              <w:t> </w:t>
            </w:r>
            <w:r>
              <w:rPr>
                <w:rStyle w:val="3242"/>
                <w:i/>
                <w:iCs/>
                <w:sz w:val="18"/>
                <w:szCs w:val="18"/>
                <w:shd w:val="clear" w:color="auto" w:fill="FFFFFF"/>
              </w:rPr>
              <w:t>indicum</w:t>
            </w:r>
            <w:r>
              <w:rPr>
                <w:rStyle w:val="3242"/>
                <w:sz w:val="18"/>
                <w:szCs w:val="18"/>
                <w:shd w:val="clear" w:color="auto" w:fill="FFFFFF"/>
              </w:rPr>
              <w:t> L.</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SOL</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45</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3</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黄鹌菜</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Youngia japonica</w:t>
            </w:r>
            <w:r>
              <w:rPr>
                <w:rStyle w:val="3242"/>
                <w:sz w:val="18"/>
                <w:szCs w:val="18"/>
                <w:shd w:val="clear" w:color="auto" w:fill="FFFFFF"/>
              </w:rPr>
              <w:t> （L.） DC.</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UN</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40</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4</w:t>
            </w:r>
          </w:p>
        </w:tc>
        <w:tc>
          <w:tcPr>
            <w:tcW w:w="478"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奇蒿</w:t>
            </w:r>
          </w:p>
        </w:tc>
        <w:tc>
          <w:tcPr>
            <w:tcW w:w="1642" w:type="pct"/>
            <w:gridSpan w:val="2"/>
            <w:tcBorders>
              <w:tl2br w:val="nil"/>
              <w:tr2bl w:val="nil"/>
            </w:tcBorders>
            <w:vAlign w:val="center"/>
          </w:tcPr>
          <w:p>
            <w:pPr>
              <w:spacing w:line="240" w:lineRule="atLeast"/>
              <w:ind w:firstLine="0" w:firstLineChars="0"/>
              <w:jc w:val="center"/>
              <w:rPr>
                <w:i/>
                <w:sz w:val="21"/>
                <w:szCs w:val="21"/>
              </w:rPr>
            </w:pPr>
            <w:r>
              <w:rPr>
                <w:rStyle w:val="3242"/>
                <w:i/>
                <w:iCs/>
                <w:sz w:val="18"/>
                <w:szCs w:val="18"/>
                <w:shd w:val="clear" w:color="auto" w:fill="FFFFFF"/>
              </w:rPr>
              <w:t>Artemisia anomala</w:t>
            </w:r>
            <w:r>
              <w:rPr>
                <w:rStyle w:val="3242"/>
                <w:sz w:val="18"/>
                <w:szCs w:val="18"/>
                <w:shd w:val="clear" w:color="auto" w:fill="FFFFFF"/>
              </w:rPr>
              <w:t> S. Moore</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SP</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50</w:t>
            </w:r>
          </w:p>
        </w:tc>
        <w:tc>
          <w:tcPr>
            <w:tcW w:w="506"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2592" w:type="pct"/>
            <w:gridSpan w:val="4"/>
            <w:tcBorders>
              <w:tl2br w:val="nil"/>
              <w:tr2bl w:val="nil"/>
            </w:tcBorders>
            <w:vAlign w:val="center"/>
          </w:tcPr>
          <w:p>
            <w:pPr>
              <w:spacing w:line="240" w:lineRule="atLeast"/>
              <w:ind w:firstLine="0" w:firstLineChars="0"/>
              <w:rPr>
                <w:sz w:val="21"/>
                <w:szCs w:val="21"/>
              </w:rPr>
            </w:pPr>
            <w:r>
              <w:drawing>
                <wp:inline distT="0" distB="0" distL="0" distR="0">
                  <wp:extent cx="2944495" cy="2631440"/>
                  <wp:effectExtent l="0" t="0" r="8255" b="0"/>
                  <wp:docPr id="47"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true" noChangeArrowheads="true"/>
                          </pic:cNvPicPr>
                        </pic:nvPicPr>
                        <pic:blipFill>
                          <a:blip r:embed="rId81" cstate="print">
                            <a:extLst>
                              <a:ext uri="{28A0092B-C50C-407E-A947-70E740481C1C}">
                                <a14:useLocalDpi xmlns:a14="http://schemas.microsoft.com/office/drawing/2010/main" val="false"/>
                              </a:ext>
                            </a:extLst>
                          </a:blip>
                          <a:srcRect/>
                          <a:stretch>
                            <a:fillRect/>
                          </a:stretch>
                        </pic:blipFill>
                        <pic:spPr>
                          <a:xfrm>
                            <a:off x="0" y="0"/>
                            <a:ext cx="2956954" cy="2642444"/>
                          </a:xfrm>
                          <a:prstGeom prst="rect">
                            <a:avLst/>
                          </a:prstGeom>
                          <a:noFill/>
                          <a:ln>
                            <a:noFill/>
                          </a:ln>
                        </pic:spPr>
                      </pic:pic>
                    </a:graphicData>
                  </a:graphic>
                </wp:inline>
              </w:drawing>
            </w:r>
          </w:p>
        </w:tc>
        <w:tc>
          <w:tcPr>
            <w:tcW w:w="2408" w:type="pct"/>
            <w:gridSpan w:val="4"/>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697480" cy="2727960"/>
                  <wp:effectExtent l="3810" t="0" r="0" b="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noChangeArrowheads="true"/>
                          </pic:cNvPicPr>
                        </pic:nvPicPr>
                        <pic:blipFill>
                          <a:blip r:embed="rId82" cstate="print">
                            <a:extLst>
                              <a:ext uri="{28A0092B-C50C-407E-A947-70E740481C1C}">
                                <a14:useLocalDpi xmlns:a14="http://schemas.microsoft.com/office/drawing/2010/main" val="false"/>
                              </a:ext>
                            </a:extLst>
                          </a:blip>
                          <a:srcRect/>
                          <a:stretch>
                            <a:fillRect/>
                          </a:stretch>
                        </pic:blipFill>
                        <pic:spPr>
                          <a:xfrm rot="5400000">
                            <a:off x="0" y="0"/>
                            <a:ext cx="2708430" cy="2739242"/>
                          </a:xfrm>
                          <a:prstGeom prst="rect">
                            <a:avLst/>
                          </a:prstGeom>
                          <a:noFill/>
                          <a:ln>
                            <a:noFill/>
                          </a:ln>
                        </pic:spPr>
                      </pic:pic>
                    </a:graphicData>
                  </a:graphic>
                </wp:inline>
              </w:drawing>
            </w:r>
          </w:p>
        </w:tc>
      </w:tr>
    </w:tbl>
    <w:p>
      <w:pPr>
        <w:ind w:firstLine="480"/>
        <w:jc w:val="both"/>
        <w:rPr>
          <w:sz w:val="24"/>
          <w:szCs w:val="24"/>
        </w:rPr>
      </w:pPr>
      <w:r>
        <w:rPr>
          <w:sz w:val="24"/>
          <w:szCs w:val="24"/>
        </w:rPr>
        <w:t>（5）农田植被</w:t>
      </w:r>
    </w:p>
    <w:p>
      <w:pPr>
        <w:ind w:firstLine="480"/>
        <w:jc w:val="both"/>
        <w:rPr>
          <w:sz w:val="24"/>
          <w:szCs w:val="21"/>
        </w:rPr>
      </w:pPr>
      <w:r>
        <w:rPr>
          <w:sz w:val="24"/>
          <w:szCs w:val="24"/>
        </w:rPr>
        <w:t>农田在评价区广泛分</w:t>
      </w:r>
      <w:r>
        <w:rPr>
          <w:sz w:val="24"/>
          <w:szCs w:val="21"/>
        </w:rPr>
        <w:t>布，主要丘陵间谷地及平台区域。</w:t>
      </w:r>
    </w:p>
    <w:p>
      <w:pPr>
        <w:autoSpaceDE w:val="0"/>
        <w:autoSpaceDN w:val="0"/>
        <w:spacing w:line="500" w:lineRule="exact"/>
        <w:ind w:firstLine="480"/>
        <w:jc w:val="both"/>
        <w:rPr>
          <w:sz w:val="24"/>
          <w:szCs w:val="21"/>
        </w:rPr>
      </w:pPr>
      <w:r>
        <w:rPr>
          <w:sz w:val="24"/>
          <w:szCs w:val="21"/>
        </w:rPr>
        <w:t>该群落是人工种植的农业植物群落，只有草本层，为油菜单优植物群落，田间还有鹅肠草、艾等杂草，平均高度0.2m，总盖度70%，群落结构简单。</w:t>
      </w:r>
    </w:p>
    <w:p>
      <w:pPr>
        <w:autoSpaceDE w:val="0"/>
        <w:autoSpaceDN w:val="0"/>
        <w:spacing w:line="500" w:lineRule="exact"/>
        <w:ind w:firstLine="480"/>
        <w:jc w:val="both"/>
        <w:rPr>
          <w:sz w:val="24"/>
          <w:szCs w:val="21"/>
        </w:rPr>
      </w:pPr>
    </w:p>
    <w:p>
      <w:pPr>
        <w:autoSpaceDE w:val="0"/>
        <w:autoSpaceDN w:val="0"/>
        <w:spacing w:line="500" w:lineRule="exact"/>
        <w:ind w:firstLine="480"/>
        <w:jc w:val="both"/>
        <w:rPr>
          <w:sz w:val="24"/>
          <w:szCs w:val="21"/>
        </w:rPr>
      </w:pPr>
    </w:p>
    <w:p>
      <w:pPr>
        <w:autoSpaceDE w:val="0"/>
        <w:autoSpaceDN w:val="0"/>
        <w:spacing w:line="500" w:lineRule="exact"/>
        <w:ind w:firstLine="480"/>
        <w:jc w:val="both"/>
        <w:rPr>
          <w:sz w:val="24"/>
          <w:szCs w:val="21"/>
        </w:rPr>
      </w:pPr>
    </w:p>
    <w:p>
      <w:pPr>
        <w:ind w:firstLine="0" w:firstLineChars="0"/>
        <w:jc w:val="center"/>
        <w:rPr>
          <w:sz w:val="24"/>
          <w:szCs w:val="24"/>
        </w:rPr>
      </w:pPr>
      <w:r>
        <w:rPr>
          <w:sz w:val="24"/>
          <w:szCs w:val="24"/>
        </w:rPr>
        <w:t>表4.2-15  样方调查表（S2）</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865"/>
        <w:gridCol w:w="868"/>
        <w:gridCol w:w="1676"/>
        <w:gridCol w:w="1311"/>
        <w:gridCol w:w="1203"/>
        <w:gridCol w:w="1054"/>
        <w:gridCol w:w="1205"/>
        <w:gridCol w:w="9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bookmarkStart w:id="143" w:name="_Hlk162015771"/>
            <w:r>
              <w:rPr>
                <w:kern w:val="0"/>
                <w:sz w:val="21"/>
                <w:szCs w:val="21"/>
                <w:lang w:bidi="ar"/>
              </w:rPr>
              <w:t>样地名称</w:t>
            </w:r>
          </w:p>
        </w:tc>
        <w:tc>
          <w:tcPr>
            <w:tcW w:w="139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农田植被</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样方号</w:t>
            </w:r>
          </w:p>
        </w:tc>
        <w:tc>
          <w:tcPr>
            <w:tcW w:w="124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S2</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样方面积</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1m×1m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经度</w:t>
            </w:r>
          </w:p>
        </w:tc>
        <w:tc>
          <w:tcPr>
            <w:tcW w:w="139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106°18′46.66″</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纬度</w:t>
            </w:r>
          </w:p>
        </w:tc>
        <w:tc>
          <w:tcPr>
            <w:tcW w:w="124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29°54′58.41″</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海拔（m）</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349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70"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调查日期</w:t>
            </w:r>
          </w:p>
        </w:tc>
        <w:tc>
          <w:tcPr>
            <w:tcW w:w="1398"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2024年3月20日</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坡向</w:t>
            </w:r>
          </w:p>
        </w:tc>
        <w:tc>
          <w:tcPr>
            <w:tcW w:w="1240"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西北</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坡度</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0"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总盖度（%）</w:t>
            </w:r>
          </w:p>
        </w:tc>
        <w:tc>
          <w:tcPr>
            <w:tcW w:w="477"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c>
          <w:tcPr>
            <w:tcW w:w="92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乔木郁闭度（%）</w:t>
            </w:r>
          </w:p>
        </w:tc>
        <w:tc>
          <w:tcPr>
            <w:tcW w:w="720" w:type="pct"/>
            <w:tcBorders>
              <w:tl2br w:val="nil"/>
              <w:tr2bl w:val="nil"/>
            </w:tcBorders>
            <w:vAlign w:val="center"/>
          </w:tcPr>
          <w:p>
            <w:pPr>
              <w:widowControl/>
              <w:spacing w:line="240" w:lineRule="atLeast"/>
              <w:ind w:firstLine="0" w:firstLineChars="0"/>
              <w:jc w:val="center"/>
              <w:textAlignment w:val="center"/>
              <w:rPr>
                <w:sz w:val="21"/>
                <w:szCs w:val="21"/>
              </w:rPr>
            </w:pP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灌木盖度（%）</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草本盖度（%）</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32" w:hRule="atLeast"/>
          <w:jc w:val="center"/>
        </w:trPr>
        <w:tc>
          <w:tcPr>
            <w:tcW w:w="475" w:type="pct"/>
            <w:tcBorders>
              <w:tl2br w:val="nil"/>
              <w:tr2bl w:val="nil"/>
            </w:tcBorders>
            <w:vAlign w:val="center"/>
          </w:tcPr>
          <w:p>
            <w:pPr>
              <w:spacing w:line="240" w:lineRule="atLeast"/>
              <w:ind w:firstLine="0" w:firstLineChars="0"/>
              <w:textAlignment w:val="center"/>
              <w:rPr>
                <w:sz w:val="21"/>
                <w:szCs w:val="21"/>
              </w:rPr>
            </w:pPr>
            <w:r>
              <w:rPr>
                <w:kern w:val="0"/>
                <w:sz w:val="21"/>
                <w:szCs w:val="21"/>
                <w:lang w:bidi="ar"/>
              </w:rPr>
              <w:t>乔木层</w:t>
            </w:r>
          </w:p>
        </w:tc>
        <w:tc>
          <w:tcPr>
            <w:tcW w:w="47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1"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平均胸径/cm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w:t>
            </w:r>
          </w:p>
        </w:tc>
        <w:tc>
          <w:tcPr>
            <w:tcW w:w="47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1641" w:type="pct"/>
            <w:gridSpan w:val="2"/>
            <w:tcBorders>
              <w:tl2br w:val="nil"/>
              <w:tr2bl w:val="nil"/>
            </w:tcBorders>
            <w:vAlign w:val="center"/>
          </w:tcPr>
          <w:p>
            <w:pPr>
              <w:spacing w:line="240" w:lineRule="atLeast"/>
              <w:ind w:firstLine="0" w:firstLineChars="0"/>
              <w:jc w:val="center"/>
              <w:rPr>
                <w:i/>
                <w:sz w:val="21"/>
                <w:szCs w:val="21"/>
              </w:rPr>
            </w:pPr>
            <w:r>
              <w:rPr>
                <w:i/>
                <w:sz w:val="21"/>
                <w:szCs w:val="21"/>
              </w:rPr>
              <w:t>-</w:t>
            </w:r>
          </w:p>
        </w:tc>
        <w:tc>
          <w:tcPr>
            <w:tcW w:w="66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0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14"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灌木层</w:t>
            </w:r>
          </w:p>
        </w:tc>
        <w:tc>
          <w:tcPr>
            <w:tcW w:w="47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1"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平均高度/m</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地径/m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w:t>
            </w:r>
          </w:p>
        </w:tc>
        <w:tc>
          <w:tcPr>
            <w:tcW w:w="477"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1641" w:type="pct"/>
            <w:gridSpan w:val="2"/>
            <w:tcBorders>
              <w:tl2br w:val="nil"/>
              <w:tr2bl w:val="nil"/>
            </w:tcBorders>
            <w:vAlign w:val="center"/>
          </w:tcPr>
          <w:p>
            <w:pPr>
              <w:spacing w:line="240" w:lineRule="atLeast"/>
              <w:ind w:firstLine="0" w:firstLineChars="0"/>
              <w:jc w:val="center"/>
              <w:rPr>
                <w:i/>
                <w:sz w:val="21"/>
                <w:szCs w:val="21"/>
              </w:rPr>
            </w:pPr>
            <w:r>
              <w:rPr>
                <w:i/>
                <w:sz w:val="21"/>
                <w:szCs w:val="21"/>
              </w:rPr>
              <w:t>-</w:t>
            </w:r>
          </w:p>
        </w:tc>
        <w:tc>
          <w:tcPr>
            <w:tcW w:w="661"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79"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662"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c>
          <w:tcPr>
            <w:tcW w:w="505" w:type="pct"/>
            <w:tcBorders>
              <w:tl2br w:val="nil"/>
              <w:tr2bl w:val="nil"/>
            </w:tcBorders>
            <w:vAlign w:val="center"/>
          </w:tcPr>
          <w:p>
            <w:pPr>
              <w:widowControl/>
              <w:spacing w:line="240" w:lineRule="atLeast"/>
              <w:ind w:firstLine="0" w:firstLineChars="0"/>
              <w:jc w:val="center"/>
              <w:textAlignment w:val="center"/>
              <w:rPr>
                <w:kern w:val="0"/>
                <w:sz w:val="21"/>
                <w:szCs w:val="21"/>
                <w:lang w:bidi="ar"/>
              </w:rPr>
            </w:pPr>
            <w:r>
              <w:rPr>
                <w:kern w:val="0"/>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草本层</w:t>
            </w:r>
          </w:p>
        </w:tc>
        <w:tc>
          <w:tcPr>
            <w:tcW w:w="477"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中文名</w:t>
            </w:r>
          </w:p>
        </w:tc>
        <w:tc>
          <w:tcPr>
            <w:tcW w:w="1641" w:type="pct"/>
            <w:gridSpan w:val="2"/>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拉丁名</w:t>
            </w:r>
          </w:p>
        </w:tc>
        <w:tc>
          <w:tcPr>
            <w:tcW w:w="661"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株（丛）树</w:t>
            </w:r>
          </w:p>
        </w:tc>
        <w:tc>
          <w:tcPr>
            <w:tcW w:w="579"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多度</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平均高度/cm</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盖度/%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6"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1</w:t>
            </w:r>
          </w:p>
        </w:tc>
        <w:tc>
          <w:tcPr>
            <w:tcW w:w="477" w:type="pct"/>
            <w:tcBorders>
              <w:tl2br w:val="nil"/>
              <w:tr2bl w:val="nil"/>
            </w:tcBorders>
            <w:vAlign w:val="center"/>
          </w:tcPr>
          <w:p>
            <w:pPr>
              <w:spacing w:line="240" w:lineRule="atLeast"/>
              <w:ind w:firstLine="0" w:firstLineChars="0"/>
              <w:jc w:val="center"/>
              <w:rPr>
                <w:sz w:val="21"/>
                <w:szCs w:val="21"/>
              </w:rPr>
            </w:pPr>
            <w:r>
              <w:rPr>
                <w:sz w:val="21"/>
                <w:szCs w:val="21"/>
              </w:rPr>
              <w:t>油菜</w:t>
            </w:r>
          </w:p>
        </w:tc>
        <w:tc>
          <w:tcPr>
            <w:tcW w:w="1641" w:type="pct"/>
            <w:gridSpan w:val="2"/>
            <w:tcBorders>
              <w:tl2br w:val="nil"/>
              <w:tr2bl w:val="nil"/>
            </w:tcBorders>
            <w:vAlign w:val="center"/>
          </w:tcPr>
          <w:p>
            <w:pPr>
              <w:spacing w:line="240" w:lineRule="atLeast"/>
              <w:ind w:firstLine="0" w:firstLineChars="0"/>
              <w:jc w:val="center"/>
              <w:rPr>
                <w:sz w:val="21"/>
                <w:szCs w:val="21"/>
              </w:rPr>
            </w:pPr>
            <w:r>
              <w:rPr>
                <w:rStyle w:val="3242"/>
                <w:i/>
                <w:iCs/>
                <w:sz w:val="18"/>
                <w:szCs w:val="18"/>
                <w:shd w:val="clear" w:color="auto" w:fill="FFFFFF"/>
              </w:rPr>
              <w:t>Brassica napus</w:t>
            </w:r>
            <w:r>
              <w:rPr>
                <w:rStyle w:val="3242"/>
                <w:sz w:val="18"/>
                <w:szCs w:val="18"/>
                <w:shd w:val="clear" w:color="auto" w:fill="FFFFFF"/>
              </w:rPr>
              <w:t> L.</w:t>
            </w:r>
          </w:p>
        </w:tc>
        <w:tc>
          <w:tcPr>
            <w:tcW w:w="661" w:type="pct"/>
            <w:tcBorders>
              <w:tl2br w:val="nil"/>
              <w:tr2bl w:val="nil"/>
            </w:tcBorders>
            <w:vAlign w:val="center"/>
          </w:tcPr>
          <w:p>
            <w:pPr>
              <w:spacing w:line="240" w:lineRule="atLeast"/>
              <w:ind w:firstLine="0" w:firstLineChars="0"/>
              <w:jc w:val="center"/>
              <w:rPr>
                <w:sz w:val="21"/>
                <w:szCs w:val="21"/>
              </w:rPr>
            </w:pPr>
            <w:r>
              <w:rPr>
                <w:sz w:val="21"/>
                <w:szCs w:val="21"/>
              </w:rPr>
              <w:t>16</w:t>
            </w:r>
          </w:p>
        </w:tc>
        <w:tc>
          <w:tcPr>
            <w:tcW w:w="579" w:type="pct"/>
            <w:tcBorders>
              <w:tl2br w:val="nil"/>
              <w:tr2bl w:val="nil"/>
            </w:tcBorders>
            <w:vAlign w:val="center"/>
          </w:tcPr>
          <w:p>
            <w:pPr>
              <w:spacing w:line="240" w:lineRule="atLeast"/>
              <w:ind w:firstLine="0" w:firstLineChars="0"/>
              <w:jc w:val="center"/>
              <w:rPr>
                <w:sz w:val="21"/>
                <w:szCs w:val="21"/>
              </w:rPr>
            </w:pPr>
            <w:r>
              <w:rPr>
                <w:sz w:val="21"/>
                <w:szCs w:val="21"/>
              </w:rPr>
              <w:t>COP1</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50~70</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475"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2</w:t>
            </w:r>
          </w:p>
        </w:tc>
        <w:tc>
          <w:tcPr>
            <w:tcW w:w="477" w:type="pct"/>
            <w:tcBorders>
              <w:tl2br w:val="nil"/>
              <w:tr2bl w:val="nil"/>
            </w:tcBorders>
            <w:vAlign w:val="center"/>
          </w:tcPr>
          <w:p>
            <w:pPr>
              <w:spacing w:line="240" w:lineRule="atLeast"/>
              <w:ind w:firstLine="0" w:firstLineChars="0"/>
              <w:jc w:val="center"/>
              <w:rPr>
                <w:sz w:val="21"/>
                <w:szCs w:val="21"/>
              </w:rPr>
            </w:pPr>
            <w:r>
              <w:rPr>
                <w:sz w:val="21"/>
                <w:szCs w:val="21"/>
              </w:rPr>
              <w:t>鹅肠草</w:t>
            </w:r>
          </w:p>
        </w:tc>
        <w:tc>
          <w:tcPr>
            <w:tcW w:w="1641" w:type="pct"/>
            <w:gridSpan w:val="2"/>
            <w:tcBorders>
              <w:tl2br w:val="nil"/>
              <w:tr2bl w:val="nil"/>
            </w:tcBorders>
            <w:vAlign w:val="center"/>
          </w:tcPr>
          <w:p>
            <w:pPr>
              <w:spacing w:line="240" w:lineRule="atLeast"/>
              <w:ind w:firstLine="0" w:firstLineChars="0"/>
              <w:jc w:val="center"/>
              <w:rPr>
                <w:sz w:val="21"/>
                <w:szCs w:val="21"/>
              </w:rPr>
            </w:pPr>
            <w:r>
              <w:rPr>
                <w:i/>
                <w:sz w:val="21"/>
                <w:szCs w:val="21"/>
              </w:rPr>
              <w:t>Stellaria aquatica （L.） Scop.</w:t>
            </w:r>
          </w:p>
        </w:tc>
        <w:tc>
          <w:tcPr>
            <w:tcW w:w="661"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579" w:type="pct"/>
            <w:tcBorders>
              <w:tl2br w:val="nil"/>
              <w:tr2bl w:val="nil"/>
            </w:tcBorders>
            <w:vAlign w:val="center"/>
          </w:tcPr>
          <w:p>
            <w:pPr>
              <w:spacing w:line="240" w:lineRule="atLeast"/>
              <w:ind w:firstLine="0" w:firstLineChars="0"/>
              <w:jc w:val="center"/>
              <w:rPr>
                <w:sz w:val="21"/>
                <w:szCs w:val="21"/>
              </w:rPr>
            </w:pPr>
            <w:r>
              <w:rPr>
                <w:sz w:val="21"/>
                <w:szCs w:val="21"/>
              </w:rPr>
              <w:t>SP</w:t>
            </w:r>
          </w:p>
        </w:tc>
        <w:tc>
          <w:tcPr>
            <w:tcW w:w="662"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10</w:t>
            </w:r>
          </w:p>
        </w:tc>
        <w:tc>
          <w:tcPr>
            <w:tcW w:w="505" w:type="pct"/>
            <w:tcBorders>
              <w:tl2br w:val="nil"/>
              <w:tr2bl w:val="nil"/>
            </w:tcBorders>
            <w:vAlign w:val="center"/>
          </w:tcPr>
          <w:p>
            <w:pPr>
              <w:widowControl/>
              <w:spacing w:line="240" w:lineRule="atLeast"/>
              <w:ind w:firstLine="0" w:firstLineChars="0"/>
              <w:jc w:val="center"/>
              <w:textAlignment w:val="center"/>
              <w:rPr>
                <w:sz w:val="21"/>
                <w:szCs w:val="21"/>
              </w:rPr>
            </w:pPr>
            <w:r>
              <w:rPr>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4" w:hRule="atLeast"/>
          <w:jc w:val="center"/>
        </w:trPr>
        <w:tc>
          <w:tcPr>
            <w:tcW w:w="5000" w:type="pct"/>
            <w:gridSpan w:val="8"/>
            <w:tcBorders>
              <w:tl2br w:val="nil"/>
              <w:tr2bl w:val="nil"/>
            </w:tcBorders>
            <w:vAlign w:val="center"/>
          </w:tcPr>
          <w:p>
            <w:pPr>
              <w:widowControl/>
              <w:spacing w:line="240" w:lineRule="atLeast"/>
              <w:ind w:firstLine="0" w:firstLineChars="0"/>
              <w:jc w:val="center"/>
              <w:textAlignment w:val="center"/>
              <w:rPr>
                <w:sz w:val="21"/>
                <w:szCs w:val="21"/>
              </w:rPr>
            </w:pPr>
            <w:r>
              <w:drawing>
                <wp:inline distT="0" distB="0" distL="0" distR="0">
                  <wp:extent cx="2699385" cy="2024380"/>
                  <wp:effectExtent l="0" t="0" r="5715" b="0"/>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noChangeArrowheads="true"/>
                          </pic:cNvPicPr>
                        </pic:nvPicPr>
                        <pic:blipFill>
                          <a:blip r:embed="rId83" cstate="print">
                            <a:extLst>
                              <a:ext uri="{28A0092B-C50C-407E-A947-70E740481C1C}">
                                <a14:useLocalDpi xmlns:a14="http://schemas.microsoft.com/office/drawing/2010/main" val="false"/>
                              </a:ext>
                            </a:extLst>
                          </a:blip>
                          <a:srcRect/>
                          <a:stretch>
                            <a:fillRect/>
                          </a:stretch>
                        </pic:blipFill>
                        <pic:spPr>
                          <a:xfrm rot="10800000">
                            <a:off x="0" y="0"/>
                            <a:ext cx="2700000" cy="2025000"/>
                          </a:xfrm>
                          <a:prstGeom prst="rect">
                            <a:avLst/>
                          </a:prstGeom>
                          <a:noFill/>
                          <a:ln>
                            <a:noFill/>
                          </a:ln>
                        </pic:spPr>
                      </pic:pic>
                    </a:graphicData>
                  </a:graphic>
                </wp:inline>
              </w:drawing>
            </w:r>
          </w:p>
        </w:tc>
      </w:tr>
      <w:bookmarkEnd w:id="143"/>
    </w:tbl>
    <w:p>
      <w:pPr>
        <w:ind w:firstLine="480"/>
        <w:jc w:val="both"/>
        <w:rPr>
          <w:sz w:val="24"/>
          <w:szCs w:val="21"/>
        </w:rPr>
      </w:pPr>
      <w:r>
        <w:rPr>
          <w:sz w:val="24"/>
          <w:szCs w:val="21"/>
        </w:rPr>
        <w:t>（四）植物群落生物量、生产力</w:t>
      </w:r>
    </w:p>
    <w:p>
      <w:pPr>
        <w:ind w:firstLine="480"/>
        <w:jc w:val="both"/>
        <w:rPr>
          <w:sz w:val="24"/>
          <w:szCs w:val="21"/>
        </w:rPr>
      </w:pPr>
      <w:r>
        <w:rPr>
          <w:sz w:val="24"/>
          <w:szCs w:val="21"/>
        </w:rPr>
        <w:t>本评价根据样方实地调查数据，结合参考评价区周边植被生物量及生产力研究成果，对评价区各区块植被类型面积、生物量及生产力进行统计。群落生物量、生产力主要通过《中国西南地区森林生物量及生产力研究综述》（吴鹏等，2012）、《我国森林植被的生物量和净生产量》（方精云等，1996）、《三峡库区植被生物量和生产力的估算及分布格局》（曾立雄等，2008）、《中国西南山地喀斯特与非喀斯特森林的生物量与生产力比较》（于维莲等，2010）等相关文献进行整理，结合样地内乔木每木检尺，记录胸径及树高（diameter of breast height，dbh），计算群落生物量及生产力。常见的植被类型生产力和生物量见下表。</w:t>
      </w:r>
    </w:p>
    <w:p>
      <w:pPr>
        <w:ind w:firstLine="480"/>
        <w:jc w:val="both"/>
        <w:rPr>
          <w:sz w:val="24"/>
          <w:szCs w:val="21"/>
        </w:rPr>
      </w:pPr>
    </w:p>
    <w:p>
      <w:pPr>
        <w:ind w:firstLine="480"/>
        <w:jc w:val="both"/>
        <w:rPr>
          <w:sz w:val="24"/>
          <w:szCs w:val="21"/>
        </w:rPr>
      </w:pPr>
    </w:p>
    <w:p>
      <w:pPr>
        <w:pStyle w:val="84"/>
      </w:pPr>
      <w:r>
        <w:t>表4.2-16  常见植被类型生产力和生物量统计表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4240"/>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生态系统</w:t>
            </w:r>
          </w:p>
        </w:tc>
        <w:tc>
          <w:tcPr>
            <w:tcW w:w="228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平均净第一性生产力</w:t>
            </w:r>
            <w:r>
              <w:rPr>
                <w:b/>
                <w:bCs/>
                <w:kern w:val="0"/>
                <w:sz w:val="21"/>
                <w:szCs w:val="21"/>
              </w:rPr>
              <w:t>t/hm</w:t>
            </w:r>
            <w:r>
              <w:rPr>
                <w:b/>
                <w:bCs/>
                <w:kern w:val="0"/>
                <w:sz w:val="21"/>
                <w:szCs w:val="21"/>
                <w:vertAlign w:val="superscript"/>
              </w:rPr>
              <w:t>2</w:t>
            </w:r>
            <w:r>
              <w:rPr>
                <w:b/>
                <w:bCs/>
                <w:kern w:val="0"/>
                <w:sz w:val="21"/>
                <w:szCs w:val="21"/>
              </w:rPr>
              <w:t>·a</w:t>
            </w:r>
          </w:p>
        </w:tc>
        <w:tc>
          <w:tcPr>
            <w:tcW w:w="1667" w:type="pct"/>
            <w:shd w:val="clear" w:color="auto" w:fill="D8D8D8" w:themeFill="background1" w:themeFillShade="D9"/>
            <w:vAlign w:val="center"/>
          </w:tcPr>
          <w:p>
            <w:pPr>
              <w:spacing w:line="240" w:lineRule="auto"/>
              <w:ind w:firstLine="0" w:firstLineChars="0"/>
              <w:jc w:val="center"/>
              <w:rPr>
                <w:b/>
                <w:bCs/>
                <w:sz w:val="21"/>
                <w:szCs w:val="21"/>
              </w:rPr>
            </w:pPr>
            <w:r>
              <w:rPr>
                <w:b/>
                <w:bCs/>
                <w:kern w:val="0"/>
                <w:sz w:val="21"/>
                <w:szCs w:val="21"/>
              </w:rPr>
              <w:t>平均生物量（t/hm</w:t>
            </w:r>
            <w:r>
              <w:rPr>
                <w:b/>
                <w:bCs/>
                <w:kern w:val="0"/>
                <w:sz w:val="21"/>
                <w:szCs w:val="21"/>
                <w:vertAlign w:val="superscript"/>
              </w:rPr>
              <w:t>2</w:t>
            </w:r>
            <w:r>
              <w:rPr>
                <w:b/>
                <w:bCs/>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0" w:type="pct"/>
            <w:vAlign w:val="center"/>
          </w:tcPr>
          <w:p>
            <w:pPr>
              <w:spacing w:line="240" w:lineRule="auto"/>
              <w:ind w:firstLine="0" w:firstLineChars="0"/>
              <w:jc w:val="center"/>
              <w:rPr>
                <w:sz w:val="21"/>
                <w:szCs w:val="21"/>
              </w:rPr>
            </w:pPr>
            <w:r>
              <w:rPr>
                <w:kern w:val="0"/>
                <w:sz w:val="21"/>
                <w:szCs w:val="21"/>
              </w:rPr>
              <w:t>常绿阔叶林</w:t>
            </w:r>
          </w:p>
        </w:tc>
        <w:tc>
          <w:tcPr>
            <w:tcW w:w="2283" w:type="pct"/>
            <w:vAlign w:val="center"/>
          </w:tcPr>
          <w:p>
            <w:pPr>
              <w:spacing w:line="240" w:lineRule="auto"/>
              <w:ind w:firstLine="0" w:firstLineChars="0"/>
              <w:jc w:val="center"/>
              <w:rPr>
                <w:sz w:val="21"/>
                <w:szCs w:val="21"/>
              </w:rPr>
            </w:pPr>
            <w:r>
              <w:rPr>
                <w:sz w:val="21"/>
                <w:szCs w:val="21"/>
              </w:rPr>
              <w:t>12.7</w:t>
            </w:r>
          </w:p>
        </w:tc>
        <w:tc>
          <w:tcPr>
            <w:tcW w:w="1667" w:type="pct"/>
            <w:vAlign w:val="center"/>
          </w:tcPr>
          <w:p>
            <w:pPr>
              <w:spacing w:line="240" w:lineRule="auto"/>
              <w:ind w:firstLine="0" w:firstLineChars="0"/>
              <w:jc w:val="center"/>
              <w:rPr>
                <w:sz w:val="21"/>
                <w:szCs w:val="21"/>
              </w:rPr>
            </w:pPr>
            <w:r>
              <w:rPr>
                <w:sz w:val="21"/>
                <w:szCs w:val="21"/>
              </w:rPr>
              <w:t>114.7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0" w:type="pct"/>
            <w:vAlign w:val="center"/>
          </w:tcPr>
          <w:p>
            <w:pPr>
              <w:spacing w:line="240" w:lineRule="auto"/>
              <w:ind w:firstLine="0" w:firstLineChars="0"/>
              <w:jc w:val="center"/>
              <w:rPr>
                <w:sz w:val="21"/>
                <w:szCs w:val="21"/>
              </w:rPr>
            </w:pPr>
            <w:r>
              <w:rPr>
                <w:kern w:val="0"/>
                <w:sz w:val="21"/>
                <w:szCs w:val="21"/>
              </w:rPr>
              <w:t>竹林</w:t>
            </w:r>
          </w:p>
        </w:tc>
        <w:tc>
          <w:tcPr>
            <w:tcW w:w="2283" w:type="pct"/>
            <w:vAlign w:val="center"/>
          </w:tcPr>
          <w:p>
            <w:pPr>
              <w:spacing w:line="240" w:lineRule="auto"/>
              <w:ind w:firstLine="0" w:firstLineChars="0"/>
              <w:jc w:val="center"/>
              <w:rPr>
                <w:sz w:val="21"/>
                <w:szCs w:val="21"/>
              </w:rPr>
            </w:pPr>
            <w:r>
              <w:rPr>
                <w:sz w:val="21"/>
                <w:szCs w:val="21"/>
              </w:rPr>
              <w:t>4.3</w:t>
            </w:r>
          </w:p>
        </w:tc>
        <w:tc>
          <w:tcPr>
            <w:tcW w:w="1667" w:type="pct"/>
            <w:vAlign w:val="center"/>
          </w:tcPr>
          <w:p>
            <w:pPr>
              <w:spacing w:line="240" w:lineRule="auto"/>
              <w:ind w:firstLine="0" w:firstLineChars="0"/>
              <w:jc w:val="center"/>
              <w:rPr>
                <w:sz w:val="21"/>
                <w:szCs w:val="21"/>
              </w:rPr>
            </w:pPr>
            <w:r>
              <w:rPr>
                <w:sz w:val="21"/>
                <w:szCs w:val="21"/>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0" w:type="pct"/>
            <w:vAlign w:val="center"/>
          </w:tcPr>
          <w:p>
            <w:pPr>
              <w:spacing w:line="240" w:lineRule="auto"/>
              <w:ind w:firstLine="0" w:firstLineChars="0"/>
              <w:jc w:val="center"/>
              <w:rPr>
                <w:sz w:val="21"/>
                <w:szCs w:val="21"/>
              </w:rPr>
            </w:pPr>
            <w:r>
              <w:rPr>
                <w:kern w:val="0"/>
                <w:sz w:val="21"/>
                <w:szCs w:val="21"/>
              </w:rPr>
              <w:t>常绿阔叶灌丛</w:t>
            </w:r>
          </w:p>
        </w:tc>
        <w:tc>
          <w:tcPr>
            <w:tcW w:w="2283" w:type="pct"/>
            <w:vAlign w:val="center"/>
          </w:tcPr>
          <w:p>
            <w:pPr>
              <w:spacing w:line="240" w:lineRule="auto"/>
              <w:ind w:firstLine="0" w:firstLineChars="0"/>
              <w:jc w:val="center"/>
              <w:rPr>
                <w:sz w:val="21"/>
                <w:szCs w:val="21"/>
              </w:rPr>
            </w:pPr>
            <w:r>
              <w:rPr>
                <w:sz w:val="21"/>
                <w:szCs w:val="21"/>
              </w:rPr>
              <w:t>5.9</w:t>
            </w:r>
          </w:p>
        </w:tc>
        <w:tc>
          <w:tcPr>
            <w:tcW w:w="1667" w:type="pct"/>
            <w:vAlign w:val="center"/>
          </w:tcPr>
          <w:p>
            <w:pPr>
              <w:spacing w:line="240" w:lineRule="auto"/>
              <w:ind w:firstLine="0" w:firstLineChars="0"/>
              <w:jc w:val="center"/>
              <w:rPr>
                <w:sz w:val="21"/>
                <w:szCs w:val="21"/>
              </w:rPr>
            </w:pPr>
            <w:r>
              <w:rPr>
                <w:sz w:val="21"/>
                <w:szCs w:val="21"/>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0" w:type="pct"/>
            <w:vAlign w:val="center"/>
          </w:tcPr>
          <w:p>
            <w:pPr>
              <w:spacing w:line="240" w:lineRule="auto"/>
              <w:ind w:firstLine="0" w:firstLineChars="0"/>
              <w:jc w:val="center"/>
              <w:rPr>
                <w:kern w:val="0"/>
                <w:sz w:val="21"/>
                <w:szCs w:val="21"/>
              </w:rPr>
            </w:pPr>
            <w:r>
              <w:rPr>
                <w:kern w:val="0"/>
                <w:sz w:val="21"/>
                <w:szCs w:val="21"/>
              </w:rPr>
              <w:t>灌草丛</w:t>
            </w:r>
          </w:p>
        </w:tc>
        <w:tc>
          <w:tcPr>
            <w:tcW w:w="2283" w:type="pct"/>
            <w:vAlign w:val="center"/>
          </w:tcPr>
          <w:p>
            <w:pPr>
              <w:spacing w:line="240" w:lineRule="auto"/>
              <w:ind w:firstLine="0" w:firstLineChars="0"/>
              <w:jc w:val="center"/>
              <w:rPr>
                <w:sz w:val="21"/>
                <w:szCs w:val="21"/>
              </w:rPr>
            </w:pPr>
            <w:r>
              <w:rPr>
                <w:sz w:val="21"/>
                <w:szCs w:val="21"/>
              </w:rPr>
              <w:t>3.8</w:t>
            </w:r>
          </w:p>
        </w:tc>
        <w:tc>
          <w:tcPr>
            <w:tcW w:w="1667" w:type="pct"/>
            <w:vAlign w:val="center"/>
          </w:tcPr>
          <w:p>
            <w:pPr>
              <w:spacing w:line="240" w:lineRule="auto"/>
              <w:ind w:firstLine="0" w:firstLineChars="0"/>
              <w:jc w:val="center"/>
              <w:rPr>
                <w:sz w:val="21"/>
                <w:szCs w:val="21"/>
              </w:rPr>
            </w:pPr>
            <w:r>
              <w:rPr>
                <w:sz w:val="21"/>
                <w:szCs w:val="21"/>
              </w:rPr>
              <w:t>5.3</w:t>
            </w:r>
          </w:p>
        </w:tc>
      </w:tr>
    </w:tbl>
    <w:p>
      <w:pPr>
        <w:ind w:firstLine="480"/>
        <w:jc w:val="both"/>
        <w:rPr>
          <w:sz w:val="24"/>
        </w:rPr>
      </w:pPr>
      <w:r>
        <w:rPr>
          <w:sz w:val="24"/>
        </w:rPr>
        <w:t>评价区植被生物量、生产力见下表。</w:t>
      </w:r>
    </w:p>
    <w:p>
      <w:pPr>
        <w:ind w:firstLine="0" w:firstLineChars="0"/>
        <w:jc w:val="center"/>
        <w:rPr>
          <w:sz w:val="24"/>
        </w:rPr>
      </w:pPr>
      <w:r>
        <w:rPr>
          <w:sz w:val="24"/>
        </w:rPr>
        <w:t>表4.2-17  评价区植被类型生物量和生产力统计表</w:t>
      </w:r>
    </w:p>
    <w:tbl>
      <w:tblPr>
        <w:tblStyle w:val="88"/>
        <w:tblW w:w="5000" w:type="pct"/>
        <w:tblInd w:w="0" w:type="dxa"/>
        <w:tblLayout w:type="autofit"/>
        <w:tblCellMar>
          <w:top w:w="0" w:type="dxa"/>
          <w:left w:w="108" w:type="dxa"/>
          <w:bottom w:w="0" w:type="dxa"/>
          <w:right w:w="108" w:type="dxa"/>
        </w:tblCellMar>
      </w:tblPr>
      <w:tblGrid>
        <w:gridCol w:w="723"/>
        <w:gridCol w:w="1397"/>
        <w:gridCol w:w="1282"/>
        <w:gridCol w:w="1575"/>
        <w:gridCol w:w="1386"/>
        <w:gridCol w:w="1507"/>
        <w:gridCol w:w="1417"/>
      </w:tblGrid>
      <w:tr>
        <w:tblPrEx>
          <w:tblCellMar>
            <w:top w:w="0" w:type="dxa"/>
            <w:left w:w="108" w:type="dxa"/>
            <w:bottom w:w="0" w:type="dxa"/>
            <w:right w:w="108" w:type="dxa"/>
          </w:tblCellMar>
        </w:tblPrEx>
        <w:trPr>
          <w:trHeight w:val="590" w:hRule="atLeast"/>
          <w:tblHeader/>
        </w:trPr>
        <w:tc>
          <w:tcPr>
            <w:tcW w:w="404" w:type="pct"/>
            <w:tcBorders>
              <w:top w:val="single" w:color="auto" w:sz="8" w:space="0"/>
              <w:left w:val="single" w:color="auto" w:sz="8" w:space="0"/>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序号</w:t>
            </w:r>
          </w:p>
        </w:tc>
        <w:tc>
          <w:tcPr>
            <w:tcW w:w="766"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植被类型</w:t>
            </w:r>
          </w:p>
        </w:tc>
        <w:tc>
          <w:tcPr>
            <w:tcW w:w="704"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植被面积（hm</w:t>
            </w:r>
            <w:r>
              <w:rPr>
                <w:b/>
                <w:kern w:val="0"/>
                <w:sz w:val="21"/>
                <w:szCs w:val="21"/>
                <w:vertAlign w:val="superscript"/>
              </w:rPr>
              <w:t>2</w:t>
            </w:r>
            <w:r>
              <w:rPr>
                <w:b/>
                <w:kern w:val="0"/>
                <w:sz w:val="21"/>
                <w:szCs w:val="21"/>
              </w:rPr>
              <w:t>）</w:t>
            </w:r>
          </w:p>
        </w:tc>
        <w:tc>
          <w:tcPr>
            <w:tcW w:w="862"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平均生物量（t/hm</w:t>
            </w:r>
            <w:r>
              <w:rPr>
                <w:b/>
                <w:kern w:val="0"/>
                <w:sz w:val="21"/>
                <w:szCs w:val="21"/>
                <w:vertAlign w:val="superscript"/>
              </w:rPr>
              <w:t>2</w:t>
            </w:r>
            <w:r>
              <w:rPr>
                <w:b/>
                <w:kern w:val="0"/>
                <w:sz w:val="21"/>
                <w:szCs w:val="21"/>
              </w:rPr>
              <w:t>）</w:t>
            </w:r>
          </w:p>
        </w:tc>
        <w:tc>
          <w:tcPr>
            <w:tcW w:w="760"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评价区总生物量（t）</w:t>
            </w:r>
          </w:p>
        </w:tc>
        <w:tc>
          <w:tcPr>
            <w:tcW w:w="727"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平均生产力（t/hm</w:t>
            </w:r>
            <w:r>
              <w:rPr>
                <w:b/>
                <w:kern w:val="0"/>
                <w:sz w:val="21"/>
                <w:szCs w:val="21"/>
                <w:vertAlign w:val="superscript"/>
              </w:rPr>
              <w:t>2</w:t>
            </w:r>
            <w:r>
              <w:rPr>
                <w:b/>
                <w:kern w:val="0"/>
                <w:sz w:val="21"/>
                <w:szCs w:val="21"/>
              </w:rPr>
              <w:t>·a）</w:t>
            </w:r>
          </w:p>
        </w:tc>
        <w:tc>
          <w:tcPr>
            <w:tcW w:w="777"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kern w:val="0"/>
                <w:sz w:val="21"/>
                <w:szCs w:val="21"/>
              </w:rPr>
            </w:pPr>
            <w:r>
              <w:rPr>
                <w:b/>
                <w:kern w:val="0"/>
                <w:sz w:val="21"/>
                <w:szCs w:val="21"/>
              </w:rPr>
              <w:t>评价区总生产力（t/a）</w:t>
            </w:r>
          </w:p>
        </w:tc>
      </w:tr>
      <w:tr>
        <w:tblPrEx>
          <w:tblCellMar>
            <w:top w:w="0" w:type="dxa"/>
            <w:left w:w="108" w:type="dxa"/>
            <w:bottom w:w="0" w:type="dxa"/>
            <w:right w:w="108" w:type="dxa"/>
          </w:tblCellMar>
        </w:tblPrEx>
        <w:trPr>
          <w:trHeight w:val="588" w:hRule="atLeast"/>
        </w:trPr>
        <w:tc>
          <w:tcPr>
            <w:tcW w:w="404" w:type="pct"/>
            <w:tcBorders>
              <w:top w:val="nil"/>
              <w:left w:val="single" w:color="auto" w:sz="8" w:space="0"/>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1</w:t>
            </w:r>
          </w:p>
        </w:tc>
        <w:tc>
          <w:tcPr>
            <w:tcW w:w="766"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常绿阔叶林</w:t>
            </w:r>
          </w:p>
        </w:tc>
        <w:tc>
          <w:tcPr>
            <w:tcW w:w="70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62.05</w:t>
            </w:r>
          </w:p>
        </w:tc>
        <w:tc>
          <w:tcPr>
            <w:tcW w:w="862"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114.7</w:t>
            </w:r>
          </w:p>
        </w:tc>
        <w:tc>
          <w:tcPr>
            <w:tcW w:w="760"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7117.135</w:t>
            </w:r>
          </w:p>
        </w:tc>
        <w:tc>
          <w:tcPr>
            <w:tcW w:w="72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12.7</w:t>
            </w:r>
          </w:p>
        </w:tc>
        <w:tc>
          <w:tcPr>
            <w:tcW w:w="77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788.035</w:t>
            </w:r>
          </w:p>
        </w:tc>
      </w:tr>
      <w:tr>
        <w:tblPrEx>
          <w:tblCellMar>
            <w:top w:w="0" w:type="dxa"/>
            <w:left w:w="108" w:type="dxa"/>
            <w:bottom w:w="0" w:type="dxa"/>
            <w:right w:w="108" w:type="dxa"/>
          </w:tblCellMar>
        </w:tblPrEx>
        <w:trPr>
          <w:trHeight w:val="389" w:hRule="atLeast"/>
        </w:trPr>
        <w:tc>
          <w:tcPr>
            <w:tcW w:w="404" w:type="pct"/>
            <w:tcBorders>
              <w:top w:val="nil"/>
              <w:left w:val="single" w:color="auto" w:sz="8" w:space="0"/>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2</w:t>
            </w:r>
          </w:p>
        </w:tc>
        <w:tc>
          <w:tcPr>
            <w:tcW w:w="766"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竹林</w:t>
            </w:r>
          </w:p>
        </w:tc>
        <w:tc>
          <w:tcPr>
            <w:tcW w:w="70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94.18</w:t>
            </w:r>
          </w:p>
        </w:tc>
        <w:tc>
          <w:tcPr>
            <w:tcW w:w="862"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14.3</w:t>
            </w:r>
          </w:p>
        </w:tc>
        <w:tc>
          <w:tcPr>
            <w:tcW w:w="760"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1346.774</w:t>
            </w:r>
          </w:p>
        </w:tc>
        <w:tc>
          <w:tcPr>
            <w:tcW w:w="72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4.3</w:t>
            </w:r>
          </w:p>
        </w:tc>
        <w:tc>
          <w:tcPr>
            <w:tcW w:w="77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404.974</w:t>
            </w:r>
          </w:p>
        </w:tc>
      </w:tr>
      <w:tr>
        <w:tblPrEx>
          <w:tblCellMar>
            <w:top w:w="0" w:type="dxa"/>
            <w:left w:w="108" w:type="dxa"/>
            <w:bottom w:w="0" w:type="dxa"/>
            <w:right w:w="108" w:type="dxa"/>
          </w:tblCellMar>
        </w:tblPrEx>
        <w:trPr>
          <w:trHeight w:val="300" w:hRule="atLeast"/>
        </w:trPr>
        <w:tc>
          <w:tcPr>
            <w:tcW w:w="404" w:type="pct"/>
            <w:tcBorders>
              <w:top w:val="nil"/>
              <w:left w:val="single" w:color="auto" w:sz="8" w:space="0"/>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3</w:t>
            </w:r>
          </w:p>
        </w:tc>
        <w:tc>
          <w:tcPr>
            <w:tcW w:w="766" w:type="pct"/>
            <w:tcBorders>
              <w:top w:val="nil"/>
              <w:left w:val="nil"/>
              <w:bottom w:val="single" w:color="auto" w:sz="8" w:space="0"/>
              <w:right w:val="single" w:color="auto" w:sz="8" w:space="0"/>
            </w:tcBorders>
            <w:shd w:val="clear" w:color="auto" w:fill="auto"/>
            <w:noWrap/>
            <w:vAlign w:val="center"/>
          </w:tcPr>
          <w:p>
            <w:pPr>
              <w:adjustRightInd/>
              <w:snapToGrid/>
              <w:spacing w:line="240" w:lineRule="auto"/>
              <w:ind w:firstLine="0" w:firstLineChars="0"/>
              <w:jc w:val="center"/>
              <w:rPr>
                <w:kern w:val="0"/>
                <w:sz w:val="21"/>
                <w:szCs w:val="21"/>
              </w:rPr>
            </w:pPr>
            <w:r>
              <w:rPr>
                <w:kern w:val="0"/>
                <w:sz w:val="21"/>
                <w:szCs w:val="21"/>
              </w:rPr>
              <w:t>灌丛</w:t>
            </w:r>
          </w:p>
        </w:tc>
        <w:tc>
          <w:tcPr>
            <w:tcW w:w="70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3.20</w:t>
            </w:r>
          </w:p>
        </w:tc>
        <w:tc>
          <w:tcPr>
            <w:tcW w:w="862"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11.9</w:t>
            </w:r>
          </w:p>
        </w:tc>
        <w:tc>
          <w:tcPr>
            <w:tcW w:w="760"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38.08</w:t>
            </w:r>
          </w:p>
        </w:tc>
        <w:tc>
          <w:tcPr>
            <w:tcW w:w="72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5.9</w:t>
            </w:r>
          </w:p>
        </w:tc>
        <w:tc>
          <w:tcPr>
            <w:tcW w:w="77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18.88</w:t>
            </w:r>
          </w:p>
        </w:tc>
      </w:tr>
      <w:tr>
        <w:tblPrEx>
          <w:tblCellMar>
            <w:top w:w="0" w:type="dxa"/>
            <w:left w:w="108" w:type="dxa"/>
            <w:bottom w:w="0" w:type="dxa"/>
            <w:right w:w="108" w:type="dxa"/>
          </w:tblCellMar>
        </w:tblPrEx>
        <w:trPr>
          <w:trHeight w:val="300" w:hRule="atLeast"/>
        </w:trPr>
        <w:tc>
          <w:tcPr>
            <w:tcW w:w="404" w:type="pct"/>
            <w:tcBorders>
              <w:top w:val="nil"/>
              <w:left w:val="single" w:color="auto" w:sz="8" w:space="0"/>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4</w:t>
            </w:r>
          </w:p>
        </w:tc>
        <w:tc>
          <w:tcPr>
            <w:tcW w:w="766" w:type="pct"/>
            <w:tcBorders>
              <w:top w:val="nil"/>
              <w:left w:val="nil"/>
              <w:bottom w:val="single" w:color="auto" w:sz="8" w:space="0"/>
              <w:right w:val="single" w:color="auto" w:sz="8" w:space="0"/>
            </w:tcBorders>
            <w:shd w:val="clear" w:color="auto" w:fill="auto"/>
            <w:noWrap/>
            <w:vAlign w:val="center"/>
          </w:tcPr>
          <w:p>
            <w:pPr>
              <w:adjustRightInd/>
              <w:snapToGrid/>
              <w:spacing w:line="240" w:lineRule="auto"/>
              <w:ind w:firstLine="0" w:firstLineChars="0"/>
              <w:jc w:val="center"/>
              <w:rPr>
                <w:kern w:val="0"/>
                <w:sz w:val="21"/>
                <w:szCs w:val="21"/>
              </w:rPr>
            </w:pPr>
            <w:r>
              <w:rPr>
                <w:kern w:val="0"/>
                <w:sz w:val="21"/>
                <w:szCs w:val="21"/>
              </w:rPr>
              <w:t>草丛</w:t>
            </w:r>
          </w:p>
        </w:tc>
        <w:tc>
          <w:tcPr>
            <w:tcW w:w="70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1.01</w:t>
            </w:r>
          </w:p>
        </w:tc>
        <w:tc>
          <w:tcPr>
            <w:tcW w:w="862"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5.3</w:t>
            </w:r>
          </w:p>
        </w:tc>
        <w:tc>
          <w:tcPr>
            <w:tcW w:w="760"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5.353</w:t>
            </w:r>
          </w:p>
        </w:tc>
        <w:tc>
          <w:tcPr>
            <w:tcW w:w="72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3.8</w:t>
            </w:r>
          </w:p>
        </w:tc>
        <w:tc>
          <w:tcPr>
            <w:tcW w:w="777"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3.838</w:t>
            </w:r>
          </w:p>
        </w:tc>
      </w:tr>
      <w:tr>
        <w:tblPrEx>
          <w:tblCellMar>
            <w:top w:w="0" w:type="dxa"/>
            <w:left w:w="108" w:type="dxa"/>
            <w:bottom w:w="0" w:type="dxa"/>
            <w:right w:w="108" w:type="dxa"/>
          </w:tblCellMar>
        </w:tblPrEx>
        <w:trPr>
          <w:trHeight w:val="300" w:hRule="atLeast"/>
        </w:trPr>
        <w:tc>
          <w:tcPr>
            <w:tcW w:w="1170" w:type="pct"/>
            <w:gridSpan w:val="2"/>
            <w:tcBorders>
              <w:top w:val="single" w:color="auto" w:sz="8" w:space="0"/>
              <w:left w:val="single" w:color="auto" w:sz="8" w:space="0"/>
              <w:bottom w:val="single" w:color="auto" w:sz="8" w:space="0"/>
              <w:right w:val="single" w:color="000000"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合计</w:t>
            </w:r>
          </w:p>
        </w:tc>
        <w:tc>
          <w:tcPr>
            <w:tcW w:w="70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kern w:val="0"/>
                <w:sz w:val="21"/>
                <w:szCs w:val="21"/>
              </w:rPr>
              <w:t>160.44</w:t>
            </w:r>
          </w:p>
        </w:tc>
        <w:tc>
          <w:tcPr>
            <w:tcW w:w="862"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1"/>
              </w:rPr>
            </w:pPr>
            <w:r>
              <w:rPr>
                <w:sz w:val="21"/>
                <w:szCs w:val="21"/>
              </w:rPr>
              <w:t>146.2</w:t>
            </w:r>
          </w:p>
        </w:tc>
        <w:tc>
          <w:tcPr>
            <w:tcW w:w="760" w:type="pct"/>
            <w:tcBorders>
              <w:top w:val="nil"/>
              <w:left w:val="nil"/>
              <w:bottom w:val="single" w:color="auto" w:sz="8" w:space="0"/>
              <w:right w:val="single" w:color="auto" w:sz="8" w:space="0"/>
            </w:tcBorders>
            <w:shd w:val="clear" w:color="auto" w:fill="auto"/>
          </w:tcPr>
          <w:p>
            <w:pPr>
              <w:adjustRightInd/>
              <w:snapToGrid/>
              <w:spacing w:line="240" w:lineRule="auto"/>
              <w:ind w:firstLine="0" w:firstLineChars="0"/>
              <w:jc w:val="center"/>
              <w:rPr>
                <w:kern w:val="0"/>
                <w:sz w:val="21"/>
                <w:szCs w:val="21"/>
              </w:rPr>
            </w:pPr>
            <w:r>
              <w:rPr>
                <w:sz w:val="21"/>
                <w:szCs w:val="21"/>
              </w:rPr>
              <w:t>8507.342</w:t>
            </w:r>
          </w:p>
        </w:tc>
        <w:tc>
          <w:tcPr>
            <w:tcW w:w="727" w:type="pct"/>
            <w:tcBorders>
              <w:top w:val="nil"/>
              <w:left w:val="nil"/>
              <w:bottom w:val="single" w:color="auto" w:sz="8" w:space="0"/>
              <w:right w:val="single" w:color="auto" w:sz="8" w:space="0"/>
            </w:tcBorders>
            <w:shd w:val="clear" w:color="auto" w:fill="auto"/>
          </w:tcPr>
          <w:p>
            <w:pPr>
              <w:adjustRightInd/>
              <w:snapToGrid/>
              <w:spacing w:line="240" w:lineRule="auto"/>
              <w:ind w:firstLine="0" w:firstLineChars="0"/>
              <w:jc w:val="center"/>
              <w:rPr>
                <w:kern w:val="0"/>
                <w:sz w:val="21"/>
                <w:szCs w:val="21"/>
              </w:rPr>
            </w:pPr>
            <w:r>
              <w:rPr>
                <w:sz w:val="21"/>
                <w:szCs w:val="21"/>
              </w:rPr>
              <w:t>26.7</w:t>
            </w:r>
          </w:p>
        </w:tc>
        <w:tc>
          <w:tcPr>
            <w:tcW w:w="777" w:type="pct"/>
            <w:tcBorders>
              <w:top w:val="nil"/>
              <w:left w:val="nil"/>
              <w:bottom w:val="single" w:color="auto" w:sz="8" w:space="0"/>
              <w:right w:val="single" w:color="auto" w:sz="8" w:space="0"/>
            </w:tcBorders>
            <w:shd w:val="clear" w:color="auto" w:fill="auto"/>
          </w:tcPr>
          <w:p>
            <w:pPr>
              <w:adjustRightInd/>
              <w:snapToGrid/>
              <w:spacing w:line="240" w:lineRule="auto"/>
              <w:ind w:firstLine="0" w:firstLineChars="0"/>
              <w:jc w:val="center"/>
              <w:rPr>
                <w:kern w:val="0"/>
                <w:sz w:val="21"/>
                <w:szCs w:val="21"/>
              </w:rPr>
            </w:pPr>
            <w:r>
              <w:rPr>
                <w:sz w:val="21"/>
                <w:szCs w:val="21"/>
              </w:rPr>
              <w:t>1215.727</w:t>
            </w:r>
          </w:p>
        </w:tc>
      </w:tr>
    </w:tbl>
    <w:p>
      <w:pPr>
        <w:ind w:firstLine="480"/>
        <w:jc w:val="both"/>
        <w:rPr>
          <w:sz w:val="24"/>
        </w:rPr>
      </w:pPr>
      <w:r>
        <w:rPr>
          <w:sz w:val="24"/>
        </w:rPr>
        <w:t>经植被类型典型样地调查及植被类型面积统计，评价区总生产力约1215.727t/a，其中阔叶林生产力约占评价区总生产力的64.8%；评价区现存植被总生物量约8507.342t，其中森林植被生物量占大部分，约占评价区的83.7%，阔叶林表现为生物多样性更为丰富。</w:t>
      </w:r>
    </w:p>
    <w:p>
      <w:pPr>
        <w:ind w:firstLine="480"/>
        <w:jc w:val="both"/>
        <w:rPr>
          <w:sz w:val="24"/>
          <w:szCs w:val="21"/>
        </w:rPr>
      </w:pPr>
      <w:r>
        <w:rPr>
          <w:sz w:val="24"/>
          <w:szCs w:val="21"/>
        </w:rPr>
        <w:t>（五）植被演替规律</w:t>
      </w:r>
    </w:p>
    <w:p>
      <w:pPr>
        <w:ind w:firstLine="480"/>
        <w:jc w:val="both"/>
        <w:rPr>
          <w:sz w:val="24"/>
          <w:szCs w:val="21"/>
        </w:rPr>
      </w:pPr>
      <w:r>
        <w:rPr>
          <w:sz w:val="24"/>
          <w:szCs w:val="21"/>
        </w:rPr>
        <w:t>评价区的植物群落演替规律，主要受人为因素影响，其次是自然条件的变化。本地区地带植被主要为常绿落叶林、竹林。解放初期，森林植被丰富，覆盖率高。随着人口逐年增多，生活用材增大，加上1958年的“大炼钢铁”、“十年动乱”和林业政策的不稳定等因素，自然植被遭到严重破坏，调查期间无原始植被。现有植被大都是人工林或半人工林，基本蔚然成林，达到近熟林阶段，长态良好。因九峰山森林公园的植被保护，评价区林地现存保护率较高。</w:t>
      </w:r>
    </w:p>
    <w:p>
      <w:pPr>
        <w:ind w:firstLine="480"/>
        <w:jc w:val="both"/>
        <w:rPr>
          <w:sz w:val="24"/>
          <w:szCs w:val="24"/>
        </w:rPr>
      </w:pPr>
      <w:r>
        <w:rPr>
          <w:sz w:val="24"/>
          <w:szCs w:val="21"/>
        </w:rPr>
        <w:t>但因近年来农村建设以及人为活动频繁，评价区内植被逐渐被蚕食及分割，使得植被</w:t>
      </w:r>
      <w:r>
        <w:rPr>
          <w:sz w:val="24"/>
          <w:szCs w:val="24"/>
        </w:rPr>
        <w:t>面积逐渐减少。</w:t>
      </w:r>
    </w:p>
    <w:p>
      <w:pPr>
        <w:ind w:firstLine="480"/>
        <w:jc w:val="both"/>
        <w:rPr>
          <w:sz w:val="24"/>
          <w:szCs w:val="24"/>
        </w:rPr>
      </w:pPr>
      <w:r>
        <w:rPr>
          <w:sz w:val="24"/>
          <w:szCs w:val="24"/>
        </w:rPr>
        <w:t>（六）重点保护野生植物</w:t>
      </w:r>
    </w:p>
    <w:p>
      <w:pPr>
        <w:spacing w:line="360" w:lineRule="auto"/>
        <w:ind w:firstLine="480"/>
        <w:jc w:val="both"/>
        <w:rPr>
          <w:sz w:val="24"/>
          <w:szCs w:val="24"/>
        </w:rPr>
      </w:pPr>
      <w:r>
        <w:rPr>
          <w:sz w:val="24"/>
          <w:szCs w:val="24"/>
        </w:rPr>
        <w:t>项目评价范围涉及九峰山森林公园，公园内有马尾松、杉木、柏木、丝栗、枫香、青杠、慈竹、毛竹、苦竹、水竹、黄荆、茶、山茶、油茶、火棘、马桑、桑、映山红、杜鹃、盐肤木、蕨箕、铁芒箕、水芙蓉里白、石松、甘草、风尾蕨、贯丛、胡颓子等，其中甘草属于国家重点保护野生植物。根据调查，</w:t>
      </w:r>
      <w:r>
        <w:rPr>
          <w:bCs/>
          <w:sz w:val="24"/>
          <w:szCs w:val="24"/>
        </w:rPr>
        <w:t>除九峰山森林公园以外项目评价范围和占地范围内主要以耕地、灌木林地为主，</w:t>
      </w:r>
      <w:r>
        <w:rPr>
          <w:sz w:val="24"/>
          <w:szCs w:val="24"/>
        </w:rPr>
        <w:t>植被种类为当地或附近区域常见树种或植被，未发现有古木大树和国家重点保护野生植物。</w:t>
      </w:r>
    </w:p>
    <w:p>
      <w:pPr>
        <w:pStyle w:val="5"/>
        <w:rPr>
          <w:color w:val="auto"/>
        </w:rPr>
      </w:pPr>
      <w:r>
        <w:rPr>
          <w:color w:val="auto"/>
        </w:rPr>
        <w:t>4.2.5天然林、公益林现状调查</w:t>
      </w:r>
    </w:p>
    <w:p>
      <w:pPr>
        <w:spacing w:line="360" w:lineRule="auto"/>
        <w:ind w:firstLine="480"/>
        <w:rPr>
          <w:sz w:val="24"/>
        </w:rPr>
      </w:pPr>
      <w:r>
        <w:rPr>
          <w:sz w:val="24"/>
        </w:rPr>
        <w:t>天然林是自然界中群落最稳定、生态功能最完备、生物多样性最丰富的陆地生态系统，是维护国土安全最重要的生态屏障，有着调节大气、改良土壤、净化空气、涵养水源、保持水土、保护物种多样性等功能。根据合川区林业部门森林资源管理数据进行叠图分析，本项目评价范围内有天然林0.72hm</w:t>
      </w:r>
      <w:r>
        <w:rPr>
          <w:sz w:val="24"/>
          <w:vertAlign w:val="superscript"/>
        </w:rPr>
        <w:t>2</w:t>
      </w:r>
      <w:r>
        <w:rPr>
          <w:sz w:val="24"/>
        </w:rPr>
        <w:t>，天然林分布较少，以杂灌为主，优势树种为构树，伴生有黄荆、构树、八角枫等，草本层常见狗尾草、艾、地果等。本项目占地范围不涉及天然林。</w:t>
      </w:r>
    </w:p>
    <w:p>
      <w:pPr>
        <w:spacing w:line="360" w:lineRule="auto"/>
        <w:ind w:firstLine="480"/>
        <w:rPr>
          <w:sz w:val="24"/>
        </w:rPr>
      </w:pPr>
      <w:r>
        <w:rPr>
          <w:sz w:val="24"/>
        </w:rPr>
        <w:t>公益林，也称生态公益林，是以保护和改善人类生存环境、保持生态平衡、保存物种资源、科学实验、森林旅游、国土保安等需要为主要经营目标的森林和灌木林。根据合川区林业部门森林资源管理数据进行叠图分析，本项目评价范围内有国家公益林2.2hm</w:t>
      </w:r>
      <w:r>
        <w:rPr>
          <w:sz w:val="24"/>
          <w:vertAlign w:val="superscript"/>
        </w:rPr>
        <w:t>2</w:t>
      </w:r>
      <w:r>
        <w:rPr>
          <w:sz w:val="24"/>
        </w:rPr>
        <w:t>，公益林分布较广，呈片状分布于评价范围，以慈竹、麻竹、柏木、桉树、马尾松为主，类型均为水土保持林，以保持区域生态平衡、防止水土流失、保护物种的多样性等作为目的，向社会和公众提供公益性的、社会性的产品和服务。本项目占地范围不涉及公益林。</w:t>
      </w:r>
    </w:p>
    <w:p>
      <w:pPr>
        <w:spacing w:line="360" w:lineRule="auto"/>
        <w:ind w:firstLine="0" w:firstLineChars="0"/>
        <w:rPr>
          <w:sz w:val="24"/>
        </w:rPr>
      </w:pPr>
      <w:r>
        <w:drawing>
          <wp:inline distT="0" distB="0" distL="0" distR="0">
            <wp:extent cx="5760085" cy="3072130"/>
            <wp:effectExtent l="0" t="0" r="0" b="0"/>
            <wp:docPr id="66436159" name="图片 1" descr="图片包含 地图&#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436159" name="图片 1" descr="图片包含 地图&#10;&#10;描述已自动生成"/>
                    <pic:cNvPicPr>
                      <a:picLocks noChangeAspect="true"/>
                    </pic:cNvPicPr>
                  </pic:nvPicPr>
                  <pic:blipFill>
                    <a:blip r:embed="rId84"/>
                    <a:stretch>
                      <a:fillRect/>
                    </a:stretch>
                  </pic:blipFill>
                  <pic:spPr>
                    <a:xfrm>
                      <a:off x="0" y="0"/>
                      <a:ext cx="5760085" cy="3072130"/>
                    </a:xfrm>
                    <a:prstGeom prst="rect">
                      <a:avLst/>
                    </a:prstGeom>
                  </pic:spPr>
                </pic:pic>
              </a:graphicData>
            </a:graphic>
          </wp:inline>
        </w:drawing>
      </w:r>
    </w:p>
    <w:p>
      <w:pPr>
        <w:spacing w:line="360" w:lineRule="auto"/>
        <w:ind w:firstLine="0" w:firstLineChars="0"/>
        <w:jc w:val="center"/>
        <w:rPr>
          <w:sz w:val="24"/>
        </w:rPr>
      </w:pPr>
      <w:r>
        <w:rPr>
          <w:sz w:val="24"/>
        </w:rPr>
        <w:t>图4.2-3  开采区周边天然林、公益林分布图</w:t>
      </w:r>
    </w:p>
    <w:p>
      <w:pPr>
        <w:spacing w:line="360" w:lineRule="auto"/>
        <w:ind w:firstLine="0" w:firstLineChars="0"/>
        <w:rPr>
          <w:sz w:val="24"/>
        </w:rPr>
      </w:pPr>
      <w:r>
        <w:drawing>
          <wp:inline distT="0" distB="0" distL="0" distR="0">
            <wp:extent cx="5760085" cy="3001645"/>
            <wp:effectExtent l="0" t="0" r="0" b="8255"/>
            <wp:docPr id="1903905099" name="图片 1" descr="地图&#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03905099" name="图片 1" descr="地图&#10;&#10;描述已自动生成"/>
                    <pic:cNvPicPr>
                      <a:picLocks noChangeAspect="true"/>
                    </pic:cNvPicPr>
                  </pic:nvPicPr>
                  <pic:blipFill>
                    <a:blip r:embed="rId85"/>
                    <a:stretch>
                      <a:fillRect/>
                    </a:stretch>
                  </pic:blipFill>
                  <pic:spPr>
                    <a:xfrm>
                      <a:off x="0" y="0"/>
                      <a:ext cx="5760085" cy="3001645"/>
                    </a:xfrm>
                    <a:prstGeom prst="rect">
                      <a:avLst/>
                    </a:prstGeom>
                  </pic:spPr>
                </pic:pic>
              </a:graphicData>
            </a:graphic>
          </wp:inline>
        </w:drawing>
      </w:r>
    </w:p>
    <w:p>
      <w:pPr>
        <w:spacing w:line="360" w:lineRule="auto"/>
        <w:ind w:firstLine="0" w:firstLineChars="0"/>
        <w:jc w:val="center"/>
        <w:rPr>
          <w:sz w:val="24"/>
        </w:rPr>
      </w:pPr>
      <w:r>
        <w:rPr>
          <w:sz w:val="24"/>
        </w:rPr>
        <w:t>图4.2-4  工业场地周边天然林、公益林分布图</w:t>
      </w:r>
    </w:p>
    <w:p>
      <w:pPr>
        <w:pStyle w:val="5"/>
        <w:rPr>
          <w:color w:val="auto"/>
        </w:rPr>
      </w:pPr>
      <w:r>
        <w:rPr>
          <w:color w:val="auto"/>
        </w:rPr>
        <w:t>4.2.6动物资源现状调查</w:t>
      </w:r>
    </w:p>
    <w:p>
      <w:pPr>
        <w:spacing w:line="360" w:lineRule="auto"/>
        <w:ind w:firstLine="480"/>
        <w:jc w:val="both"/>
        <w:rPr>
          <w:sz w:val="24"/>
          <w:szCs w:val="21"/>
        </w:rPr>
      </w:pPr>
      <w:r>
        <w:rPr>
          <w:bCs/>
          <w:sz w:val="24"/>
          <w:szCs w:val="21"/>
          <w:lang w:bidi="en-US"/>
        </w:rPr>
        <w:t>项目评价范围内涉及九峰山森林公园，森林公园内</w:t>
      </w:r>
      <w:r>
        <w:rPr>
          <w:sz w:val="24"/>
          <w:szCs w:val="21"/>
        </w:rPr>
        <w:t>有中华蟾蜍、中国林蛙、沼水蛙、蹼趾壁虎、乌梢蛇、黑背蛇、貉、黄鼬、狗獾、松鼠、绿头鸭、红隼、喜鹊、灰胸竹鸡、家燕、画眉、白头翁、鹌鹑、麻雀、山雀、啄木鸟、杜鹃等野生动物活动，其中红隼、画眉、灰胸竹鸡、杜鹃等属于国家及重庆市重点保护野生动物。</w:t>
      </w:r>
    </w:p>
    <w:p>
      <w:pPr>
        <w:spacing w:line="360" w:lineRule="auto"/>
        <w:ind w:firstLine="480"/>
        <w:jc w:val="both"/>
        <w:rPr>
          <w:sz w:val="24"/>
          <w:szCs w:val="21"/>
        </w:rPr>
      </w:pPr>
      <w:r>
        <w:rPr>
          <w:kern w:val="0"/>
          <w:sz w:val="24"/>
          <w:szCs w:val="24"/>
        </w:rPr>
        <w:t>根据资料收集及现场调查，</w:t>
      </w:r>
      <w:r>
        <w:rPr>
          <w:bCs/>
          <w:sz w:val="24"/>
          <w:szCs w:val="24"/>
        </w:rPr>
        <w:t>除九峰山森林公园以外项目评价范围及占地范围内</w:t>
      </w:r>
      <w:r>
        <w:rPr>
          <w:bCs/>
          <w:sz w:val="24"/>
          <w:szCs w:val="21"/>
          <w:lang w:bidi="en-US"/>
        </w:rPr>
        <w:t>主要为</w:t>
      </w:r>
      <w:r>
        <w:rPr>
          <w:sz w:val="24"/>
          <w:szCs w:val="21"/>
        </w:rPr>
        <w:t>麻雀、蝉、蝇、蚊、螳螂、蛙</w:t>
      </w:r>
      <w:r>
        <w:rPr>
          <w:bCs/>
          <w:sz w:val="24"/>
          <w:szCs w:val="21"/>
          <w:lang w:bidi="en-US"/>
        </w:rPr>
        <w:t>等，受人类活动的影响，</w:t>
      </w:r>
      <w:r>
        <w:rPr>
          <w:bCs/>
          <w:sz w:val="24"/>
          <w:szCs w:val="24"/>
        </w:rPr>
        <w:t>未发现重点保护野生动物天然集中分布区</w:t>
      </w:r>
      <w:r>
        <w:rPr>
          <w:bCs/>
          <w:sz w:val="24"/>
          <w:szCs w:val="21"/>
          <w:lang w:bidi="en-US"/>
        </w:rPr>
        <w:t>，无国家及重庆市重点保护野生动物。</w:t>
      </w:r>
    </w:p>
    <w:p>
      <w:pPr>
        <w:pStyle w:val="5"/>
        <w:rPr>
          <w:color w:val="auto"/>
        </w:rPr>
      </w:pPr>
      <w:r>
        <w:rPr>
          <w:color w:val="auto"/>
        </w:rPr>
        <w:t>4.2.7土壤环境</w:t>
      </w:r>
    </w:p>
    <w:p>
      <w:pPr>
        <w:spacing w:line="360" w:lineRule="auto"/>
        <w:ind w:firstLine="480"/>
        <w:jc w:val="both"/>
        <w:rPr>
          <w:sz w:val="24"/>
          <w:szCs w:val="24"/>
        </w:rPr>
      </w:pPr>
      <w:r>
        <w:rPr>
          <w:sz w:val="24"/>
          <w:szCs w:val="24"/>
        </w:rPr>
        <w:t>合川区区域内土壤类型共划分为4个土类、6个亚类、18个土属、70个土种、97年变种。其中，农业耕地有17个土属、69个土种和94个变种；非农业耕地有1个土属、1个土种和3个变种。水稻土类是农业耕地的主要土类，约占总耕地面积的61.33%；其次是紫色土，占34.1%；第三位是黄壤土，占2.69%；潮土土类最少，仅为1.81%。从土壤的质地分析：沙土占17.83%，黏土占23.57%，壤土占48.82%，砾质土占9.78%。土壤的酸碱度含量：酸性占5.63%，微酸性占20.21%，中性占60.44%，微碱占13.72%。</w:t>
      </w:r>
    </w:p>
    <w:p>
      <w:pPr>
        <w:pStyle w:val="34"/>
      </w:pPr>
      <w:r>
        <w:t>矿区地段为基岩裸露，土层仅零星分布于平缓坡之地带，以褐黄色粉质黏土为主，土壤类型为黄壤，厚度为0～4.0 m，平均约1m。土壤母质主要类型为第四系表土黏土岩，富含钙质，富含碳酸盐pH值中性至微碱土壤。褐黄色泥土主要为大眼泥土、半沙半泥土，土层厚20～40cm。有机质含量在6.0～18.2g/kg，全氮含量0.63～0.90g/kg，全磷为0.31～0.92g/kg，全钾为11.3～20.6g/kg。黄壤土主要分布在地势较高区域，土质粘重，板结，通透性差，土质酸、瘦、冷，肥力较差，不适宜耕作，但适宜林木的生长。</w:t>
      </w:r>
    </w:p>
    <w:p>
      <w:pPr>
        <w:pStyle w:val="5"/>
        <w:rPr>
          <w:color w:val="auto"/>
        </w:rPr>
      </w:pPr>
      <w:bookmarkStart w:id="144" w:name="_Toc522725653"/>
      <w:r>
        <w:rPr>
          <w:color w:val="auto"/>
        </w:rPr>
        <w:t>4.2.8主要生态问题调查</w:t>
      </w:r>
      <w:bookmarkEnd w:id="144"/>
    </w:p>
    <w:p>
      <w:pPr>
        <w:spacing w:line="360" w:lineRule="auto"/>
        <w:ind w:firstLine="480"/>
        <w:jc w:val="both"/>
        <w:rPr>
          <w:bCs/>
          <w:sz w:val="24"/>
          <w:szCs w:val="21"/>
          <w:lang w:bidi="en-US"/>
        </w:rPr>
      </w:pPr>
      <w:r>
        <w:rPr>
          <w:bCs/>
          <w:sz w:val="24"/>
          <w:szCs w:val="21"/>
          <w:lang w:bidi="en-US"/>
        </w:rPr>
        <w:t>（1）评价范围内主要为森林生态系统和农田生态系统，森林覆盖率较高，</w:t>
      </w:r>
      <w:r>
        <w:rPr>
          <w:sz w:val="24"/>
          <w:szCs w:val="21"/>
        </w:rPr>
        <w:t>以森林生态系统为主，农田生态系统为辅。农田生态系统对生态影响主要表现农业耕作会产生一些破坏和干扰。森林生态系统生物群落多样性较差，森林生态系统主要为竹林以及灌丛。评价范围内无</w:t>
      </w:r>
      <w:r>
        <w:rPr>
          <w:bCs/>
          <w:sz w:val="24"/>
          <w:szCs w:val="21"/>
          <w:lang w:bidi="en-US"/>
        </w:rPr>
        <w:t>大中型野生动物栖息场所。</w:t>
      </w:r>
    </w:p>
    <w:p>
      <w:pPr>
        <w:spacing w:line="360" w:lineRule="auto"/>
        <w:ind w:firstLine="480"/>
        <w:jc w:val="both"/>
        <w:rPr>
          <w:bCs/>
          <w:sz w:val="24"/>
          <w:szCs w:val="21"/>
          <w:lang w:bidi="en-US"/>
        </w:rPr>
      </w:pPr>
      <w:r>
        <w:rPr>
          <w:bCs/>
          <w:sz w:val="24"/>
          <w:szCs w:val="21"/>
          <w:lang w:bidi="en-US"/>
        </w:rPr>
        <w:t>（2）评价范围内交通道路发达，除有盐九路外，还有乡道、村道，特别是近年来农村公路改造成水泥路面，路基宽度增加，路基抬高，导致原有生态功能呈现一定程度降低。此外交通噪声对周边野生动物也有不利影响。</w:t>
      </w:r>
    </w:p>
    <w:p>
      <w:pPr>
        <w:spacing w:line="360" w:lineRule="auto"/>
        <w:ind w:firstLine="480"/>
        <w:jc w:val="both"/>
        <w:rPr>
          <w:bCs/>
          <w:sz w:val="24"/>
          <w:szCs w:val="21"/>
          <w:lang w:bidi="en-US"/>
        </w:rPr>
      </w:pPr>
      <w:r>
        <w:rPr>
          <w:bCs/>
          <w:sz w:val="24"/>
          <w:szCs w:val="21"/>
          <w:lang w:bidi="en-US"/>
        </w:rPr>
        <w:t>（3）农业耕种潜在的生态问题为水土流失。</w:t>
      </w:r>
    </w:p>
    <w:p>
      <w:pPr>
        <w:pStyle w:val="5"/>
        <w:rPr>
          <w:color w:val="auto"/>
        </w:rPr>
      </w:pPr>
      <w:r>
        <w:rPr>
          <w:color w:val="auto"/>
        </w:rPr>
        <w:t>4.2.9水土流失</w:t>
      </w:r>
    </w:p>
    <w:p>
      <w:pPr>
        <w:pStyle w:val="222"/>
      </w:pPr>
      <w:r>
        <w:t>根据《重庆市水土保持规划（2016-2030年）》，项目所在区域（合川区盐井街道）属于重庆市水土流失重点预防区。合川区境内土壤侵蚀类型以水力侵蚀为主。水土流失面积822.83km</w:t>
      </w:r>
      <w:r>
        <w:rPr>
          <w:vertAlign w:val="superscript"/>
        </w:rPr>
        <w:t>2</w:t>
      </w:r>
      <w:r>
        <w:t>，占土地面积的34.92%，以轻度流失（27.65%）和中度流失（232.95%）为主，强烈侵蚀面积141.92km</w:t>
      </w:r>
      <w:r>
        <w:rPr>
          <w:vertAlign w:val="superscript"/>
        </w:rPr>
        <w:t>2</w:t>
      </w:r>
      <w:r>
        <w:t>，占侵蚀土地面积的17.25%。年均侵蚀总量233.59万t，平均土壤侵蚀模数2838.83t/km</w:t>
      </w:r>
      <w:r>
        <w:rPr>
          <w:vertAlign w:val="superscript"/>
        </w:rPr>
        <w:t>2</w:t>
      </w:r>
      <w:r>
        <w:t>·a。</w:t>
      </w:r>
    </w:p>
    <w:p>
      <w:pPr>
        <w:pStyle w:val="5"/>
        <w:rPr>
          <w:color w:val="auto"/>
        </w:rPr>
      </w:pPr>
      <w:bookmarkStart w:id="145" w:name="_Toc522725654"/>
      <w:bookmarkStart w:id="146" w:name="_Toc457309495"/>
      <w:r>
        <w:rPr>
          <w:color w:val="auto"/>
        </w:rPr>
        <w:t>4.2.10评价区生态现状综合评价</w:t>
      </w:r>
      <w:bookmarkEnd w:id="145"/>
      <w:bookmarkEnd w:id="146"/>
    </w:p>
    <w:p>
      <w:pPr>
        <w:spacing w:line="360" w:lineRule="auto"/>
        <w:ind w:firstLine="480"/>
        <w:jc w:val="both"/>
        <w:rPr>
          <w:bCs/>
          <w:lang w:bidi="en-US"/>
        </w:rPr>
      </w:pPr>
      <w:r>
        <w:rPr>
          <w:kern w:val="0"/>
          <w:sz w:val="24"/>
          <w:szCs w:val="24"/>
        </w:rPr>
        <w:t>从生态环境现状调查结果来看，</w:t>
      </w:r>
      <w:r>
        <w:rPr>
          <w:bCs/>
          <w:sz w:val="24"/>
          <w:szCs w:val="21"/>
          <w:lang w:bidi="en-US"/>
        </w:rPr>
        <w:t>评价范围主要为森林生态系统和农田生态系统，森林覆盖率较高，</w:t>
      </w:r>
      <w:r>
        <w:rPr>
          <w:sz w:val="24"/>
          <w:szCs w:val="21"/>
        </w:rPr>
        <w:t>以森林生态系统为主，农田生态系统为辅。</w:t>
      </w:r>
      <w:r>
        <w:rPr>
          <w:bCs/>
          <w:sz w:val="24"/>
          <w:szCs w:val="21"/>
          <w:lang w:bidi="en-US"/>
        </w:rPr>
        <w:t>森林生态系统植被群落覆盖率较高，</w:t>
      </w:r>
      <w:r>
        <w:rPr>
          <w:sz w:val="24"/>
          <w:szCs w:val="21"/>
        </w:rPr>
        <w:t>生态结构较为稳定。</w:t>
      </w:r>
      <w:r>
        <w:rPr>
          <w:bCs/>
          <w:sz w:val="24"/>
          <w:szCs w:val="24"/>
        </w:rPr>
        <w:t>项目评价范围内涉及九峰山森林公园，矿区西侧</w:t>
      </w:r>
      <w:r>
        <w:rPr>
          <w:sz w:val="24"/>
          <w:szCs w:val="24"/>
        </w:rPr>
        <w:t>干沟河相隔为重庆市九峰山森林公园，</w:t>
      </w:r>
      <w:r>
        <w:rPr>
          <w:bCs/>
          <w:sz w:val="24"/>
          <w:szCs w:val="24"/>
        </w:rPr>
        <w:t>九峰山森林公园里涉及</w:t>
      </w:r>
      <w:r>
        <w:rPr>
          <w:sz w:val="24"/>
          <w:szCs w:val="21"/>
        </w:rPr>
        <w:t>红隼、画眉、灰胸竹鸡、杜鹃等属于国家及重庆市重点保护野生动物和甘草等属于国家重点保护野生植物；</w:t>
      </w:r>
      <w:r>
        <w:rPr>
          <w:bCs/>
          <w:sz w:val="24"/>
          <w:szCs w:val="24"/>
        </w:rPr>
        <w:t>评价范围内除九峰山森林公园以外主要以旱地农作物、灌木林地为主，人工干预比较大，动物以鸟类、啮齿类等常见种为主，未发现重点保护野生动植物天然集中分布区和名木古树。</w:t>
      </w:r>
      <w:r>
        <w:rPr>
          <w:kern w:val="0"/>
          <w:sz w:val="24"/>
          <w:szCs w:val="24"/>
        </w:rPr>
        <w:t>项目占地范围主要为</w:t>
      </w:r>
      <w:r>
        <w:rPr>
          <w:bCs/>
          <w:sz w:val="24"/>
          <w:szCs w:val="24"/>
        </w:rPr>
        <w:t>旱地农作物、灌木林地为主</w:t>
      </w:r>
      <w:r>
        <w:rPr>
          <w:kern w:val="0"/>
          <w:sz w:val="24"/>
          <w:szCs w:val="24"/>
        </w:rPr>
        <w:t>，受人工影响活动较大，</w:t>
      </w:r>
      <w:r>
        <w:rPr>
          <w:bCs/>
          <w:sz w:val="24"/>
          <w:szCs w:val="21"/>
          <w:lang w:bidi="en-US"/>
        </w:rPr>
        <w:t>无国家及重庆市重点保护野生动植物。</w:t>
      </w:r>
    </w:p>
    <w:p>
      <w:pPr>
        <w:pStyle w:val="4"/>
        <w:spacing w:line="360" w:lineRule="auto"/>
      </w:pPr>
      <w:bookmarkStart w:id="147" w:name="_Toc161676107"/>
      <w:r>
        <w:t>4.3环境质量现状调查与评价</w:t>
      </w:r>
      <w:bookmarkEnd w:id="147"/>
    </w:p>
    <w:p>
      <w:pPr>
        <w:pStyle w:val="5"/>
        <w:rPr>
          <w:color w:val="auto"/>
        </w:rPr>
      </w:pPr>
      <w:r>
        <w:rPr>
          <w:color w:val="auto"/>
        </w:rPr>
        <w:t>4.3.1环境空气</w:t>
      </w:r>
    </w:p>
    <w:p>
      <w:pPr>
        <w:pStyle w:val="6"/>
        <w:numPr>
          <w:ilvl w:val="3"/>
          <w:numId w:val="0"/>
        </w:numPr>
        <w:spacing w:line="360" w:lineRule="auto"/>
      </w:pPr>
      <w:r>
        <w:t>4.3.1.1环境空气质量达标区判定</w:t>
      </w:r>
    </w:p>
    <w:p>
      <w:pPr>
        <w:pStyle w:val="300"/>
        <w:adjustRightInd w:val="0"/>
        <w:snapToGrid w:val="0"/>
      </w:pPr>
      <w:r>
        <w:t>本项目所在区域基本环境污染物（SO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r>
        <w:t>）现状数据引用《2022年重庆市生态环境状况公报》合川区环境空气质量监测数据进行评价，评价结果见下表。</w:t>
      </w:r>
    </w:p>
    <w:p>
      <w:pPr>
        <w:pStyle w:val="84"/>
      </w:pPr>
      <w:r>
        <w:t>表4.3-1  合川区环境空气质量状况统计结果表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2129"/>
        <w:gridCol w:w="1410"/>
        <w:gridCol w:w="1410"/>
        <w:gridCol w:w="1805"/>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62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w:t>
            </w:r>
          </w:p>
        </w:tc>
        <w:tc>
          <w:tcPr>
            <w:tcW w:w="1146"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年评价指标</w:t>
            </w:r>
          </w:p>
        </w:tc>
        <w:tc>
          <w:tcPr>
            <w:tcW w:w="75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评价标准</w:t>
            </w:r>
          </w:p>
        </w:tc>
        <w:tc>
          <w:tcPr>
            <w:tcW w:w="75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现状浓度</w:t>
            </w:r>
          </w:p>
        </w:tc>
        <w:tc>
          <w:tcPr>
            <w:tcW w:w="97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占标率（%）</w:t>
            </w:r>
          </w:p>
        </w:tc>
        <w:tc>
          <w:tcPr>
            <w:tcW w:w="744"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21" w:type="pct"/>
            <w:vAlign w:val="center"/>
          </w:tcPr>
          <w:p>
            <w:pPr>
              <w:spacing w:line="240" w:lineRule="auto"/>
              <w:ind w:firstLine="0" w:firstLineChars="0"/>
              <w:jc w:val="center"/>
              <w:rPr>
                <w:sz w:val="21"/>
                <w:szCs w:val="21"/>
              </w:rPr>
            </w:pPr>
            <w:r>
              <w:rPr>
                <w:sz w:val="21"/>
                <w:szCs w:val="21"/>
              </w:rPr>
              <w:t>SO</w:t>
            </w:r>
            <w:r>
              <w:rPr>
                <w:sz w:val="21"/>
                <w:szCs w:val="21"/>
                <w:vertAlign w:val="subscript"/>
              </w:rPr>
              <w:t>2</w:t>
            </w:r>
          </w:p>
        </w:tc>
        <w:tc>
          <w:tcPr>
            <w:tcW w:w="1146" w:type="pct"/>
            <w:vMerge w:val="restart"/>
            <w:vAlign w:val="center"/>
          </w:tcPr>
          <w:p>
            <w:pPr>
              <w:spacing w:line="240" w:lineRule="auto"/>
              <w:ind w:firstLine="0" w:firstLineChars="0"/>
              <w:jc w:val="center"/>
              <w:rPr>
                <w:sz w:val="21"/>
                <w:szCs w:val="21"/>
              </w:rPr>
            </w:pPr>
            <w:r>
              <w:rPr>
                <w:sz w:val="21"/>
                <w:szCs w:val="21"/>
              </w:rPr>
              <w:t>年平均质量浓度</w:t>
            </w:r>
          </w:p>
        </w:tc>
        <w:tc>
          <w:tcPr>
            <w:tcW w:w="759" w:type="pct"/>
            <w:vAlign w:val="center"/>
          </w:tcPr>
          <w:p>
            <w:pPr>
              <w:spacing w:line="240" w:lineRule="auto"/>
              <w:ind w:firstLine="0" w:firstLineChars="0"/>
              <w:jc w:val="center"/>
              <w:rPr>
                <w:sz w:val="21"/>
                <w:szCs w:val="21"/>
              </w:rPr>
            </w:pPr>
            <w:r>
              <w:rPr>
                <w:sz w:val="21"/>
                <w:szCs w:val="21"/>
              </w:rPr>
              <w:t>60</w:t>
            </w:r>
          </w:p>
        </w:tc>
        <w:tc>
          <w:tcPr>
            <w:tcW w:w="759" w:type="pct"/>
            <w:vAlign w:val="center"/>
          </w:tcPr>
          <w:p>
            <w:pPr>
              <w:spacing w:line="240" w:lineRule="auto"/>
              <w:ind w:firstLine="0" w:firstLineChars="0"/>
              <w:jc w:val="center"/>
              <w:rPr>
                <w:sz w:val="21"/>
                <w:szCs w:val="21"/>
              </w:rPr>
            </w:pPr>
            <w:r>
              <w:rPr>
                <w:sz w:val="21"/>
                <w:szCs w:val="21"/>
              </w:rPr>
              <w:t>12</w:t>
            </w:r>
          </w:p>
        </w:tc>
        <w:tc>
          <w:tcPr>
            <w:tcW w:w="972" w:type="pct"/>
            <w:vAlign w:val="center"/>
          </w:tcPr>
          <w:p>
            <w:pPr>
              <w:spacing w:line="240" w:lineRule="auto"/>
              <w:ind w:firstLine="0" w:firstLineChars="0"/>
              <w:jc w:val="center"/>
              <w:rPr>
                <w:sz w:val="21"/>
                <w:szCs w:val="21"/>
              </w:rPr>
            </w:pPr>
            <w:r>
              <w:rPr>
                <w:sz w:val="21"/>
                <w:szCs w:val="21"/>
              </w:rPr>
              <w:t>20</w:t>
            </w:r>
          </w:p>
        </w:tc>
        <w:tc>
          <w:tcPr>
            <w:tcW w:w="744"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21" w:type="pct"/>
            <w:vAlign w:val="center"/>
          </w:tcPr>
          <w:p>
            <w:pPr>
              <w:spacing w:line="240" w:lineRule="auto"/>
              <w:ind w:firstLine="0" w:firstLineChars="0"/>
              <w:jc w:val="center"/>
              <w:rPr>
                <w:sz w:val="21"/>
                <w:szCs w:val="21"/>
              </w:rPr>
            </w:pPr>
            <w:r>
              <w:rPr>
                <w:sz w:val="21"/>
                <w:szCs w:val="21"/>
              </w:rPr>
              <w:t>NO</w:t>
            </w:r>
            <w:r>
              <w:rPr>
                <w:sz w:val="21"/>
                <w:szCs w:val="21"/>
                <w:vertAlign w:val="subscript"/>
              </w:rPr>
              <w:t>2</w:t>
            </w:r>
          </w:p>
        </w:tc>
        <w:tc>
          <w:tcPr>
            <w:tcW w:w="1146" w:type="pct"/>
            <w:vMerge w:val="continue"/>
            <w:vAlign w:val="center"/>
          </w:tcPr>
          <w:p>
            <w:pPr>
              <w:spacing w:line="240" w:lineRule="auto"/>
              <w:ind w:firstLine="0" w:firstLineChars="0"/>
              <w:jc w:val="center"/>
              <w:rPr>
                <w:sz w:val="21"/>
                <w:szCs w:val="21"/>
              </w:rPr>
            </w:pPr>
          </w:p>
        </w:tc>
        <w:tc>
          <w:tcPr>
            <w:tcW w:w="759" w:type="pct"/>
            <w:vAlign w:val="center"/>
          </w:tcPr>
          <w:p>
            <w:pPr>
              <w:spacing w:line="240" w:lineRule="auto"/>
              <w:ind w:firstLine="0" w:firstLineChars="0"/>
              <w:jc w:val="center"/>
              <w:rPr>
                <w:sz w:val="21"/>
                <w:szCs w:val="21"/>
              </w:rPr>
            </w:pPr>
            <w:r>
              <w:rPr>
                <w:sz w:val="21"/>
                <w:szCs w:val="21"/>
              </w:rPr>
              <w:t>40</w:t>
            </w:r>
          </w:p>
        </w:tc>
        <w:tc>
          <w:tcPr>
            <w:tcW w:w="759" w:type="pct"/>
            <w:vAlign w:val="center"/>
          </w:tcPr>
          <w:p>
            <w:pPr>
              <w:spacing w:line="240" w:lineRule="auto"/>
              <w:ind w:firstLine="0" w:firstLineChars="0"/>
              <w:jc w:val="center"/>
              <w:rPr>
                <w:sz w:val="21"/>
                <w:szCs w:val="21"/>
              </w:rPr>
            </w:pPr>
            <w:r>
              <w:rPr>
                <w:sz w:val="21"/>
                <w:szCs w:val="21"/>
              </w:rPr>
              <w:t>21</w:t>
            </w:r>
          </w:p>
        </w:tc>
        <w:tc>
          <w:tcPr>
            <w:tcW w:w="972" w:type="pct"/>
            <w:vAlign w:val="center"/>
          </w:tcPr>
          <w:p>
            <w:pPr>
              <w:spacing w:line="240" w:lineRule="auto"/>
              <w:ind w:firstLine="0" w:firstLineChars="0"/>
              <w:jc w:val="center"/>
              <w:rPr>
                <w:sz w:val="21"/>
                <w:szCs w:val="21"/>
              </w:rPr>
            </w:pPr>
            <w:r>
              <w:rPr>
                <w:sz w:val="21"/>
                <w:szCs w:val="21"/>
              </w:rPr>
              <w:t>52.5</w:t>
            </w:r>
          </w:p>
        </w:tc>
        <w:tc>
          <w:tcPr>
            <w:tcW w:w="744"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21" w:type="pct"/>
            <w:vAlign w:val="center"/>
          </w:tcPr>
          <w:p>
            <w:pPr>
              <w:spacing w:line="240" w:lineRule="auto"/>
              <w:ind w:firstLine="0" w:firstLineChars="0"/>
              <w:jc w:val="center"/>
              <w:rPr>
                <w:sz w:val="21"/>
                <w:szCs w:val="21"/>
              </w:rPr>
            </w:pPr>
            <w:r>
              <w:rPr>
                <w:sz w:val="21"/>
                <w:szCs w:val="21"/>
              </w:rPr>
              <w:t>PM</w:t>
            </w:r>
            <w:r>
              <w:rPr>
                <w:sz w:val="21"/>
                <w:szCs w:val="21"/>
                <w:vertAlign w:val="subscript"/>
              </w:rPr>
              <w:t>10</w:t>
            </w:r>
          </w:p>
        </w:tc>
        <w:tc>
          <w:tcPr>
            <w:tcW w:w="1146" w:type="pct"/>
            <w:vMerge w:val="continue"/>
            <w:vAlign w:val="center"/>
          </w:tcPr>
          <w:p>
            <w:pPr>
              <w:spacing w:line="240" w:lineRule="auto"/>
              <w:ind w:firstLine="0" w:firstLineChars="0"/>
              <w:jc w:val="center"/>
              <w:rPr>
                <w:sz w:val="21"/>
                <w:szCs w:val="21"/>
              </w:rPr>
            </w:pPr>
          </w:p>
        </w:tc>
        <w:tc>
          <w:tcPr>
            <w:tcW w:w="759" w:type="pct"/>
            <w:vAlign w:val="center"/>
          </w:tcPr>
          <w:p>
            <w:pPr>
              <w:spacing w:line="240" w:lineRule="auto"/>
              <w:ind w:firstLine="0" w:firstLineChars="0"/>
              <w:jc w:val="center"/>
              <w:rPr>
                <w:sz w:val="21"/>
                <w:szCs w:val="21"/>
              </w:rPr>
            </w:pPr>
            <w:r>
              <w:rPr>
                <w:sz w:val="21"/>
                <w:szCs w:val="21"/>
              </w:rPr>
              <w:t>70</w:t>
            </w:r>
          </w:p>
        </w:tc>
        <w:tc>
          <w:tcPr>
            <w:tcW w:w="759" w:type="pct"/>
            <w:vAlign w:val="center"/>
          </w:tcPr>
          <w:p>
            <w:pPr>
              <w:spacing w:line="240" w:lineRule="auto"/>
              <w:ind w:firstLine="0" w:firstLineChars="0"/>
              <w:jc w:val="center"/>
              <w:rPr>
                <w:sz w:val="21"/>
                <w:szCs w:val="21"/>
              </w:rPr>
            </w:pPr>
            <w:r>
              <w:rPr>
                <w:sz w:val="21"/>
                <w:szCs w:val="21"/>
              </w:rPr>
              <w:t>51</w:t>
            </w:r>
          </w:p>
        </w:tc>
        <w:tc>
          <w:tcPr>
            <w:tcW w:w="972" w:type="pct"/>
            <w:vAlign w:val="center"/>
          </w:tcPr>
          <w:p>
            <w:pPr>
              <w:spacing w:line="240" w:lineRule="auto"/>
              <w:ind w:firstLine="0" w:firstLineChars="0"/>
              <w:jc w:val="center"/>
              <w:rPr>
                <w:sz w:val="21"/>
                <w:szCs w:val="21"/>
              </w:rPr>
            </w:pPr>
            <w:r>
              <w:rPr>
                <w:sz w:val="21"/>
                <w:szCs w:val="21"/>
              </w:rPr>
              <w:t>72.9</w:t>
            </w:r>
          </w:p>
        </w:tc>
        <w:tc>
          <w:tcPr>
            <w:tcW w:w="744"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21" w:type="pct"/>
            <w:vAlign w:val="center"/>
          </w:tcPr>
          <w:p>
            <w:pPr>
              <w:spacing w:line="240" w:lineRule="auto"/>
              <w:ind w:firstLine="0" w:firstLineChars="0"/>
              <w:jc w:val="center"/>
              <w:rPr>
                <w:sz w:val="21"/>
                <w:szCs w:val="21"/>
              </w:rPr>
            </w:pPr>
            <w:r>
              <w:rPr>
                <w:sz w:val="21"/>
                <w:szCs w:val="21"/>
              </w:rPr>
              <w:t>PM</w:t>
            </w:r>
            <w:r>
              <w:rPr>
                <w:sz w:val="21"/>
                <w:szCs w:val="21"/>
                <w:vertAlign w:val="subscript"/>
              </w:rPr>
              <w:t>2.5</w:t>
            </w:r>
          </w:p>
        </w:tc>
        <w:tc>
          <w:tcPr>
            <w:tcW w:w="1146" w:type="pct"/>
            <w:vMerge w:val="continue"/>
            <w:vAlign w:val="center"/>
          </w:tcPr>
          <w:p>
            <w:pPr>
              <w:spacing w:line="240" w:lineRule="auto"/>
              <w:ind w:firstLine="0" w:firstLineChars="0"/>
              <w:jc w:val="center"/>
              <w:rPr>
                <w:sz w:val="21"/>
                <w:szCs w:val="21"/>
              </w:rPr>
            </w:pPr>
          </w:p>
        </w:tc>
        <w:tc>
          <w:tcPr>
            <w:tcW w:w="759" w:type="pct"/>
            <w:vAlign w:val="center"/>
          </w:tcPr>
          <w:p>
            <w:pPr>
              <w:spacing w:line="240" w:lineRule="auto"/>
              <w:ind w:firstLine="0" w:firstLineChars="0"/>
              <w:jc w:val="center"/>
              <w:rPr>
                <w:b/>
                <w:sz w:val="21"/>
                <w:szCs w:val="21"/>
              </w:rPr>
            </w:pPr>
            <w:r>
              <w:rPr>
                <w:sz w:val="21"/>
                <w:szCs w:val="21"/>
              </w:rPr>
              <w:t>35</w:t>
            </w:r>
          </w:p>
        </w:tc>
        <w:tc>
          <w:tcPr>
            <w:tcW w:w="759" w:type="pct"/>
            <w:vAlign w:val="center"/>
          </w:tcPr>
          <w:p>
            <w:pPr>
              <w:spacing w:line="240" w:lineRule="auto"/>
              <w:ind w:firstLine="0" w:firstLineChars="0"/>
              <w:jc w:val="center"/>
              <w:rPr>
                <w:b/>
                <w:sz w:val="21"/>
                <w:szCs w:val="21"/>
              </w:rPr>
            </w:pPr>
            <w:r>
              <w:rPr>
                <w:sz w:val="21"/>
                <w:szCs w:val="21"/>
              </w:rPr>
              <w:t>34</w:t>
            </w:r>
          </w:p>
        </w:tc>
        <w:tc>
          <w:tcPr>
            <w:tcW w:w="972" w:type="pct"/>
            <w:vAlign w:val="center"/>
          </w:tcPr>
          <w:p>
            <w:pPr>
              <w:spacing w:line="240" w:lineRule="auto"/>
              <w:ind w:firstLine="0" w:firstLineChars="0"/>
              <w:jc w:val="center"/>
              <w:rPr>
                <w:b/>
                <w:sz w:val="21"/>
                <w:szCs w:val="21"/>
              </w:rPr>
            </w:pPr>
            <w:r>
              <w:rPr>
                <w:sz w:val="21"/>
                <w:szCs w:val="21"/>
              </w:rPr>
              <w:t>97.1</w:t>
            </w:r>
          </w:p>
        </w:tc>
        <w:tc>
          <w:tcPr>
            <w:tcW w:w="744" w:type="pct"/>
            <w:vAlign w:val="center"/>
          </w:tcPr>
          <w:p>
            <w:pPr>
              <w:spacing w:line="240" w:lineRule="auto"/>
              <w:ind w:firstLine="0" w:firstLineChars="0"/>
              <w:jc w:val="center"/>
              <w:rPr>
                <w:b/>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21" w:type="pct"/>
            <w:vAlign w:val="center"/>
          </w:tcPr>
          <w:p>
            <w:pPr>
              <w:spacing w:line="240" w:lineRule="auto"/>
              <w:ind w:firstLine="0" w:firstLineChars="0"/>
              <w:jc w:val="center"/>
              <w:rPr>
                <w:sz w:val="21"/>
                <w:szCs w:val="21"/>
              </w:rPr>
            </w:pPr>
            <w:r>
              <w:rPr>
                <w:sz w:val="21"/>
                <w:szCs w:val="21"/>
              </w:rPr>
              <w:t>CO</w:t>
            </w:r>
          </w:p>
        </w:tc>
        <w:tc>
          <w:tcPr>
            <w:tcW w:w="1146" w:type="pct"/>
            <w:vAlign w:val="center"/>
          </w:tcPr>
          <w:p>
            <w:pPr>
              <w:spacing w:line="240" w:lineRule="auto"/>
              <w:ind w:firstLine="0" w:firstLineChars="0"/>
              <w:jc w:val="center"/>
              <w:rPr>
                <w:sz w:val="21"/>
                <w:szCs w:val="21"/>
              </w:rPr>
            </w:pPr>
            <w:r>
              <w:rPr>
                <w:sz w:val="21"/>
                <w:szCs w:val="21"/>
              </w:rPr>
              <w:t>第95百分位数日均浓度的</w:t>
            </w:r>
          </w:p>
        </w:tc>
        <w:tc>
          <w:tcPr>
            <w:tcW w:w="759" w:type="pct"/>
            <w:vAlign w:val="center"/>
          </w:tcPr>
          <w:p>
            <w:pPr>
              <w:spacing w:line="240" w:lineRule="auto"/>
              <w:ind w:firstLine="0" w:firstLineChars="0"/>
              <w:jc w:val="center"/>
              <w:rPr>
                <w:sz w:val="21"/>
                <w:szCs w:val="21"/>
              </w:rPr>
            </w:pPr>
            <w:r>
              <w:rPr>
                <w:sz w:val="21"/>
                <w:szCs w:val="21"/>
              </w:rPr>
              <w:t>4000</w:t>
            </w:r>
          </w:p>
        </w:tc>
        <w:tc>
          <w:tcPr>
            <w:tcW w:w="759" w:type="pct"/>
            <w:vAlign w:val="center"/>
          </w:tcPr>
          <w:p>
            <w:pPr>
              <w:spacing w:line="240" w:lineRule="auto"/>
              <w:ind w:firstLine="0" w:firstLineChars="0"/>
              <w:jc w:val="center"/>
              <w:rPr>
                <w:sz w:val="21"/>
                <w:szCs w:val="21"/>
              </w:rPr>
            </w:pPr>
            <w:r>
              <w:rPr>
                <w:sz w:val="21"/>
                <w:szCs w:val="21"/>
              </w:rPr>
              <w:t>900</w:t>
            </w:r>
          </w:p>
        </w:tc>
        <w:tc>
          <w:tcPr>
            <w:tcW w:w="972" w:type="pct"/>
            <w:vAlign w:val="center"/>
          </w:tcPr>
          <w:p>
            <w:pPr>
              <w:spacing w:line="240" w:lineRule="auto"/>
              <w:ind w:firstLine="0" w:firstLineChars="0"/>
              <w:jc w:val="center"/>
              <w:rPr>
                <w:sz w:val="21"/>
                <w:szCs w:val="21"/>
              </w:rPr>
            </w:pPr>
            <w:r>
              <w:rPr>
                <w:sz w:val="21"/>
                <w:szCs w:val="21"/>
              </w:rPr>
              <w:t>22.5</w:t>
            </w:r>
          </w:p>
        </w:tc>
        <w:tc>
          <w:tcPr>
            <w:tcW w:w="744"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621" w:type="pct"/>
            <w:vAlign w:val="center"/>
          </w:tcPr>
          <w:p>
            <w:pPr>
              <w:spacing w:line="240" w:lineRule="auto"/>
              <w:ind w:firstLine="0" w:firstLineChars="0"/>
              <w:jc w:val="center"/>
              <w:rPr>
                <w:sz w:val="21"/>
                <w:szCs w:val="21"/>
              </w:rPr>
            </w:pPr>
            <w:r>
              <w:rPr>
                <w:sz w:val="21"/>
                <w:szCs w:val="21"/>
              </w:rPr>
              <w:t>O</w:t>
            </w:r>
            <w:r>
              <w:rPr>
                <w:sz w:val="21"/>
                <w:szCs w:val="21"/>
                <w:vertAlign w:val="subscript"/>
              </w:rPr>
              <w:t>3</w:t>
            </w:r>
          </w:p>
        </w:tc>
        <w:tc>
          <w:tcPr>
            <w:tcW w:w="1146" w:type="pct"/>
            <w:vAlign w:val="center"/>
          </w:tcPr>
          <w:p>
            <w:pPr>
              <w:spacing w:line="240" w:lineRule="auto"/>
              <w:ind w:firstLine="0" w:firstLineChars="0"/>
              <w:jc w:val="center"/>
              <w:rPr>
                <w:sz w:val="21"/>
                <w:szCs w:val="21"/>
              </w:rPr>
            </w:pPr>
            <w:r>
              <w:rPr>
                <w:sz w:val="21"/>
                <w:szCs w:val="21"/>
              </w:rPr>
              <w:t>第90百分位数日最大8h平均浓度</w:t>
            </w:r>
          </w:p>
        </w:tc>
        <w:tc>
          <w:tcPr>
            <w:tcW w:w="759" w:type="pct"/>
            <w:vAlign w:val="center"/>
          </w:tcPr>
          <w:p>
            <w:pPr>
              <w:spacing w:line="240" w:lineRule="auto"/>
              <w:ind w:firstLine="0" w:firstLineChars="0"/>
              <w:jc w:val="center"/>
              <w:rPr>
                <w:sz w:val="21"/>
                <w:szCs w:val="21"/>
              </w:rPr>
            </w:pPr>
            <w:r>
              <w:rPr>
                <w:b/>
                <w:sz w:val="21"/>
                <w:szCs w:val="21"/>
              </w:rPr>
              <w:t>160</w:t>
            </w:r>
          </w:p>
        </w:tc>
        <w:tc>
          <w:tcPr>
            <w:tcW w:w="759" w:type="pct"/>
            <w:vAlign w:val="center"/>
          </w:tcPr>
          <w:p>
            <w:pPr>
              <w:spacing w:line="240" w:lineRule="auto"/>
              <w:ind w:firstLine="0" w:firstLineChars="0"/>
              <w:jc w:val="center"/>
              <w:rPr>
                <w:sz w:val="21"/>
                <w:szCs w:val="21"/>
              </w:rPr>
            </w:pPr>
            <w:r>
              <w:rPr>
                <w:b/>
                <w:sz w:val="21"/>
                <w:szCs w:val="21"/>
              </w:rPr>
              <w:t>164</w:t>
            </w:r>
          </w:p>
        </w:tc>
        <w:tc>
          <w:tcPr>
            <w:tcW w:w="972" w:type="pct"/>
            <w:vAlign w:val="center"/>
          </w:tcPr>
          <w:p>
            <w:pPr>
              <w:spacing w:line="240" w:lineRule="auto"/>
              <w:ind w:firstLine="0" w:firstLineChars="0"/>
              <w:jc w:val="center"/>
              <w:rPr>
                <w:sz w:val="21"/>
                <w:szCs w:val="21"/>
              </w:rPr>
            </w:pPr>
            <w:r>
              <w:rPr>
                <w:b/>
                <w:sz w:val="21"/>
                <w:szCs w:val="21"/>
              </w:rPr>
              <w:t>1.02</w:t>
            </w:r>
          </w:p>
        </w:tc>
        <w:tc>
          <w:tcPr>
            <w:tcW w:w="744" w:type="pct"/>
            <w:vAlign w:val="center"/>
          </w:tcPr>
          <w:p>
            <w:pPr>
              <w:spacing w:line="240" w:lineRule="auto"/>
              <w:ind w:firstLine="0" w:firstLineChars="0"/>
              <w:jc w:val="center"/>
              <w:rPr>
                <w:sz w:val="21"/>
                <w:szCs w:val="21"/>
              </w:rPr>
            </w:pPr>
            <w:r>
              <w:rPr>
                <w:b/>
                <w:sz w:val="21"/>
                <w:szCs w:val="21"/>
              </w:rPr>
              <w:t>超标</w:t>
            </w:r>
          </w:p>
        </w:tc>
      </w:tr>
    </w:tbl>
    <w:p>
      <w:pPr>
        <w:pStyle w:val="300"/>
      </w:pPr>
      <w:r>
        <w:t>由上表可知SO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r>
        <w:t>浓度均满足《环境空气质量标准》（GB3095-2012）中二级标准，O</w:t>
      </w:r>
      <w:r>
        <w:rPr>
          <w:vertAlign w:val="subscript"/>
        </w:rPr>
        <w:t>3</w:t>
      </w:r>
      <w:r>
        <w:t>超过二级浓度限值。根据《环境影响评价技术导则-大气环境》（HJ2.2-2018）相关要求，该区域出现超标指标，为不达标区。</w:t>
      </w:r>
    </w:p>
    <w:p>
      <w:pPr>
        <w:pStyle w:val="300"/>
      </w:pPr>
      <w:r>
        <w:t>合川区已制定区域环境空气质量达标规划，根据《合川区大气环境质量限期达标规划》（发布稿）（2019年12月），主要任务与措施有：提高能源效率，优化能源结构；优化产业布局，推进绿色发展；加大防治力度，控制工业污染；强化监督管理，控制交通污染；提升管理水平，严格控制扬尘；加大治理力度，控制生活污染；加强综合利用，控制农业污染；落实法规制度，增强监管能力；深化区域协作，提升科研支撑；加强宣传教育，推动全民参与。</w:t>
      </w:r>
    </w:p>
    <w:p>
      <w:pPr>
        <w:pStyle w:val="300"/>
      </w:pPr>
      <w:r>
        <w:t>在合川区范围内执行相应的整治措施后，可改善区域环境质量达标情况。</w:t>
      </w:r>
    </w:p>
    <w:p>
      <w:pPr>
        <w:pStyle w:val="6"/>
        <w:numPr>
          <w:ilvl w:val="3"/>
          <w:numId w:val="0"/>
        </w:numPr>
        <w:spacing w:line="360" w:lineRule="auto"/>
      </w:pPr>
      <w:r>
        <w:t>4.3.1.2大气一类功能区环境质量状况</w:t>
      </w:r>
    </w:p>
    <w:p>
      <w:pPr>
        <w:pStyle w:val="300"/>
      </w:pPr>
      <w:r>
        <w:t>本项目位于合川区盐井街道观音村，评价范围内环境空气一类区引用重庆市九升检测技术有限公司监测报告（九升（检）字【2022】第HP02038-1号）对缙北钓风景名胜区一类区的监测数据，监测时间为2022年2月22日~2022年2月28日，满足技术指南要求，引用数据有效。</w:t>
      </w:r>
    </w:p>
    <w:p>
      <w:pPr>
        <w:pStyle w:val="300"/>
      </w:pPr>
    </w:p>
    <w:p>
      <w:pPr>
        <w:pStyle w:val="300"/>
      </w:pPr>
    </w:p>
    <w:p>
      <w:pPr>
        <w:pStyle w:val="84"/>
      </w:pPr>
      <w:r>
        <w:t>表4.3-2  一类区空气质量现状评价表</w:t>
      </w:r>
    </w:p>
    <w:tbl>
      <w:tblPr>
        <w:tblStyle w:val="8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1276"/>
        <w:gridCol w:w="1701"/>
        <w:gridCol w:w="1701"/>
        <w:gridCol w:w="1984"/>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1523"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234"/>
              <w:spacing w:line="240" w:lineRule="auto"/>
              <w:jc w:val="center"/>
              <w:rPr>
                <w:b/>
                <w:bCs/>
                <w:sz w:val="21"/>
                <w:szCs w:val="22"/>
              </w:rPr>
            </w:pPr>
            <w:r>
              <w:rPr>
                <w:b/>
                <w:bCs/>
                <w:sz w:val="21"/>
                <w:szCs w:val="22"/>
              </w:rPr>
              <w:t>污染物</w:t>
            </w:r>
          </w:p>
        </w:tc>
        <w:tc>
          <w:tcPr>
            <w:tcW w:w="1276"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234"/>
              <w:spacing w:line="240" w:lineRule="auto"/>
              <w:jc w:val="center"/>
              <w:rPr>
                <w:b/>
                <w:bCs/>
                <w:sz w:val="21"/>
                <w:szCs w:val="22"/>
              </w:rPr>
            </w:pPr>
            <w:r>
              <w:rPr>
                <w:b/>
                <w:bCs/>
                <w:sz w:val="21"/>
                <w:szCs w:val="22"/>
              </w:rPr>
              <w:t>评价指标</w:t>
            </w:r>
          </w:p>
        </w:tc>
        <w:tc>
          <w:tcPr>
            <w:tcW w:w="170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234"/>
              <w:spacing w:line="240" w:lineRule="auto"/>
              <w:jc w:val="center"/>
              <w:rPr>
                <w:b/>
                <w:bCs/>
                <w:sz w:val="21"/>
                <w:szCs w:val="22"/>
              </w:rPr>
            </w:pPr>
            <w:r>
              <w:rPr>
                <w:b/>
                <w:bCs/>
                <w:sz w:val="21"/>
                <w:szCs w:val="22"/>
              </w:rPr>
              <w:t>现状浓度（μg/m</w:t>
            </w:r>
            <w:r>
              <w:rPr>
                <w:b/>
                <w:bCs/>
                <w:sz w:val="21"/>
                <w:szCs w:val="22"/>
                <w:vertAlign w:val="superscript"/>
              </w:rPr>
              <w:t>3</w:t>
            </w:r>
            <w:r>
              <w:rPr>
                <w:b/>
                <w:bCs/>
                <w:sz w:val="21"/>
                <w:szCs w:val="22"/>
              </w:rPr>
              <w:t>）</w:t>
            </w:r>
          </w:p>
        </w:tc>
        <w:tc>
          <w:tcPr>
            <w:tcW w:w="170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234"/>
              <w:spacing w:line="240" w:lineRule="auto"/>
              <w:jc w:val="center"/>
              <w:rPr>
                <w:b/>
                <w:bCs/>
                <w:sz w:val="21"/>
                <w:szCs w:val="22"/>
              </w:rPr>
            </w:pPr>
            <w:r>
              <w:rPr>
                <w:b/>
                <w:bCs/>
                <w:sz w:val="21"/>
                <w:szCs w:val="22"/>
              </w:rPr>
              <w:t>标准值（μg/m</w:t>
            </w:r>
            <w:r>
              <w:rPr>
                <w:b/>
                <w:bCs/>
                <w:sz w:val="21"/>
                <w:szCs w:val="22"/>
                <w:vertAlign w:val="superscript"/>
              </w:rPr>
              <w:t>3</w:t>
            </w:r>
            <w:r>
              <w:rPr>
                <w:b/>
                <w:bCs/>
                <w:sz w:val="21"/>
                <w:szCs w:val="22"/>
              </w:rPr>
              <w:t>）</w:t>
            </w:r>
          </w:p>
        </w:tc>
        <w:tc>
          <w:tcPr>
            <w:tcW w:w="1984"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234"/>
              <w:spacing w:line="240" w:lineRule="auto"/>
              <w:jc w:val="center"/>
              <w:rPr>
                <w:b/>
                <w:bCs/>
                <w:sz w:val="21"/>
                <w:szCs w:val="22"/>
              </w:rPr>
            </w:pPr>
            <w:r>
              <w:rPr>
                <w:b/>
                <w:bCs/>
                <w:sz w:val="21"/>
                <w:szCs w:val="22"/>
              </w:rPr>
              <w:t>最大占标率（%）</w:t>
            </w:r>
          </w:p>
        </w:tc>
        <w:tc>
          <w:tcPr>
            <w:tcW w:w="1096"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234"/>
              <w:spacing w:line="240" w:lineRule="auto"/>
              <w:jc w:val="center"/>
              <w:rPr>
                <w:b/>
                <w:bCs/>
                <w:sz w:val="21"/>
                <w:szCs w:val="22"/>
              </w:rPr>
            </w:pPr>
            <w:r>
              <w:rPr>
                <w:b/>
                <w:bCs/>
                <w:sz w:val="21"/>
                <w:szCs w:val="22"/>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1"/>
              </w:rPr>
              <w:t>SO</w:t>
            </w:r>
            <w:r>
              <w:rPr>
                <w:sz w:val="21"/>
                <w:szCs w:val="21"/>
                <w:vertAlign w:val="subscript"/>
              </w:rPr>
              <w:t>2</w:t>
            </w:r>
          </w:p>
        </w:tc>
        <w:tc>
          <w:tcPr>
            <w:tcW w:w="1276" w:type="dxa"/>
            <w:vMerge w:val="restart"/>
            <w:tcBorders>
              <w:left w:val="single" w:color="auto" w:sz="4" w:space="0"/>
              <w:right w:val="single" w:color="auto" w:sz="4" w:space="0"/>
            </w:tcBorders>
            <w:vAlign w:val="center"/>
          </w:tcPr>
          <w:p>
            <w:pPr>
              <w:pStyle w:val="234"/>
              <w:spacing w:line="240" w:lineRule="auto"/>
              <w:jc w:val="center"/>
              <w:rPr>
                <w:sz w:val="21"/>
                <w:szCs w:val="22"/>
              </w:rPr>
            </w:pPr>
            <w:r>
              <w:rPr>
                <w:sz w:val="21"/>
                <w:szCs w:val="22"/>
              </w:rPr>
              <w:t>24h平均浓度</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14~16</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50</w:t>
            </w:r>
          </w:p>
        </w:tc>
        <w:tc>
          <w:tcPr>
            <w:tcW w:w="1984"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32</w:t>
            </w:r>
          </w:p>
        </w:tc>
        <w:tc>
          <w:tcPr>
            <w:tcW w:w="1096"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1"/>
              </w:rPr>
              <w:t>NO</w:t>
            </w:r>
            <w:r>
              <w:rPr>
                <w:sz w:val="21"/>
                <w:szCs w:val="21"/>
                <w:vertAlign w:val="subscript"/>
              </w:rPr>
              <w:t>2</w:t>
            </w:r>
          </w:p>
        </w:tc>
        <w:tc>
          <w:tcPr>
            <w:tcW w:w="1276" w:type="dxa"/>
            <w:vMerge w:val="continue"/>
            <w:tcBorders>
              <w:left w:val="single" w:color="auto" w:sz="4" w:space="0"/>
              <w:right w:val="single" w:color="auto" w:sz="4" w:space="0"/>
            </w:tcBorders>
            <w:vAlign w:val="center"/>
          </w:tcPr>
          <w:p>
            <w:pPr>
              <w:pStyle w:val="234"/>
              <w:spacing w:line="240" w:lineRule="auto"/>
              <w:jc w:val="center"/>
              <w:rPr>
                <w:sz w:val="21"/>
                <w:szCs w:val="22"/>
              </w:rPr>
            </w:pP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14~18</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80</w:t>
            </w:r>
          </w:p>
        </w:tc>
        <w:tc>
          <w:tcPr>
            <w:tcW w:w="1984"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22.5</w:t>
            </w:r>
          </w:p>
        </w:tc>
        <w:tc>
          <w:tcPr>
            <w:tcW w:w="1096" w:type="dxa"/>
            <w:tcBorders>
              <w:top w:val="single" w:color="auto" w:sz="4" w:space="0"/>
              <w:left w:val="single" w:color="auto" w:sz="4" w:space="0"/>
              <w:bottom w:val="single" w:color="auto" w:sz="4" w:space="0"/>
              <w:right w:val="single" w:color="auto" w:sz="4" w:space="0"/>
            </w:tcBorders>
          </w:tcPr>
          <w:p>
            <w:pPr>
              <w:pStyle w:val="234"/>
              <w:spacing w:line="240" w:lineRule="auto"/>
              <w:jc w:val="center"/>
              <w:rPr>
                <w:sz w:val="21"/>
                <w:szCs w:val="22"/>
              </w:rPr>
            </w:pPr>
            <w:r>
              <w:rPr>
                <w:sz w:val="21"/>
                <w:szCs w:val="22"/>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1"/>
              </w:rPr>
              <w:t>PM</w:t>
            </w:r>
            <w:r>
              <w:rPr>
                <w:sz w:val="21"/>
                <w:szCs w:val="21"/>
                <w:vertAlign w:val="subscript"/>
              </w:rPr>
              <w:t>10</w:t>
            </w:r>
          </w:p>
        </w:tc>
        <w:tc>
          <w:tcPr>
            <w:tcW w:w="1276" w:type="dxa"/>
            <w:vMerge w:val="continue"/>
            <w:tcBorders>
              <w:left w:val="single" w:color="auto" w:sz="4" w:space="0"/>
              <w:right w:val="single" w:color="auto" w:sz="4" w:space="0"/>
            </w:tcBorders>
            <w:vAlign w:val="center"/>
          </w:tcPr>
          <w:p>
            <w:pPr>
              <w:pStyle w:val="234"/>
              <w:spacing w:line="240" w:lineRule="auto"/>
              <w:jc w:val="center"/>
              <w:rPr>
                <w:sz w:val="21"/>
                <w:szCs w:val="22"/>
              </w:rPr>
            </w:pP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38~43</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50</w:t>
            </w:r>
          </w:p>
        </w:tc>
        <w:tc>
          <w:tcPr>
            <w:tcW w:w="1984"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86.0</w:t>
            </w:r>
          </w:p>
        </w:tc>
        <w:tc>
          <w:tcPr>
            <w:tcW w:w="1096" w:type="dxa"/>
            <w:tcBorders>
              <w:top w:val="single" w:color="auto" w:sz="4" w:space="0"/>
              <w:left w:val="single" w:color="auto" w:sz="4" w:space="0"/>
              <w:bottom w:val="single" w:color="auto" w:sz="4" w:space="0"/>
              <w:right w:val="single" w:color="auto" w:sz="4" w:space="0"/>
            </w:tcBorders>
          </w:tcPr>
          <w:p>
            <w:pPr>
              <w:pStyle w:val="234"/>
              <w:spacing w:line="240" w:lineRule="auto"/>
              <w:jc w:val="center"/>
              <w:rPr>
                <w:sz w:val="21"/>
                <w:szCs w:val="22"/>
              </w:rPr>
            </w:pPr>
            <w:r>
              <w:rPr>
                <w:sz w:val="21"/>
                <w:szCs w:val="22"/>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1"/>
              </w:rPr>
              <w:t>PM</w:t>
            </w:r>
            <w:r>
              <w:rPr>
                <w:sz w:val="21"/>
                <w:szCs w:val="21"/>
                <w:vertAlign w:val="subscript"/>
              </w:rPr>
              <w:t>2.5</w:t>
            </w:r>
          </w:p>
        </w:tc>
        <w:tc>
          <w:tcPr>
            <w:tcW w:w="1276" w:type="dxa"/>
            <w:vMerge w:val="continue"/>
            <w:tcBorders>
              <w:left w:val="single" w:color="auto" w:sz="4" w:space="0"/>
              <w:right w:val="single" w:color="auto" w:sz="4" w:space="0"/>
            </w:tcBorders>
            <w:vAlign w:val="center"/>
          </w:tcPr>
          <w:p>
            <w:pPr>
              <w:pStyle w:val="234"/>
              <w:spacing w:line="240" w:lineRule="auto"/>
              <w:jc w:val="center"/>
              <w:rPr>
                <w:sz w:val="21"/>
                <w:szCs w:val="22"/>
              </w:rPr>
            </w:pP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22~26</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35</w:t>
            </w:r>
          </w:p>
        </w:tc>
        <w:tc>
          <w:tcPr>
            <w:tcW w:w="1984"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74.3</w:t>
            </w:r>
          </w:p>
        </w:tc>
        <w:tc>
          <w:tcPr>
            <w:tcW w:w="1096" w:type="dxa"/>
            <w:tcBorders>
              <w:top w:val="single" w:color="auto" w:sz="4" w:space="0"/>
              <w:left w:val="single" w:color="auto" w:sz="4" w:space="0"/>
              <w:bottom w:val="single" w:color="auto" w:sz="4" w:space="0"/>
              <w:right w:val="single" w:color="auto" w:sz="4" w:space="0"/>
            </w:tcBorders>
          </w:tcPr>
          <w:p>
            <w:pPr>
              <w:pStyle w:val="234"/>
              <w:spacing w:line="240" w:lineRule="auto"/>
              <w:jc w:val="center"/>
              <w:rPr>
                <w:sz w:val="21"/>
                <w:szCs w:val="22"/>
              </w:rPr>
            </w:pPr>
            <w:r>
              <w:rPr>
                <w:sz w:val="21"/>
                <w:szCs w:val="22"/>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1"/>
              </w:rPr>
              <w:t>CO（mg/m</w:t>
            </w:r>
            <w:r>
              <w:rPr>
                <w:sz w:val="21"/>
                <w:szCs w:val="21"/>
                <w:vertAlign w:val="superscript"/>
              </w:rPr>
              <w:t>3</w:t>
            </w:r>
            <w:r>
              <w:rPr>
                <w:sz w:val="21"/>
                <w:szCs w:val="21"/>
              </w:rPr>
              <w:t>）</w:t>
            </w:r>
          </w:p>
        </w:tc>
        <w:tc>
          <w:tcPr>
            <w:tcW w:w="1276" w:type="dxa"/>
            <w:vMerge w:val="continue"/>
            <w:tcBorders>
              <w:left w:val="single" w:color="auto" w:sz="4" w:space="0"/>
              <w:right w:val="single" w:color="auto" w:sz="4" w:space="0"/>
            </w:tcBorders>
            <w:vAlign w:val="center"/>
          </w:tcPr>
          <w:p>
            <w:pPr>
              <w:pStyle w:val="234"/>
              <w:spacing w:line="240" w:lineRule="auto"/>
              <w:jc w:val="center"/>
              <w:rPr>
                <w:sz w:val="21"/>
                <w:szCs w:val="22"/>
              </w:rPr>
            </w:pP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0.3~0.7</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4</w:t>
            </w:r>
          </w:p>
        </w:tc>
        <w:tc>
          <w:tcPr>
            <w:tcW w:w="1984"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17.5</w:t>
            </w:r>
          </w:p>
        </w:tc>
        <w:tc>
          <w:tcPr>
            <w:tcW w:w="1096" w:type="dxa"/>
            <w:tcBorders>
              <w:top w:val="single" w:color="auto" w:sz="4" w:space="0"/>
              <w:left w:val="single" w:color="auto" w:sz="4" w:space="0"/>
              <w:bottom w:val="single" w:color="auto" w:sz="4" w:space="0"/>
              <w:right w:val="single" w:color="auto" w:sz="4" w:space="0"/>
            </w:tcBorders>
          </w:tcPr>
          <w:p>
            <w:pPr>
              <w:pStyle w:val="234"/>
              <w:spacing w:line="240" w:lineRule="auto"/>
              <w:jc w:val="center"/>
              <w:rPr>
                <w:sz w:val="21"/>
                <w:szCs w:val="22"/>
              </w:rPr>
            </w:pPr>
            <w:r>
              <w:rPr>
                <w:sz w:val="21"/>
                <w:szCs w:val="22"/>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1"/>
              </w:rPr>
              <w:t>O</w:t>
            </w:r>
            <w:r>
              <w:rPr>
                <w:sz w:val="21"/>
                <w:szCs w:val="21"/>
                <w:vertAlign w:val="subscript"/>
              </w:rPr>
              <w:t>3</w:t>
            </w:r>
          </w:p>
        </w:tc>
        <w:tc>
          <w:tcPr>
            <w:tcW w:w="1276" w:type="dxa"/>
            <w:vMerge w:val="continue"/>
            <w:tcBorders>
              <w:left w:val="single" w:color="auto" w:sz="4" w:space="0"/>
              <w:right w:val="single" w:color="auto" w:sz="4" w:space="0"/>
            </w:tcBorders>
            <w:vAlign w:val="center"/>
          </w:tcPr>
          <w:p>
            <w:pPr>
              <w:pStyle w:val="234"/>
              <w:spacing w:line="240" w:lineRule="auto"/>
              <w:jc w:val="center"/>
              <w:rPr>
                <w:sz w:val="21"/>
                <w:szCs w:val="22"/>
              </w:rPr>
            </w:pP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30~39</w:t>
            </w:r>
          </w:p>
        </w:tc>
        <w:tc>
          <w:tcPr>
            <w:tcW w:w="1701"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160</w:t>
            </w:r>
          </w:p>
        </w:tc>
        <w:tc>
          <w:tcPr>
            <w:tcW w:w="1984" w:type="dxa"/>
            <w:tcBorders>
              <w:top w:val="single" w:color="auto" w:sz="4" w:space="0"/>
              <w:left w:val="single" w:color="auto" w:sz="4" w:space="0"/>
              <w:bottom w:val="single" w:color="auto" w:sz="4" w:space="0"/>
              <w:right w:val="single" w:color="auto" w:sz="4" w:space="0"/>
            </w:tcBorders>
            <w:vAlign w:val="center"/>
          </w:tcPr>
          <w:p>
            <w:pPr>
              <w:pStyle w:val="234"/>
              <w:spacing w:line="240" w:lineRule="auto"/>
              <w:jc w:val="center"/>
              <w:rPr>
                <w:sz w:val="21"/>
                <w:szCs w:val="22"/>
              </w:rPr>
            </w:pPr>
            <w:r>
              <w:rPr>
                <w:sz w:val="21"/>
                <w:szCs w:val="22"/>
              </w:rPr>
              <w:t>24.4</w:t>
            </w:r>
          </w:p>
        </w:tc>
        <w:tc>
          <w:tcPr>
            <w:tcW w:w="1096" w:type="dxa"/>
            <w:tcBorders>
              <w:top w:val="single" w:color="auto" w:sz="4" w:space="0"/>
              <w:left w:val="single" w:color="auto" w:sz="4" w:space="0"/>
              <w:bottom w:val="single" w:color="auto" w:sz="4" w:space="0"/>
              <w:right w:val="single" w:color="auto" w:sz="4" w:space="0"/>
            </w:tcBorders>
          </w:tcPr>
          <w:p>
            <w:pPr>
              <w:pStyle w:val="234"/>
              <w:spacing w:line="240" w:lineRule="auto"/>
              <w:jc w:val="center"/>
              <w:rPr>
                <w:sz w:val="21"/>
                <w:szCs w:val="22"/>
              </w:rPr>
            </w:pPr>
            <w:r>
              <w:rPr>
                <w:sz w:val="21"/>
                <w:szCs w:val="22"/>
              </w:rPr>
              <w:t>达标</w:t>
            </w:r>
          </w:p>
        </w:tc>
      </w:tr>
    </w:tbl>
    <w:p>
      <w:pPr>
        <w:spacing w:line="360" w:lineRule="auto"/>
        <w:ind w:firstLine="480"/>
        <w:jc w:val="both"/>
        <w:rPr>
          <w:sz w:val="24"/>
          <w:szCs w:val="24"/>
        </w:rPr>
      </w:pPr>
      <w:r>
        <w:rPr>
          <w:sz w:val="24"/>
          <w:szCs w:val="24"/>
        </w:rPr>
        <w:t>环境空气一类区中SO</w:t>
      </w:r>
      <w:r>
        <w:rPr>
          <w:sz w:val="24"/>
          <w:szCs w:val="24"/>
          <w:vertAlign w:val="subscript"/>
        </w:rPr>
        <w:t>2</w:t>
      </w:r>
      <w:r>
        <w:rPr>
          <w:sz w:val="24"/>
          <w:szCs w:val="24"/>
        </w:rPr>
        <w:t>、NO</w:t>
      </w:r>
      <w:r>
        <w:rPr>
          <w:sz w:val="24"/>
          <w:szCs w:val="24"/>
          <w:vertAlign w:val="subscript"/>
        </w:rPr>
        <w:t>2</w:t>
      </w:r>
      <w:r>
        <w:rPr>
          <w:sz w:val="24"/>
          <w:szCs w:val="24"/>
        </w:rPr>
        <w:t>、PM</w:t>
      </w:r>
      <w:r>
        <w:rPr>
          <w:sz w:val="24"/>
          <w:szCs w:val="24"/>
          <w:vertAlign w:val="subscript"/>
        </w:rPr>
        <w:t>10</w:t>
      </w:r>
      <w:r>
        <w:rPr>
          <w:sz w:val="24"/>
          <w:szCs w:val="24"/>
        </w:rPr>
        <w:t>、PM</w:t>
      </w:r>
      <w:r>
        <w:rPr>
          <w:sz w:val="24"/>
          <w:szCs w:val="24"/>
          <w:vertAlign w:val="subscript"/>
        </w:rPr>
        <w:t>2.5</w:t>
      </w:r>
      <w:r>
        <w:rPr>
          <w:sz w:val="24"/>
          <w:szCs w:val="24"/>
        </w:rPr>
        <w:t>、CO、O</w:t>
      </w:r>
      <w:r>
        <w:rPr>
          <w:sz w:val="24"/>
          <w:szCs w:val="24"/>
          <w:vertAlign w:val="subscript"/>
        </w:rPr>
        <w:t>3</w:t>
      </w:r>
      <w:r>
        <w:rPr>
          <w:sz w:val="24"/>
          <w:szCs w:val="24"/>
        </w:rPr>
        <w:t>满足《环境空气质量标准》（GB3095-2012）24小时平均值。</w:t>
      </w:r>
    </w:p>
    <w:p>
      <w:pPr>
        <w:pStyle w:val="6"/>
        <w:numPr>
          <w:ilvl w:val="3"/>
          <w:numId w:val="0"/>
        </w:numPr>
      </w:pPr>
      <w:r>
        <w:t>4.3.1.3其他污染物环境质量现状</w:t>
      </w:r>
    </w:p>
    <w:p>
      <w:pPr>
        <w:pStyle w:val="300"/>
      </w:pPr>
      <w:r>
        <w:t>本项目委托国环绿洲（重庆）环境科技有限公司于2024年2月20日~26日对本项目区域环境空气进行监测。</w:t>
      </w:r>
    </w:p>
    <w:p>
      <w:pPr>
        <w:pStyle w:val="300"/>
      </w:pPr>
      <w:r>
        <w:t>（1）监测基本情况</w:t>
      </w:r>
    </w:p>
    <w:p>
      <w:pPr>
        <w:pStyle w:val="84"/>
      </w:pPr>
      <w:r>
        <w:t>表4.3-3  空气环境质量补充监测基本情况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95"/>
        <w:gridCol w:w="2043"/>
        <w:gridCol w:w="993"/>
        <w:gridCol w:w="2111"/>
        <w:gridCol w:w="3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3" w:hRule="atLeast"/>
          <w:jc w:val="center"/>
        </w:trPr>
        <w:tc>
          <w:tcPr>
            <w:tcW w:w="43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编号</w:t>
            </w:r>
          </w:p>
        </w:tc>
        <w:tc>
          <w:tcPr>
            <w:tcW w:w="112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监测点位位置</w:t>
            </w:r>
          </w:p>
        </w:tc>
        <w:tc>
          <w:tcPr>
            <w:tcW w:w="54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监测因子</w:t>
            </w:r>
          </w:p>
        </w:tc>
        <w:tc>
          <w:tcPr>
            <w:tcW w:w="116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监测频次</w:t>
            </w:r>
          </w:p>
        </w:tc>
        <w:tc>
          <w:tcPr>
            <w:tcW w:w="172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8" w:hRule="atLeast"/>
          <w:jc w:val="center"/>
        </w:trPr>
        <w:tc>
          <w:tcPr>
            <w:tcW w:w="438" w:type="pct"/>
            <w:vAlign w:val="center"/>
          </w:tcPr>
          <w:p>
            <w:pPr>
              <w:spacing w:line="240" w:lineRule="auto"/>
              <w:ind w:firstLine="0" w:firstLineChars="0"/>
              <w:jc w:val="center"/>
              <w:rPr>
                <w:sz w:val="21"/>
                <w:szCs w:val="21"/>
              </w:rPr>
            </w:pPr>
            <w:r>
              <w:rPr>
                <w:sz w:val="21"/>
                <w:szCs w:val="21"/>
              </w:rPr>
              <w:t>1</w:t>
            </w:r>
          </w:p>
        </w:tc>
        <w:tc>
          <w:tcPr>
            <w:tcW w:w="1125" w:type="pct"/>
            <w:vAlign w:val="center"/>
          </w:tcPr>
          <w:p>
            <w:pPr>
              <w:spacing w:line="240" w:lineRule="auto"/>
              <w:ind w:firstLine="0" w:firstLineChars="0"/>
              <w:jc w:val="center"/>
              <w:rPr>
                <w:sz w:val="21"/>
                <w:szCs w:val="21"/>
              </w:rPr>
            </w:pPr>
            <w:r>
              <w:rPr>
                <w:sz w:val="21"/>
                <w:szCs w:val="21"/>
              </w:rPr>
              <w:t>项目所在地上风向</w:t>
            </w:r>
          </w:p>
        </w:tc>
        <w:tc>
          <w:tcPr>
            <w:tcW w:w="547" w:type="pct"/>
            <w:vAlign w:val="center"/>
          </w:tcPr>
          <w:p>
            <w:pPr>
              <w:spacing w:line="240" w:lineRule="auto"/>
              <w:ind w:firstLine="0" w:firstLineChars="0"/>
              <w:jc w:val="center"/>
              <w:rPr>
                <w:sz w:val="21"/>
                <w:szCs w:val="21"/>
              </w:rPr>
            </w:pPr>
            <w:r>
              <w:rPr>
                <w:sz w:val="21"/>
                <w:szCs w:val="21"/>
              </w:rPr>
              <w:t>TSP</w:t>
            </w:r>
          </w:p>
        </w:tc>
        <w:tc>
          <w:tcPr>
            <w:tcW w:w="1162" w:type="pct"/>
            <w:vAlign w:val="center"/>
          </w:tcPr>
          <w:p>
            <w:pPr>
              <w:spacing w:line="240" w:lineRule="auto"/>
              <w:ind w:firstLine="0" w:firstLineChars="0"/>
              <w:jc w:val="center"/>
              <w:rPr>
                <w:sz w:val="21"/>
                <w:szCs w:val="21"/>
              </w:rPr>
            </w:pPr>
            <w:r>
              <w:rPr>
                <w:sz w:val="21"/>
                <w:szCs w:val="21"/>
              </w:rPr>
              <w:t>监测7天，24h平均值</w:t>
            </w:r>
          </w:p>
        </w:tc>
        <w:tc>
          <w:tcPr>
            <w:tcW w:w="1728" w:type="pct"/>
            <w:vAlign w:val="center"/>
          </w:tcPr>
          <w:p>
            <w:pPr>
              <w:spacing w:line="240" w:lineRule="auto"/>
              <w:ind w:firstLine="0" w:firstLineChars="0"/>
              <w:jc w:val="center"/>
              <w:rPr>
                <w:sz w:val="21"/>
                <w:szCs w:val="21"/>
              </w:rPr>
            </w:pPr>
            <w:r>
              <w:rPr>
                <w:sz w:val="21"/>
                <w:szCs w:val="21"/>
              </w:rPr>
              <w:t>环境空气质量标准（GB3095-2012）一级标准</w:t>
            </w:r>
          </w:p>
        </w:tc>
      </w:tr>
    </w:tbl>
    <w:p>
      <w:pPr>
        <w:ind w:firstLine="520"/>
        <w:rPr>
          <w:sz w:val="24"/>
          <w:szCs w:val="24"/>
        </w:rPr>
      </w:pPr>
      <w:bookmarkStart w:id="148" w:name="_Toc27463"/>
      <w:bookmarkStart w:id="149" w:name="_Toc28563"/>
      <w:bookmarkStart w:id="150" w:name="_Toc24450"/>
      <w:bookmarkStart w:id="151" w:name="_Toc15399"/>
      <w:bookmarkStart w:id="152" w:name="_Toc17091"/>
      <w:bookmarkStart w:id="153" w:name="_Toc30016"/>
      <w:bookmarkStart w:id="154" w:name="_Toc119095811"/>
      <w:r>
        <w:t>（</w:t>
      </w:r>
      <w:r>
        <w:rPr>
          <w:sz w:val="24"/>
          <w:szCs w:val="24"/>
        </w:rPr>
        <w:t>2）监测时间和分析方法</w:t>
      </w:r>
      <w:bookmarkEnd w:id="148"/>
      <w:bookmarkEnd w:id="149"/>
      <w:bookmarkEnd w:id="150"/>
      <w:bookmarkEnd w:id="151"/>
      <w:bookmarkEnd w:id="152"/>
      <w:bookmarkEnd w:id="153"/>
      <w:bookmarkEnd w:id="154"/>
    </w:p>
    <w:p>
      <w:pPr>
        <w:ind w:firstLine="520"/>
        <w:rPr>
          <w:sz w:val="24"/>
          <w:szCs w:val="24"/>
        </w:rPr>
      </w:pPr>
      <w:r>
        <w:rPr>
          <w:szCs w:val="24"/>
        </w:rPr>
        <w:t>2024年2月20日~26日</w:t>
      </w:r>
      <w:r>
        <w:rPr>
          <w:sz w:val="24"/>
          <w:szCs w:val="24"/>
        </w:rPr>
        <w:t>。监测和分析方法按照国家生态环境部发布相关规定和标准执行。</w:t>
      </w:r>
    </w:p>
    <w:p>
      <w:pPr>
        <w:ind w:firstLine="520"/>
        <w:rPr>
          <w:sz w:val="24"/>
          <w:szCs w:val="24"/>
        </w:rPr>
      </w:pPr>
      <w:r>
        <w:t>（</w:t>
      </w:r>
      <w:r>
        <w:rPr>
          <w:sz w:val="24"/>
          <w:szCs w:val="24"/>
        </w:rPr>
        <w:t>3）执行标准</w:t>
      </w:r>
    </w:p>
    <w:p>
      <w:pPr>
        <w:ind w:firstLine="480"/>
        <w:rPr>
          <w:sz w:val="24"/>
          <w:szCs w:val="24"/>
        </w:rPr>
      </w:pPr>
      <w:r>
        <w:rPr>
          <w:snapToGrid w:val="0"/>
          <w:sz w:val="24"/>
          <w:szCs w:val="24"/>
        </w:rPr>
        <w:t>TSP执行《环境空气质量标准》（GB3095-2012）</w:t>
      </w:r>
      <w:r>
        <w:rPr>
          <w:sz w:val="24"/>
          <w:szCs w:val="24"/>
        </w:rPr>
        <w:t>一级标准。</w:t>
      </w:r>
    </w:p>
    <w:p>
      <w:pPr>
        <w:ind w:firstLine="520"/>
        <w:rPr>
          <w:sz w:val="24"/>
          <w:szCs w:val="24"/>
        </w:rPr>
      </w:pPr>
      <w:bookmarkStart w:id="155" w:name="_Toc446"/>
      <w:bookmarkStart w:id="156" w:name="_Toc24212"/>
      <w:bookmarkStart w:id="157" w:name="_Toc23176"/>
      <w:bookmarkStart w:id="158" w:name="_Toc21855"/>
      <w:bookmarkStart w:id="159" w:name="_Toc787"/>
      <w:bookmarkStart w:id="160" w:name="_Toc6225"/>
      <w:bookmarkStart w:id="161" w:name="_Toc119095812"/>
      <w:r>
        <w:t>（</w:t>
      </w:r>
      <w:r>
        <w:rPr>
          <w:sz w:val="24"/>
          <w:szCs w:val="24"/>
        </w:rPr>
        <w:t>4）评价方法</w:t>
      </w:r>
      <w:bookmarkEnd w:id="155"/>
      <w:bookmarkEnd w:id="156"/>
      <w:bookmarkEnd w:id="157"/>
      <w:bookmarkEnd w:id="158"/>
      <w:bookmarkEnd w:id="159"/>
      <w:bookmarkEnd w:id="160"/>
      <w:bookmarkEnd w:id="161"/>
    </w:p>
    <w:p>
      <w:pPr>
        <w:ind w:firstLine="480"/>
        <w:rPr>
          <w:sz w:val="24"/>
          <w:szCs w:val="24"/>
        </w:rPr>
      </w:pPr>
      <w:r>
        <w:rPr>
          <w:sz w:val="24"/>
          <w:szCs w:val="24"/>
        </w:rPr>
        <w:t>采用最大地面浓度占标率对环境空气质量进行现状评价。其计算公式为：</w:t>
      </w:r>
    </w:p>
    <w:p>
      <w:pPr>
        <w:pStyle w:val="300"/>
        <w:jc w:val="center"/>
      </w:pPr>
      <w:bookmarkStart w:id="162" w:name="_Toc20556"/>
      <w:bookmarkStart w:id="163" w:name="_Toc23547"/>
      <w:bookmarkStart w:id="164" w:name="_Toc119095813"/>
      <w:bookmarkStart w:id="165" w:name="_Toc25838"/>
      <w:bookmarkStart w:id="166" w:name="_Toc86394789"/>
      <w:r>
        <w:t>P</w:t>
      </w:r>
      <w:r>
        <w:rPr>
          <w:vertAlign w:val="subscript"/>
        </w:rPr>
        <w:t>i</w:t>
      </w:r>
      <w:r>
        <w:t>=C</w:t>
      </w:r>
      <w:r>
        <w:rPr>
          <w:vertAlign w:val="subscript"/>
        </w:rPr>
        <w:t>i</w:t>
      </w:r>
      <w:r>
        <w:t>/C</w:t>
      </w:r>
      <w:r>
        <w:rPr>
          <w:vertAlign w:val="subscript"/>
        </w:rPr>
        <w:t>oi</w:t>
      </w:r>
      <w:r>
        <w:t>×100%</w:t>
      </w:r>
      <w:bookmarkEnd w:id="162"/>
      <w:bookmarkEnd w:id="163"/>
      <w:bookmarkEnd w:id="164"/>
      <w:bookmarkEnd w:id="165"/>
      <w:bookmarkEnd w:id="166"/>
    </w:p>
    <w:p>
      <w:pPr>
        <w:ind w:firstLine="480"/>
        <w:rPr>
          <w:sz w:val="24"/>
          <w:szCs w:val="24"/>
        </w:rPr>
      </w:pPr>
      <w:r>
        <w:rPr>
          <w:sz w:val="24"/>
          <w:szCs w:val="24"/>
        </w:rPr>
        <w:t>式中：Pi—最大地面浓度占标率，%；</w:t>
      </w:r>
    </w:p>
    <w:p>
      <w:pPr>
        <w:ind w:firstLine="1200" w:firstLineChars="500"/>
        <w:rPr>
          <w:sz w:val="24"/>
          <w:szCs w:val="24"/>
        </w:rPr>
      </w:pPr>
      <w:r>
        <w:rPr>
          <w:sz w:val="24"/>
          <w:szCs w:val="24"/>
        </w:rPr>
        <w:t>Ci—污染物最大地面浓度，mg/m³；</w:t>
      </w:r>
    </w:p>
    <w:p>
      <w:pPr>
        <w:ind w:firstLine="1200" w:firstLineChars="500"/>
        <w:rPr>
          <w:sz w:val="24"/>
          <w:szCs w:val="24"/>
        </w:rPr>
      </w:pPr>
      <w:r>
        <w:rPr>
          <w:sz w:val="24"/>
          <w:szCs w:val="24"/>
        </w:rPr>
        <w:t>Coi—环境空气质量标准，mg/m³。</w:t>
      </w:r>
    </w:p>
    <w:p>
      <w:pPr>
        <w:ind w:firstLine="520"/>
        <w:rPr>
          <w:sz w:val="24"/>
          <w:szCs w:val="24"/>
        </w:rPr>
      </w:pPr>
      <w:bookmarkStart w:id="167" w:name="_Toc16361"/>
      <w:bookmarkStart w:id="168" w:name="_Toc20176"/>
      <w:bookmarkStart w:id="169" w:name="_Toc14596"/>
      <w:bookmarkStart w:id="170" w:name="_Toc19677"/>
      <w:bookmarkStart w:id="171" w:name="_Toc13362"/>
      <w:bookmarkStart w:id="172" w:name="_Toc119095814"/>
      <w:bookmarkStart w:id="173" w:name="_Toc18274"/>
      <w:r>
        <w:t>（</w:t>
      </w:r>
      <w:r>
        <w:rPr>
          <w:sz w:val="24"/>
          <w:szCs w:val="24"/>
        </w:rPr>
        <w:t>5）监测结果与评价结果分析</w:t>
      </w:r>
      <w:bookmarkEnd w:id="167"/>
      <w:bookmarkEnd w:id="168"/>
      <w:bookmarkEnd w:id="169"/>
      <w:bookmarkEnd w:id="170"/>
      <w:bookmarkEnd w:id="171"/>
      <w:bookmarkEnd w:id="172"/>
      <w:bookmarkEnd w:id="173"/>
    </w:p>
    <w:p>
      <w:pPr>
        <w:ind w:firstLine="480"/>
        <w:rPr>
          <w:sz w:val="24"/>
          <w:szCs w:val="24"/>
        </w:rPr>
      </w:pPr>
      <w:r>
        <w:rPr>
          <w:sz w:val="24"/>
          <w:szCs w:val="24"/>
        </w:rPr>
        <w:t>环境空气质量监测结果统计及评价结果分析见下表。</w:t>
      </w:r>
    </w:p>
    <w:p>
      <w:pPr>
        <w:pStyle w:val="84"/>
      </w:pPr>
      <w:r>
        <w:t>表4.3-4  其他污染物环境质量现状监测结果表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439"/>
        <w:gridCol w:w="860"/>
        <w:gridCol w:w="1060"/>
        <w:gridCol w:w="975"/>
        <w:gridCol w:w="1213"/>
        <w:gridCol w:w="1083"/>
        <w:gridCol w:w="1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采样日期</w:t>
            </w:r>
          </w:p>
        </w:tc>
        <w:tc>
          <w:tcPr>
            <w:tcW w:w="78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检测点位</w:t>
            </w:r>
          </w:p>
        </w:tc>
        <w:tc>
          <w:tcPr>
            <w:tcW w:w="47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监测因子</w:t>
            </w:r>
          </w:p>
        </w:tc>
        <w:tc>
          <w:tcPr>
            <w:tcW w:w="52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检测结果</w:t>
            </w:r>
          </w:p>
        </w:tc>
        <w:tc>
          <w:tcPr>
            <w:tcW w:w="53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评价标准</w:t>
            </w:r>
          </w:p>
        </w:tc>
        <w:tc>
          <w:tcPr>
            <w:tcW w:w="66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最大浓度占标率</w:t>
            </w:r>
          </w:p>
        </w:tc>
        <w:tc>
          <w:tcPr>
            <w:tcW w:w="59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超标率/%</w:t>
            </w:r>
          </w:p>
        </w:tc>
        <w:tc>
          <w:tcPr>
            <w:tcW w:w="58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jc w:val="center"/>
        </w:trPr>
        <w:tc>
          <w:tcPr>
            <w:tcW w:w="858" w:type="pct"/>
            <w:vAlign w:val="center"/>
          </w:tcPr>
          <w:p>
            <w:pPr>
              <w:spacing w:line="240" w:lineRule="auto"/>
              <w:ind w:firstLine="0" w:firstLineChars="0"/>
              <w:jc w:val="center"/>
              <w:rPr>
                <w:sz w:val="21"/>
                <w:szCs w:val="21"/>
              </w:rPr>
            </w:pPr>
            <w:r>
              <w:rPr>
                <w:sz w:val="21"/>
                <w:szCs w:val="21"/>
              </w:rPr>
              <w:t>2024年2月20日~26日</w:t>
            </w:r>
          </w:p>
        </w:tc>
        <w:tc>
          <w:tcPr>
            <w:tcW w:w="782" w:type="pct"/>
            <w:vAlign w:val="center"/>
          </w:tcPr>
          <w:p>
            <w:pPr>
              <w:spacing w:line="240" w:lineRule="auto"/>
              <w:ind w:firstLine="0" w:firstLineChars="0"/>
              <w:jc w:val="center"/>
              <w:rPr>
                <w:sz w:val="21"/>
                <w:szCs w:val="21"/>
              </w:rPr>
            </w:pPr>
            <w:r>
              <w:rPr>
                <w:sz w:val="21"/>
                <w:szCs w:val="21"/>
              </w:rPr>
              <w:t>项目所在地上风向</w:t>
            </w:r>
          </w:p>
        </w:tc>
        <w:tc>
          <w:tcPr>
            <w:tcW w:w="470" w:type="pct"/>
            <w:vAlign w:val="center"/>
          </w:tcPr>
          <w:p>
            <w:pPr>
              <w:spacing w:line="240" w:lineRule="auto"/>
              <w:ind w:firstLine="0" w:firstLineChars="0"/>
              <w:jc w:val="center"/>
              <w:rPr>
                <w:sz w:val="21"/>
                <w:szCs w:val="21"/>
              </w:rPr>
            </w:pPr>
            <w:r>
              <w:rPr>
                <w:sz w:val="21"/>
                <w:szCs w:val="21"/>
              </w:rPr>
              <w:t>TSP</w:t>
            </w:r>
          </w:p>
        </w:tc>
        <w:tc>
          <w:tcPr>
            <w:tcW w:w="521" w:type="pct"/>
            <w:vAlign w:val="center"/>
          </w:tcPr>
          <w:p>
            <w:pPr>
              <w:spacing w:line="240" w:lineRule="auto"/>
              <w:ind w:firstLine="0" w:firstLineChars="0"/>
              <w:jc w:val="center"/>
              <w:rPr>
                <w:sz w:val="21"/>
                <w:szCs w:val="21"/>
              </w:rPr>
            </w:pPr>
            <w:r>
              <w:rPr>
                <w:sz w:val="21"/>
                <w:szCs w:val="21"/>
              </w:rPr>
              <w:t>86~102</w:t>
            </w:r>
          </w:p>
        </w:tc>
        <w:tc>
          <w:tcPr>
            <w:tcW w:w="532" w:type="pct"/>
            <w:vAlign w:val="center"/>
          </w:tcPr>
          <w:p>
            <w:pPr>
              <w:spacing w:line="240" w:lineRule="auto"/>
              <w:ind w:firstLine="0" w:firstLineChars="0"/>
              <w:jc w:val="center"/>
              <w:rPr>
                <w:sz w:val="21"/>
                <w:szCs w:val="21"/>
              </w:rPr>
            </w:pPr>
            <w:r>
              <w:rPr>
                <w:sz w:val="21"/>
                <w:szCs w:val="21"/>
              </w:rPr>
              <w:t>120</w:t>
            </w:r>
          </w:p>
        </w:tc>
        <w:tc>
          <w:tcPr>
            <w:tcW w:w="660" w:type="pct"/>
            <w:vAlign w:val="center"/>
          </w:tcPr>
          <w:p>
            <w:pPr>
              <w:spacing w:line="240" w:lineRule="auto"/>
              <w:ind w:firstLine="0" w:firstLineChars="0"/>
              <w:jc w:val="center"/>
              <w:rPr>
                <w:sz w:val="21"/>
                <w:szCs w:val="21"/>
              </w:rPr>
            </w:pPr>
            <w:r>
              <w:rPr>
                <w:sz w:val="21"/>
                <w:szCs w:val="21"/>
              </w:rPr>
              <w:t>85%</w:t>
            </w:r>
          </w:p>
        </w:tc>
        <w:tc>
          <w:tcPr>
            <w:tcW w:w="590" w:type="pct"/>
            <w:vAlign w:val="center"/>
          </w:tcPr>
          <w:p>
            <w:pPr>
              <w:spacing w:line="240" w:lineRule="auto"/>
              <w:ind w:firstLine="0" w:firstLineChars="0"/>
              <w:jc w:val="center"/>
              <w:rPr>
                <w:sz w:val="21"/>
                <w:szCs w:val="21"/>
              </w:rPr>
            </w:pPr>
            <w:r>
              <w:rPr>
                <w:sz w:val="21"/>
                <w:szCs w:val="21"/>
              </w:rPr>
              <w:t>0</w:t>
            </w:r>
          </w:p>
        </w:tc>
        <w:tc>
          <w:tcPr>
            <w:tcW w:w="587" w:type="pct"/>
            <w:vAlign w:val="center"/>
          </w:tcPr>
          <w:p>
            <w:pPr>
              <w:spacing w:line="240" w:lineRule="auto"/>
              <w:ind w:firstLine="0" w:firstLineChars="0"/>
              <w:jc w:val="center"/>
              <w:rPr>
                <w:sz w:val="21"/>
                <w:szCs w:val="21"/>
              </w:rPr>
            </w:pPr>
            <w:r>
              <w:rPr>
                <w:sz w:val="21"/>
                <w:szCs w:val="21"/>
              </w:rPr>
              <w:t>达标</w:t>
            </w:r>
          </w:p>
        </w:tc>
      </w:tr>
    </w:tbl>
    <w:p>
      <w:pPr>
        <w:pStyle w:val="300"/>
      </w:pPr>
      <w:r>
        <w:t>监测结果显示，本项目所在TSP满足《环境空气质量标准》（GB3095-2012）中一级标准。</w:t>
      </w:r>
    </w:p>
    <w:p>
      <w:pPr>
        <w:pStyle w:val="5"/>
        <w:rPr>
          <w:color w:val="auto"/>
        </w:rPr>
      </w:pPr>
      <w:r>
        <w:rPr>
          <w:color w:val="auto"/>
        </w:rPr>
        <w:t>4.3.2地表水环境</w:t>
      </w:r>
    </w:p>
    <w:p>
      <w:pPr>
        <w:pStyle w:val="300"/>
      </w:pPr>
      <w:bookmarkStart w:id="174" w:name="_Hlk512609672"/>
      <w:r>
        <w:t>根据《2022年重庆市生态环境状况公报》中地表水，2022年，全市地表水总体水质为优238个监测断面中I~I类水质的断面比例为95.4%，水质满足水域功能要求的断面比例为97.9%。74 个国控考核断面水质优良比例为98.6%，高于国家考核目标1.3个百分点。长江干流重庆段水质为优，20个监测断面水质均为I类。长江支流总体水质为优，122 条河流布设的218个监测断面中，I~I类断面比例为95.0%；水质满足水域功能的断面占97.7%。其中，嘉陵江流域51个监测断面中，I~III类水质比例为86.3%；乌江流域29个监测断面均达到或优于I类水质。</w:t>
      </w:r>
    </w:p>
    <w:p>
      <w:pPr>
        <w:pStyle w:val="300"/>
      </w:pPr>
      <w:r>
        <w:t>根据合川区生态环境局网站公示的《2023年12月合川区水环境质量状况》，嘉陵江金子断面水质类别为II类水质。</w:t>
      </w:r>
    </w:p>
    <w:bookmarkEnd w:id="174"/>
    <w:p>
      <w:pPr>
        <w:pStyle w:val="5"/>
        <w:rPr>
          <w:color w:val="auto"/>
        </w:rPr>
      </w:pPr>
      <w:r>
        <w:rPr>
          <w:color w:val="auto"/>
        </w:rPr>
        <w:t>4.3.3声环境</w:t>
      </w:r>
    </w:p>
    <w:p>
      <w:pPr>
        <w:pStyle w:val="222"/>
      </w:pPr>
      <w:r>
        <w:t>项目所在区域属于2类声功能区，执行《声环境质量标准》（GB3096-2008）2类标准。本次评价国环绿洲（重庆）环境科技有限公司对项目所在地声环境质量现状进行了现场实测。</w:t>
      </w:r>
    </w:p>
    <w:p>
      <w:pPr>
        <w:pStyle w:val="222"/>
      </w:pPr>
      <w:r>
        <w:t>（1）监测方案</w:t>
      </w:r>
    </w:p>
    <w:p>
      <w:pPr>
        <w:pStyle w:val="84"/>
      </w:pPr>
      <w:r>
        <w:t>表4.3-5   声环境现状监测方案表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3320"/>
        <w:gridCol w:w="1289"/>
        <w:gridCol w:w="1388"/>
        <w:gridCol w:w="2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78" w:type="pct"/>
            <w:shd w:val="clear" w:color="auto" w:fill="D8D8D8" w:themeFill="background1" w:themeFillShade="D9"/>
            <w:vAlign w:val="center"/>
          </w:tcPr>
          <w:p>
            <w:pPr>
              <w:spacing w:line="240" w:lineRule="auto"/>
              <w:ind w:firstLine="0" w:firstLineChars="0"/>
              <w:jc w:val="center"/>
              <w:rPr>
                <w:b/>
                <w:bCs/>
                <w:sz w:val="21"/>
                <w:szCs w:val="20"/>
              </w:rPr>
            </w:pPr>
            <w:r>
              <w:rPr>
                <w:b/>
                <w:bCs/>
                <w:sz w:val="21"/>
                <w:szCs w:val="20"/>
              </w:rPr>
              <w:t>序号</w:t>
            </w:r>
          </w:p>
        </w:tc>
        <w:tc>
          <w:tcPr>
            <w:tcW w:w="1787" w:type="pct"/>
            <w:shd w:val="clear" w:color="auto" w:fill="D8D8D8" w:themeFill="background1" w:themeFillShade="D9"/>
            <w:vAlign w:val="center"/>
          </w:tcPr>
          <w:p>
            <w:pPr>
              <w:spacing w:line="240" w:lineRule="auto"/>
              <w:ind w:firstLine="0" w:firstLineChars="0"/>
              <w:jc w:val="center"/>
              <w:rPr>
                <w:b/>
                <w:bCs/>
                <w:sz w:val="21"/>
                <w:szCs w:val="20"/>
              </w:rPr>
            </w:pPr>
            <w:r>
              <w:rPr>
                <w:b/>
                <w:bCs/>
                <w:sz w:val="21"/>
                <w:szCs w:val="20"/>
              </w:rPr>
              <w:t>布点位置</w:t>
            </w:r>
          </w:p>
        </w:tc>
        <w:tc>
          <w:tcPr>
            <w:tcW w:w="694" w:type="pct"/>
            <w:shd w:val="clear" w:color="auto" w:fill="D8D8D8" w:themeFill="background1" w:themeFillShade="D9"/>
            <w:vAlign w:val="center"/>
          </w:tcPr>
          <w:p>
            <w:pPr>
              <w:spacing w:line="240" w:lineRule="auto"/>
              <w:ind w:firstLine="0" w:firstLineChars="0"/>
              <w:jc w:val="center"/>
              <w:rPr>
                <w:b/>
                <w:bCs/>
                <w:sz w:val="21"/>
                <w:szCs w:val="20"/>
              </w:rPr>
            </w:pPr>
            <w:r>
              <w:rPr>
                <w:b/>
                <w:bCs/>
                <w:sz w:val="21"/>
                <w:szCs w:val="20"/>
              </w:rPr>
              <w:t>监测因子</w:t>
            </w:r>
          </w:p>
        </w:tc>
        <w:tc>
          <w:tcPr>
            <w:tcW w:w="747" w:type="pct"/>
            <w:shd w:val="clear" w:color="auto" w:fill="D8D8D8" w:themeFill="background1" w:themeFillShade="D9"/>
            <w:vAlign w:val="center"/>
          </w:tcPr>
          <w:p>
            <w:pPr>
              <w:spacing w:line="240" w:lineRule="auto"/>
              <w:ind w:firstLine="0" w:firstLineChars="0"/>
              <w:jc w:val="center"/>
              <w:rPr>
                <w:b/>
                <w:bCs/>
                <w:sz w:val="21"/>
                <w:szCs w:val="20"/>
              </w:rPr>
            </w:pPr>
            <w:r>
              <w:rPr>
                <w:b/>
                <w:bCs/>
                <w:sz w:val="21"/>
                <w:szCs w:val="20"/>
              </w:rPr>
              <w:t>监测频次</w:t>
            </w:r>
          </w:p>
        </w:tc>
        <w:tc>
          <w:tcPr>
            <w:tcW w:w="1293" w:type="pct"/>
            <w:shd w:val="clear" w:color="auto" w:fill="D8D8D8" w:themeFill="background1" w:themeFillShade="D9"/>
            <w:vAlign w:val="center"/>
          </w:tcPr>
          <w:p>
            <w:pPr>
              <w:spacing w:line="240" w:lineRule="auto"/>
              <w:ind w:firstLine="0" w:firstLineChars="0"/>
              <w:jc w:val="center"/>
              <w:rPr>
                <w:b/>
                <w:bCs/>
                <w:sz w:val="21"/>
                <w:szCs w:val="20"/>
              </w:rPr>
            </w:pPr>
            <w:r>
              <w:rPr>
                <w:b/>
                <w:bCs/>
                <w:sz w:val="21"/>
                <w:szCs w:val="20"/>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0" w:hRule="atLeast"/>
          <w:jc w:val="center"/>
        </w:trPr>
        <w:tc>
          <w:tcPr>
            <w:tcW w:w="478" w:type="pct"/>
            <w:shd w:val="clear" w:color="auto" w:fill="auto"/>
            <w:vAlign w:val="center"/>
          </w:tcPr>
          <w:p>
            <w:pPr>
              <w:spacing w:line="240" w:lineRule="auto"/>
              <w:ind w:firstLine="0" w:firstLineChars="0"/>
              <w:jc w:val="center"/>
              <w:rPr>
                <w:sz w:val="21"/>
                <w:szCs w:val="20"/>
              </w:rPr>
            </w:pPr>
            <w:r>
              <w:rPr>
                <w:sz w:val="21"/>
                <w:szCs w:val="20"/>
              </w:rPr>
              <w:t>1</w:t>
            </w:r>
          </w:p>
        </w:tc>
        <w:tc>
          <w:tcPr>
            <w:tcW w:w="1787" w:type="pct"/>
            <w:vAlign w:val="center"/>
          </w:tcPr>
          <w:p>
            <w:pPr>
              <w:spacing w:line="240" w:lineRule="auto"/>
              <w:ind w:firstLine="0" w:firstLineChars="0"/>
              <w:jc w:val="center"/>
              <w:rPr>
                <w:sz w:val="21"/>
                <w:szCs w:val="20"/>
              </w:rPr>
            </w:pPr>
            <w:r>
              <w:rPr>
                <w:sz w:val="21"/>
                <w:szCs w:val="20"/>
              </w:rPr>
              <w:t>矿区东北侧居民（1#）</w:t>
            </w:r>
          </w:p>
        </w:tc>
        <w:tc>
          <w:tcPr>
            <w:tcW w:w="694" w:type="pct"/>
            <w:vMerge w:val="restart"/>
            <w:vAlign w:val="center"/>
          </w:tcPr>
          <w:p>
            <w:pPr>
              <w:spacing w:line="240" w:lineRule="auto"/>
              <w:ind w:firstLine="0" w:firstLineChars="0"/>
              <w:jc w:val="center"/>
              <w:rPr>
                <w:sz w:val="21"/>
                <w:szCs w:val="20"/>
              </w:rPr>
            </w:pPr>
            <w:r>
              <w:rPr>
                <w:sz w:val="21"/>
                <w:szCs w:val="20"/>
              </w:rPr>
              <w:t>连续等效A声级</w:t>
            </w:r>
          </w:p>
        </w:tc>
        <w:tc>
          <w:tcPr>
            <w:tcW w:w="747" w:type="pct"/>
            <w:vMerge w:val="restart"/>
            <w:vAlign w:val="center"/>
          </w:tcPr>
          <w:p>
            <w:pPr>
              <w:spacing w:line="240" w:lineRule="auto"/>
              <w:ind w:firstLine="0" w:firstLineChars="0"/>
              <w:jc w:val="center"/>
              <w:rPr>
                <w:sz w:val="21"/>
                <w:szCs w:val="20"/>
              </w:rPr>
            </w:pPr>
            <w:r>
              <w:rPr>
                <w:sz w:val="21"/>
                <w:szCs w:val="20"/>
              </w:rPr>
              <w:t>监测2天，每天昼夜各监测1次</w:t>
            </w:r>
          </w:p>
        </w:tc>
        <w:tc>
          <w:tcPr>
            <w:tcW w:w="1293" w:type="pct"/>
            <w:vMerge w:val="restart"/>
            <w:shd w:val="clear" w:color="auto" w:fill="auto"/>
            <w:vAlign w:val="center"/>
          </w:tcPr>
          <w:p>
            <w:pPr>
              <w:spacing w:line="240" w:lineRule="auto"/>
              <w:ind w:firstLine="0" w:firstLineChars="0"/>
              <w:jc w:val="center"/>
              <w:rPr>
                <w:sz w:val="21"/>
                <w:szCs w:val="20"/>
              </w:rPr>
            </w:pPr>
            <w:r>
              <w:rPr>
                <w:sz w:val="21"/>
                <w:szCs w:val="20"/>
              </w:rPr>
              <w:t>《声环境质量标准》（GB3096-2008）2类标准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0" w:hRule="atLeast"/>
          <w:jc w:val="center"/>
        </w:trPr>
        <w:tc>
          <w:tcPr>
            <w:tcW w:w="478" w:type="pct"/>
            <w:shd w:val="clear" w:color="auto" w:fill="auto"/>
            <w:vAlign w:val="center"/>
          </w:tcPr>
          <w:p>
            <w:pPr>
              <w:spacing w:line="240" w:lineRule="auto"/>
              <w:ind w:firstLine="0" w:firstLineChars="0"/>
              <w:jc w:val="center"/>
              <w:rPr>
                <w:sz w:val="21"/>
                <w:szCs w:val="20"/>
              </w:rPr>
            </w:pPr>
            <w:r>
              <w:rPr>
                <w:sz w:val="21"/>
                <w:szCs w:val="20"/>
              </w:rPr>
              <w:t>2</w:t>
            </w:r>
          </w:p>
        </w:tc>
        <w:tc>
          <w:tcPr>
            <w:tcW w:w="1787" w:type="pct"/>
            <w:vAlign w:val="center"/>
          </w:tcPr>
          <w:p>
            <w:pPr>
              <w:spacing w:line="240" w:lineRule="auto"/>
              <w:ind w:firstLine="0" w:firstLineChars="0"/>
              <w:jc w:val="center"/>
              <w:rPr>
                <w:sz w:val="21"/>
                <w:szCs w:val="20"/>
              </w:rPr>
            </w:pPr>
            <w:r>
              <w:rPr>
                <w:sz w:val="21"/>
                <w:szCs w:val="20"/>
              </w:rPr>
              <w:t>矿区北侧厂界外1m处（2#）</w:t>
            </w:r>
          </w:p>
        </w:tc>
        <w:tc>
          <w:tcPr>
            <w:tcW w:w="694" w:type="pct"/>
            <w:vMerge w:val="continue"/>
            <w:vAlign w:val="center"/>
          </w:tcPr>
          <w:p>
            <w:pPr>
              <w:spacing w:line="240" w:lineRule="auto"/>
              <w:ind w:firstLine="0" w:firstLineChars="0"/>
              <w:jc w:val="center"/>
              <w:rPr>
                <w:sz w:val="21"/>
                <w:szCs w:val="20"/>
              </w:rPr>
            </w:pPr>
          </w:p>
        </w:tc>
        <w:tc>
          <w:tcPr>
            <w:tcW w:w="747" w:type="pct"/>
            <w:vMerge w:val="continue"/>
            <w:vAlign w:val="center"/>
          </w:tcPr>
          <w:p>
            <w:pPr>
              <w:spacing w:line="240" w:lineRule="auto"/>
              <w:ind w:firstLine="0" w:firstLineChars="0"/>
              <w:jc w:val="center"/>
              <w:rPr>
                <w:sz w:val="21"/>
                <w:szCs w:val="20"/>
              </w:rPr>
            </w:pPr>
          </w:p>
        </w:tc>
        <w:tc>
          <w:tcPr>
            <w:tcW w:w="1293" w:type="pct"/>
            <w:vMerge w:val="continue"/>
            <w:shd w:val="clear" w:color="auto" w:fill="auto"/>
            <w:vAlign w:val="center"/>
          </w:tcPr>
          <w:p>
            <w:pPr>
              <w:spacing w:line="240" w:lineRule="auto"/>
              <w:ind w:firstLine="0" w:firstLineChars="0"/>
              <w:jc w:val="center"/>
              <w:rPr>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0" w:hRule="atLeast"/>
          <w:jc w:val="center"/>
        </w:trPr>
        <w:tc>
          <w:tcPr>
            <w:tcW w:w="478" w:type="pct"/>
            <w:shd w:val="clear" w:color="auto" w:fill="auto"/>
            <w:vAlign w:val="center"/>
          </w:tcPr>
          <w:p>
            <w:pPr>
              <w:spacing w:line="240" w:lineRule="auto"/>
              <w:ind w:firstLine="0" w:firstLineChars="0"/>
              <w:jc w:val="center"/>
              <w:rPr>
                <w:sz w:val="21"/>
                <w:szCs w:val="20"/>
              </w:rPr>
            </w:pPr>
            <w:r>
              <w:rPr>
                <w:sz w:val="21"/>
                <w:szCs w:val="20"/>
              </w:rPr>
              <w:t>3</w:t>
            </w:r>
          </w:p>
        </w:tc>
        <w:tc>
          <w:tcPr>
            <w:tcW w:w="1787" w:type="pct"/>
            <w:vAlign w:val="center"/>
          </w:tcPr>
          <w:p>
            <w:pPr>
              <w:spacing w:line="240" w:lineRule="auto"/>
              <w:ind w:firstLine="0" w:firstLineChars="0"/>
              <w:jc w:val="center"/>
              <w:rPr>
                <w:sz w:val="21"/>
                <w:szCs w:val="20"/>
              </w:rPr>
            </w:pPr>
            <w:r>
              <w:rPr>
                <w:sz w:val="21"/>
                <w:szCs w:val="20"/>
              </w:rPr>
              <w:t>工业场地北侧居民（3#）</w:t>
            </w:r>
          </w:p>
        </w:tc>
        <w:tc>
          <w:tcPr>
            <w:tcW w:w="694" w:type="pct"/>
            <w:vMerge w:val="continue"/>
            <w:vAlign w:val="center"/>
          </w:tcPr>
          <w:p>
            <w:pPr>
              <w:spacing w:line="240" w:lineRule="auto"/>
              <w:ind w:firstLine="0" w:firstLineChars="0"/>
              <w:jc w:val="center"/>
              <w:rPr>
                <w:sz w:val="21"/>
                <w:szCs w:val="20"/>
              </w:rPr>
            </w:pPr>
          </w:p>
        </w:tc>
        <w:tc>
          <w:tcPr>
            <w:tcW w:w="747" w:type="pct"/>
            <w:vMerge w:val="continue"/>
            <w:vAlign w:val="center"/>
          </w:tcPr>
          <w:p>
            <w:pPr>
              <w:spacing w:line="240" w:lineRule="auto"/>
              <w:ind w:firstLine="0" w:firstLineChars="0"/>
              <w:jc w:val="center"/>
              <w:rPr>
                <w:sz w:val="21"/>
                <w:szCs w:val="20"/>
              </w:rPr>
            </w:pPr>
          </w:p>
        </w:tc>
        <w:tc>
          <w:tcPr>
            <w:tcW w:w="1293" w:type="pct"/>
            <w:vMerge w:val="continue"/>
            <w:shd w:val="clear" w:color="auto" w:fill="auto"/>
            <w:vAlign w:val="center"/>
          </w:tcPr>
          <w:p>
            <w:pPr>
              <w:spacing w:line="240" w:lineRule="auto"/>
              <w:ind w:firstLine="0" w:firstLineChars="0"/>
              <w:jc w:val="center"/>
              <w:rPr>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0" w:hRule="atLeast"/>
          <w:jc w:val="center"/>
        </w:trPr>
        <w:tc>
          <w:tcPr>
            <w:tcW w:w="478" w:type="pct"/>
            <w:shd w:val="clear" w:color="auto" w:fill="auto"/>
            <w:vAlign w:val="center"/>
          </w:tcPr>
          <w:p>
            <w:pPr>
              <w:spacing w:line="240" w:lineRule="auto"/>
              <w:ind w:firstLine="0" w:firstLineChars="0"/>
              <w:jc w:val="center"/>
              <w:rPr>
                <w:sz w:val="21"/>
                <w:szCs w:val="20"/>
              </w:rPr>
            </w:pPr>
            <w:r>
              <w:rPr>
                <w:sz w:val="21"/>
                <w:szCs w:val="20"/>
              </w:rPr>
              <w:t>4</w:t>
            </w:r>
          </w:p>
        </w:tc>
        <w:tc>
          <w:tcPr>
            <w:tcW w:w="1787" w:type="pct"/>
            <w:vAlign w:val="center"/>
          </w:tcPr>
          <w:p>
            <w:pPr>
              <w:spacing w:line="240" w:lineRule="auto"/>
              <w:ind w:firstLine="0" w:firstLineChars="0"/>
              <w:jc w:val="center"/>
              <w:rPr>
                <w:sz w:val="21"/>
                <w:szCs w:val="20"/>
              </w:rPr>
            </w:pPr>
            <w:r>
              <w:rPr>
                <w:sz w:val="21"/>
                <w:szCs w:val="20"/>
              </w:rPr>
              <w:t>工业场地南侧厂界外1m处#（4#）</w:t>
            </w:r>
          </w:p>
        </w:tc>
        <w:tc>
          <w:tcPr>
            <w:tcW w:w="694" w:type="pct"/>
            <w:vMerge w:val="continue"/>
            <w:vAlign w:val="center"/>
          </w:tcPr>
          <w:p>
            <w:pPr>
              <w:spacing w:line="240" w:lineRule="auto"/>
              <w:ind w:firstLine="0" w:firstLineChars="0"/>
              <w:jc w:val="center"/>
              <w:rPr>
                <w:sz w:val="21"/>
                <w:szCs w:val="20"/>
              </w:rPr>
            </w:pPr>
          </w:p>
        </w:tc>
        <w:tc>
          <w:tcPr>
            <w:tcW w:w="747" w:type="pct"/>
            <w:vMerge w:val="continue"/>
            <w:vAlign w:val="center"/>
          </w:tcPr>
          <w:p>
            <w:pPr>
              <w:spacing w:line="240" w:lineRule="auto"/>
              <w:ind w:firstLine="0" w:firstLineChars="0"/>
              <w:jc w:val="center"/>
              <w:rPr>
                <w:sz w:val="21"/>
                <w:szCs w:val="20"/>
              </w:rPr>
            </w:pPr>
          </w:p>
        </w:tc>
        <w:tc>
          <w:tcPr>
            <w:tcW w:w="1293" w:type="pct"/>
            <w:vMerge w:val="continue"/>
            <w:shd w:val="clear" w:color="auto" w:fill="auto"/>
            <w:vAlign w:val="center"/>
          </w:tcPr>
          <w:p>
            <w:pPr>
              <w:spacing w:line="240" w:lineRule="auto"/>
              <w:ind w:firstLine="0" w:firstLineChars="0"/>
              <w:jc w:val="center"/>
              <w:rPr>
                <w:sz w:val="21"/>
                <w:szCs w:val="20"/>
              </w:rPr>
            </w:pPr>
          </w:p>
        </w:tc>
      </w:tr>
    </w:tbl>
    <w:p>
      <w:pPr>
        <w:pStyle w:val="222"/>
      </w:pPr>
      <w:r>
        <w:t>（2）监测结果及分析</w:t>
      </w:r>
    </w:p>
    <w:p>
      <w:pPr>
        <w:pStyle w:val="222"/>
      </w:pPr>
      <w:r>
        <w:t>声环境监测结果及评价见下表。</w:t>
      </w:r>
    </w:p>
    <w:p>
      <w:pPr>
        <w:pStyle w:val="84"/>
      </w:pPr>
      <w:r>
        <w:t>表4.3-6  声环境现状监测结果统计表  LeqdB（A）</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1937"/>
        <w:gridCol w:w="1224"/>
        <w:gridCol w:w="1224"/>
        <w:gridCol w:w="1070"/>
        <w:gridCol w:w="1224"/>
        <w:gridCol w:w="1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restart"/>
            <w:shd w:val="clear" w:color="auto" w:fill="D8D8D8" w:themeFill="background1" w:themeFillShade="D9"/>
            <w:vAlign w:val="center"/>
          </w:tcPr>
          <w:p>
            <w:pPr>
              <w:pStyle w:val="3238"/>
            </w:pPr>
            <w:r>
              <w:t>监测点</w:t>
            </w:r>
          </w:p>
        </w:tc>
        <w:tc>
          <w:tcPr>
            <w:tcW w:w="1043" w:type="pct"/>
            <w:vMerge w:val="restart"/>
            <w:shd w:val="clear" w:color="auto" w:fill="D8D8D8" w:themeFill="background1" w:themeFillShade="D9"/>
            <w:vAlign w:val="center"/>
          </w:tcPr>
          <w:p>
            <w:pPr>
              <w:pStyle w:val="3238"/>
            </w:pPr>
            <w:r>
              <w:t>监测时间</w:t>
            </w:r>
          </w:p>
        </w:tc>
        <w:tc>
          <w:tcPr>
            <w:tcW w:w="1318" w:type="pct"/>
            <w:gridSpan w:val="2"/>
            <w:shd w:val="clear" w:color="auto" w:fill="D8D8D8" w:themeFill="background1" w:themeFillShade="D9"/>
            <w:vAlign w:val="center"/>
          </w:tcPr>
          <w:p>
            <w:pPr>
              <w:pStyle w:val="3238"/>
            </w:pPr>
            <w:r>
              <w:t>监测结果dB（A）</w:t>
            </w:r>
          </w:p>
        </w:tc>
        <w:tc>
          <w:tcPr>
            <w:tcW w:w="1235" w:type="pct"/>
            <w:gridSpan w:val="2"/>
            <w:shd w:val="clear" w:color="auto" w:fill="D8D8D8" w:themeFill="background1" w:themeFillShade="D9"/>
            <w:vAlign w:val="center"/>
          </w:tcPr>
          <w:p>
            <w:pPr>
              <w:pStyle w:val="3238"/>
            </w:pPr>
            <w:r>
              <w:t>标准值dB（A）</w:t>
            </w:r>
          </w:p>
        </w:tc>
        <w:tc>
          <w:tcPr>
            <w:tcW w:w="964" w:type="pct"/>
            <w:vMerge w:val="restart"/>
            <w:shd w:val="clear" w:color="auto" w:fill="D8D8D8" w:themeFill="background1" w:themeFillShade="D9"/>
            <w:vAlign w:val="center"/>
          </w:tcPr>
          <w:p>
            <w:pPr>
              <w:pStyle w:val="3238"/>
            </w:pPr>
            <w: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continue"/>
            <w:shd w:val="clear" w:color="auto" w:fill="D8D8D8" w:themeFill="background1" w:themeFillShade="D9"/>
            <w:vAlign w:val="center"/>
          </w:tcPr>
          <w:p>
            <w:pPr>
              <w:pStyle w:val="3238"/>
            </w:pPr>
          </w:p>
        </w:tc>
        <w:tc>
          <w:tcPr>
            <w:tcW w:w="1043" w:type="pct"/>
            <w:vMerge w:val="continue"/>
            <w:shd w:val="clear" w:color="auto" w:fill="D8D8D8" w:themeFill="background1" w:themeFillShade="D9"/>
            <w:vAlign w:val="center"/>
          </w:tcPr>
          <w:p>
            <w:pPr>
              <w:pStyle w:val="3238"/>
            </w:pPr>
          </w:p>
        </w:tc>
        <w:tc>
          <w:tcPr>
            <w:tcW w:w="659" w:type="pct"/>
            <w:shd w:val="clear" w:color="auto" w:fill="D8D8D8" w:themeFill="background1" w:themeFillShade="D9"/>
            <w:vAlign w:val="center"/>
          </w:tcPr>
          <w:p>
            <w:pPr>
              <w:pStyle w:val="3238"/>
            </w:pPr>
            <w:r>
              <w:t>昼间</w:t>
            </w:r>
          </w:p>
        </w:tc>
        <w:tc>
          <w:tcPr>
            <w:tcW w:w="659" w:type="pct"/>
            <w:shd w:val="clear" w:color="auto" w:fill="D8D8D8" w:themeFill="background1" w:themeFillShade="D9"/>
            <w:vAlign w:val="center"/>
          </w:tcPr>
          <w:p>
            <w:pPr>
              <w:pStyle w:val="3238"/>
            </w:pPr>
            <w:r>
              <w:t>夜间</w:t>
            </w:r>
          </w:p>
        </w:tc>
        <w:tc>
          <w:tcPr>
            <w:tcW w:w="576" w:type="pct"/>
            <w:shd w:val="clear" w:color="auto" w:fill="D8D8D8" w:themeFill="background1" w:themeFillShade="D9"/>
            <w:vAlign w:val="center"/>
          </w:tcPr>
          <w:p>
            <w:pPr>
              <w:pStyle w:val="3238"/>
            </w:pPr>
            <w:r>
              <w:t>昼间</w:t>
            </w:r>
          </w:p>
        </w:tc>
        <w:tc>
          <w:tcPr>
            <w:tcW w:w="659" w:type="pct"/>
            <w:shd w:val="clear" w:color="auto" w:fill="D8D8D8" w:themeFill="background1" w:themeFillShade="D9"/>
            <w:vAlign w:val="center"/>
          </w:tcPr>
          <w:p>
            <w:pPr>
              <w:pStyle w:val="3238"/>
            </w:pPr>
            <w:r>
              <w:t>夜间</w:t>
            </w:r>
          </w:p>
        </w:tc>
        <w:tc>
          <w:tcPr>
            <w:tcW w:w="964" w:type="pct"/>
            <w:vMerge w:val="continue"/>
            <w:shd w:val="clear" w:color="auto" w:fill="D8D8D8" w:themeFill="background1" w:themeFillShade="D9"/>
            <w:vAlign w:val="center"/>
          </w:tcPr>
          <w:p>
            <w:pPr>
              <w:pStyle w:val="323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restart"/>
            <w:vAlign w:val="center"/>
          </w:tcPr>
          <w:p>
            <w:pPr>
              <w:pStyle w:val="3238"/>
              <w:rPr>
                <w:b/>
              </w:rPr>
            </w:pPr>
            <w:r>
              <w:t>1#</w:t>
            </w:r>
          </w:p>
        </w:tc>
        <w:tc>
          <w:tcPr>
            <w:tcW w:w="1043" w:type="pct"/>
            <w:vAlign w:val="center"/>
          </w:tcPr>
          <w:p>
            <w:pPr>
              <w:pStyle w:val="3238"/>
              <w:rPr>
                <w:b/>
              </w:rPr>
            </w:pPr>
            <w:r>
              <w:t>2024年2月20日</w:t>
            </w:r>
          </w:p>
        </w:tc>
        <w:tc>
          <w:tcPr>
            <w:tcW w:w="659" w:type="pct"/>
            <w:vAlign w:val="center"/>
          </w:tcPr>
          <w:p>
            <w:pPr>
              <w:pStyle w:val="3238"/>
              <w:rPr>
                <w:b/>
              </w:rPr>
            </w:pPr>
            <w:r>
              <w:t>51</w:t>
            </w:r>
          </w:p>
        </w:tc>
        <w:tc>
          <w:tcPr>
            <w:tcW w:w="659" w:type="pct"/>
            <w:vAlign w:val="center"/>
          </w:tcPr>
          <w:p>
            <w:pPr>
              <w:pStyle w:val="3238"/>
              <w:rPr>
                <w:b/>
              </w:rPr>
            </w:pPr>
            <w:r>
              <w:t>43</w:t>
            </w:r>
          </w:p>
        </w:tc>
        <w:tc>
          <w:tcPr>
            <w:tcW w:w="576" w:type="pct"/>
            <w:vMerge w:val="restart"/>
            <w:vAlign w:val="center"/>
          </w:tcPr>
          <w:p>
            <w:pPr>
              <w:pStyle w:val="3238"/>
              <w:rPr>
                <w:b/>
              </w:rPr>
            </w:pPr>
            <w:r>
              <w:t>60</w:t>
            </w:r>
          </w:p>
        </w:tc>
        <w:tc>
          <w:tcPr>
            <w:tcW w:w="659" w:type="pct"/>
            <w:vMerge w:val="restart"/>
            <w:vAlign w:val="center"/>
          </w:tcPr>
          <w:p>
            <w:pPr>
              <w:pStyle w:val="3238"/>
              <w:rPr>
                <w:b/>
              </w:rPr>
            </w:pPr>
            <w:r>
              <w:t>50</w:t>
            </w:r>
          </w:p>
        </w:tc>
        <w:tc>
          <w:tcPr>
            <w:tcW w:w="964" w:type="pct"/>
            <w:vMerge w:val="restart"/>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continue"/>
            <w:vAlign w:val="center"/>
          </w:tcPr>
          <w:p>
            <w:pPr>
              <w:pStyle w:val="3238"/>
            </w:pPr>
          </w:p>
        </w:tc>
        <w:tc>
          <w:tcPr>
            <w:tcW w:w="1043" w:type="pct"/>
            <w:vAlign w:val="center"/>
          </w:tcPr>
          <w:p>
            <w:pPr>
              <w:pStyle w:val="3238"/>
              <w:rPr>
                <w:b/>
              </w:rPr>
            </w:pPr>
            <w:r>
              <w:t>2024年2月21日</w:t>
            </w:r>
          </w:p>
        </w:tc>
        <w:tc>
          <w:tcPr>
            <w:tcW w:w="659" w:type="pct"/>
            <w:vAlign w:val="center"/>
          </w:tcPr>
          <w:p>
            <w:pPr>
              <w:pStyle w:val="3238"/>
              <w:rPr>
                <w:b/>
              </w:rPr>
            </w:pPr>
            <w:r>
              <w:t>51</w:t>
            </w:r>
          </w:p>
        </w:tc>
        <w:tc>
          <w:tcPr>
            <w:tcW w:w="659" w:type="pct"/>
            <w:vAlign w:val="center"/>
          </w:tcPr>
          <w:p>
            <w:pPr>
              <w:pStyle w:val="3238"/>
              <w:rPr>
                <w:b/>
              </w:rPr>
            </w:pPr>
            <w:r>
              <w:t>43</w:t>
            </w:r>
          </w:p>
        </w:tc>
        <w:tc>
          <w:tcPr>
            <w:tcW w:w="576" w:type="pct"/>
            <w:vMerge w:val="continue"/>
            <w:vAlign w:val="center"/>
          </w:tcPr>
          <w:p>
            <w:pPr>
              <w:pStyle w:val="3238"/>
            </w:pPr>
          </w:p>
        </w:tc>
        <w:tc>
          <w:tcPr>
            <w:tcW w:w="659" w:type="pct"/>
            <w:vMerge w:val="continue"/>
            <w:vAlign w:val="center"/>
          </w:tcPr>
          <w:p>
            <w:pPr>
              <w:pStyle w:val="3238"/>
            </w:pPr>
          </w:p>
        </w:tc>
        <w:tc>
          <w:tcPr>
            <w:tcW w:w="964" w:type="pct"/>
            <w:vMerge w:val="continue"/>
            <w:vAlign w:val="center"/>
          </w:tcPr>
          <w:p>
            <w:pPr>
              <w:pStyle w:val="323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restart"/>
            <w:vAlign w:val="center"/>
          </w:tcPr>
          <w:p>
            <w:pPr>
              <w:pStyle w:val="3238"/>
              <w:rPr>
                <w:b/>
              </w:rPr>
            </w:pPr>
            <w:r>
              <w:t>2#</w:t>
            </w:r>
          </w:p>
        </w:tc>
        <w:tc>
          <w:tcPr>
            <w:tcW w:w="1043" w:type="pct"/>
            <w:vAlign w:val="center"/>
          </w:tcPr>
          <w:p>
            <w:pPr>
              <w:pStyle w:val="3238"/>
              <w:rPr>
                <w:b/>
              </w:rPr>
            </w:pPr>
            <w:r>
              <w:t>2024年2月20日</w:t>
            </w:r>
          </w:p>
        </w:tc>
        <w:tc>
          <w:tcPr>
            <w:tcW w:w="659" w:type="pct"/>
            <w:vAlign w:val="center"/>
          </w:tcPr>
          <w:p>
            <w:pPr>
              <w:pStyle w:val="3238"/>
              <w:rPr>
                <w:b/>
              </w:rPr>
            </w:pPr>
            <w:r>
              <w:t>53</w:t>
            </w:r>
          </w:p>
        </w:tc>
        <w:tc>
          <w:tcPr>
            <w:tcW w:w="659" w:type="pct"/>
            <w:vAlign w:val="center"/>
          </w:tcPr>
          <w:p>
            <w:pPr>
              <w:pStyle w:val="3238"/>
              <w:rPr>
                <w:b/>
              </w:rPr>
            </w:pPr>
            <w:r>
              <w:t>44</w:t>
            </w:r>
          </w:p>
        </w:tc>
        <w:tc>
          <w:tcPr>
            <w:tcW w:w="576" w:type="pct"/>
            <w:vMerge w:val="restart"/>
            <w:vAlign w:val="center"/>
          </w:tcPr>
          <w:p>
            <w:pPr>
              <w:pStyle w:val="3238"/>
              <w:rPr>
                <w:b/>
              </w:rPr>
            </w:pPr>
            <w:r>
              <w:t>60</w:t>
            </w:r>
          </w:p>
        </w:tc>
        <w:tc>
          <w:tcPr>
            <w:tcW w:w="659" w:type="pct"/>
            <w:vMerge w:val="restart"/>
            <w:vAlign w:val="center"/>
          </w:tcPr>
          <w:p>
            <w:pPr>
              <w:pStyle w:val="3238"/>
              <w:rPr>
                <w:b/>
              </w:rPr>
            </w:pPr>
            <w:r>
              <w:t>50</w:t>
            </w:r>
          </w:p>
        </w:tc>
        <w:tc>
          <w:tcPr>
            <w:tcW w:w="964" w:type="pct"/>
            <w:vMerge w:val="restart"/>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continue"/>
            <w:vAlign w:val="center"/>
          </w:tcPr>
          <w:p>
            <w:pPr>
              <w:pStyle w:val="3238"/>
            </w:pPr>
          </w:p>
        </w:tc>
        <w:tc>
          <w:tcPr>
            <w:tcW w:w="1043" w:type="pct"/>
            <w:vAlign w:val="center"/>
          </w:tcPr>
          <w:p>
            <w:pPr>
              <w:pStyle w:val="3238"/>
              <w:rPr>
                <w:b/>
              </w:rPr>
            </w:pPr>
            <w:r>
              <w:t>2024年2月21日</w:t>
            </w:r>
          </w:p>
        </w:tc>
        <w:tc>
          <w:tcPr>
            <w:tcW w:w="659" w:type="pct"/>
            <w:vAlign w:val="center"/>
          </w:tcPr>
          <w:p>
            <w:pPr>
              <w:pStyle w:val="3238"/>
              <w:rPr>
                <w:b/>
              </w:rPr>
            </w:pPr>
            <w:r>
              <w:t>53</w:t>
            </w:r>
          </w:p>
        </w:tc>
        <w:tc>
          <w:tcPr>
            <w:tcW w:w="659" w:type="pct"/>
            <w:vAlign w:val="center"/>
          </w:tcPr>
          <w:p>
            <w:pPr>
              <w:pStyle w:val="3238"/>
              <w:rPr>
                <w:b/>
              </w:rPr>
            </w:pPr>
            <w:r>
              <w:t>45</w:t>
            </w:r>
          </w:p>
        </w:tc>
        <w:tc>
          <w:tcPr>
            <w:tcW w:w="576" w:type="pct"/>
            <w:vMerge w:val="continue"/>
            <w:vAlign w:val="center"/>
          </w:tcPr>
          <w:p>
            <w:pPr>
              <w:pStyle w:val="3238"/>
            </w:pPr>
          </w:p>
        </w:tc>
        <w:tc>
          <w:tcPr>
            <w:tcW w:w="659" w:type="pct"/>
            <w:vMerge w:val="continue"/>
            <w:vAlign w:val="center"/>
          </w:tcPr>
          <w:p>
            <w:pPr>
              <w:pStyle w:val="3238"/>
            </w:pPr>
          </w:p>
        </w:tc>
        <w:tc>
          <w:tcPr>
            <w:tcW w:w="964" w:type="pct"/>
            <w:vMerge w:val="continue"/>
            <w:vAlign w:val="center"/>
          </w:tcPr>
          <w:p>
            <w:pPr>
              <w:pStyle w:val="323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restart"/>
            <w:vAlign w:val="center"/>
          </w:tcPr>
          <w:p>
            <w:pPr>
              <w:pStyle w:val="3238"/>
              <w:rPr>
                <w:b/>
              </w:rPr>
            </w:pPr>
            <w:r>
              <w:t>3#</w:t>
            </w:r>
          </w:p>
        </w:tc>
        <w:tc>
          <w:tcPr>
            <w:tcW w:w="1043" w:type="pct"/>
            <w:vAlign w:val="center"/>
          </w:tcPr>
          <w:p>
            <w:pPr>
              <w:pStyle w:val="3238"/>
              <w:rPr>
                <w:b/>
              </w:rPr>
            </w:pPr>
            <w:r>
              <w:t>2024年2月20日</w:t>
            </w:r>
          </w:p>
        </w:tc>
        <w:tc>
          <w:tcPr>
            <w:tcW w:w="659" w:type="pct"/>
            <w:vAlign w:val="center"/>
          </w:tcPr>
          <w:p>
            <w:pPr>
              <w:pStyle w:val="3238"/>
              <w:rPr>
                <w:b/>
              </w:rPr>
            </w:pPr>
            <w:r>
              <w:t>54</w:t>
            </w:r>
          </w:p>
        </w:tc>
        <w:tc>
          <w:tcPr>
            <w:tcW w:w="659" w:type="pct"/>
            <w:vAlign w:val="center"/>
          </w:tcPr>
          <w:p>
            <w:pPr>
              <w:pStyle w:val="3238"/>
              <w:rPr>
                <w:b/>
              </w:rPr>
            </w:pPr>
            <w:r>
              <w:t>47</w:t>
            </w:r>
          </w:p>
        </w:tc>
        <w:tc>
          <w:tcPr>
            <w:tcW w:w="576" w:type="pct"/>
            <w:vMerge w:val="restart"/>
            <w:vAlign w:val="center"/>
          </w:tcPr>
          <w:p>
            <w:pPr>
              <w:pStyle w:val="3238"/>
              <w:rPr>
                <w:b/>
              </w:rPr>
            </w:pPr>
            <w:r>
              <w:t>60</w:t>
            </w:r>
          </w:p>
        </w:tc>
        <w:tc>
          <w:tcPr>
            <w:tcW w:w="659" w:type="pct"/>
            <w:vMerge w:val="restart"/>
            <w:vAlign w:val="center"/>
          </w:tcPr>
          <w:p>
            <w:pPr>
              <w:pStyle w:val="3238"/>
              <w:rPr>
                <w:b/>
              </w:rPr>
            </w:pPr>
            <w:r>
              <w:t>50</w:t>
            </w:r>
          </w:p>
        </w:tc>
        <w:tc>
          <w:tcPr>
            <w:tcW w:w="964" w:type="pct"/>
            <w:vMerge w:val="restart"/>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continue"/>
            <w:vAlign w:val="center"/>
          </w:tcPr>
          <w:p>
            <w:pPr>
              <w:pStyle w:val="3238"/>
            </w:pPr>
          </w:p>
        </w:tc>
        <w:tc>
          <w:tcPr>
            <w:tcW w:w="1043" w:type="pct"/>
            <w:vAlign w:val="center"/>
          </w:tcPr>
          <w:p>
            <w:pPr>
              <w:pStyle w:val="3238"/>
              <w:rPr>
                <w:b/>
              </w:rPr>
            </w:pPr>
            <w:r>
              <w:t>2024年2月21日</w:t>
            </w:r>
          </w:p>
        </w:tc>
        <w:tc>
          <w:tcPr>
            <w:tcW w:w="659" w:type="pct"/>
            <w:vAlign w:val="center"/>
          </w:tcPr>
          <w:p>
            <w:pPr>
              <w:pStyle w:val="3238"/>
              <w:rPr>
                <w:b/>
              </w:rPr>
            </w:pPr>
            <w:r>
              <w:t>54</w:t>
            </w:r>
          </w:p>
        </w:tc>
        <w:tc>
          <w:tcPr>
            <w:tcW w:w="659" w:type="pct"/>
            <w:vAlign w:val="center"/>
          </w:tcPr>
          <w:p>
            <w:pPr>
              <w:pStyle w:val="3238"/>
              <w:rPr>
                <w:b/>
              </w:rPr>
            </w:pPr>
            <w:r>
              <w:t>47</w:t>
            </w:r>
          </w:p>
        </w:tc>
        <w:tc>
          <w:tcPr>
            <w:tcW w:w="576" w:type="pct"/>
            <w:vMerge w:val="continue"/>
            <w:vAlign w:val="center"/>
          </w:tcPr>
          <w:p>
            <w:pPr>
              <w:pStyle w:val="3238"/>
            </w:pPr>
          </w:p>
        </w:tc>
        <w:tc>
          <w:tcPr>
            <w:tcW w:w="659" w:type="pct"/>
            <w:vMerge w:val="continue"/>
            <w:vAlign w:val="center"/>
          </w:tcPr>
          <w:p>
            <w:pPr>
              <w:pStyle w:val="3238"/>
            </w:pPr>
          </w:p>
        </w:tc>
        <w:tc>
          <w:tcPr>
            <w:tcW w:w="964" w:type="pct"/>
            <w:vMerge w:val="continue"/>
            <w:vAlign w:val="center"/>
          </w:tcPr>
          <w:p>
            <w:pPr>
              <w:pStyle w:val="323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restart"/>
            <w:vAlign w:val="center"/>
          </w:tcPr>
          <w:p>
            <w:pPr>
              <w:pStyle w:val="3238"/>
              <w:rPr>
                <w:b/>
              </w:rPr>
            </w:pPr>
            <w:r>
              <w:t>4#</w:t>
            </w:r>
          </w:p>
        </w:tc>
        <w:tc>
          <w:tcPr>
            <w:tcW w:w="1043" w:type="pct"/>
            <w:vAlign w:val="center"/>
          </w:tcPr>
          <w:p>
            <w:pPr>
              <w:pStyle w:val="3238"/>
              <w:rPr>
                <w:b/>
              </w:rPr>
            </w:pPr>
            <w:r>
              <w:t>2024年2月20日</w:t>
            </w:r>
          </w:p>
        </w:tc>
        <w:tc>
          <w:tcPr>
            <w:tcW w:w="659" w:type="pct"/>
            <w:vAlign w:val="center"/>
          </w:tcPr>
          <w:p>
            <w:pPr>
              <w:pStyle w:val="3238"/>
              <w:rPr>
                <w:b/>
              </w:rPr>
            </w:pPr>
            <w:r>
              <w:t>55</w:t>
            </w:r>
          </w:p>
        </w:tc>
        <w:tc>
          <w:tcPr>
            <w:tcW w:w="659" w:type="pct"/>
            <w:vAlign w:val="center"/>
          </w:tcPr>
          <w:p>
            <w:pPr>
              <w:pStyle w:val="3238"/>
              <w:rPr>
                <w:b/>
              </w:rPr>
            </w:pPr>
            <w:r>
              <w:t>44</w:t>
            </w:r>
          </w:p>
        </w:tc>
        <w:tc>
          <w:tcPr>
            <w:tcW w:w="576" w:type="pct"/>
            <w:vMerge w:val="restart"/>
            <w:vAlign w:val="center"/>
          </w:tcPr>
          <w:p>
            <w:pPr>
              <w:pStyle w:val="3238"/>
              <w:rPr>
                <w:b/>
              </w:rPr>
            </w:pPr>
            <w:r>
              <w:t>60</w:t>
            </w:r>
          </w:p>
        </w:tc>
        <w:tc>
          <w:tcPr>
            <w:tcW w:w="659" w:type="pct"/>
            <w:vMerge w:val="restart"/>
            <w:vAlign w:val="center"/>
          </w:tcPr>
          <w:p>
            <w:pPr>
              <w:pStyle w:val="3238"/>
              <w:rPr>
                <w:b/>
              </w:rPr>
            </w:pPr>
            <w:r>
              <w:t>50</w:t>
            </w:r>
          </w:p>
        </w:tc>
        <w:tc>
          <w:tcPr>
            <w:tcW w:w="964" w:type="pct"/>
            <w:vMerge w:val="restart"/>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40" w:type="pct"/>
            <w:vMerge w:val="continue"/>
            <w:vAlign w:val="center"/>
          </w:tcPr>
          <w:p>
            <w:pPr>
              <w:pStyle w:val="3238"/>
            </w:pPr>
          </w:p>
        </w:tc>
        <w:tc>
          <w:tcPr>
            <w:tcW w:w="1043" w:type="pct"/>
            <w:vAlign w:val="center"/>
          </w:tcPr>
          <w:p>
            <w:pPr>
              <w:pStyle w:val="3238"/>
              <w:rPr>
                <w:b/>
              </w:rPr>
            </w:pPr>
            <w:r>
              <w:t>2024年2月21日</w:t>
            </w:r>
          </w:p>
        </w:tc>
        <w:tc>
          <w:tcPr>
            <w:tcW w:w="659" w:type="pct"/>
            <w:vAlign w:val="center"/>
          </w:tcPr>
          <w:p>
            <w:pPr>
              <w:pStyle w:val="3238"/>
              <w:rPr>
                <w:b/>
              </w:rPr>
            </w:pPr>
            <w:r>
              <w:t>55</w:t>
            </w:r>
          </w:p>
        </w:tc>
        <w:tc>
          <w:tcPr>
            <w:tcW w:w="659" w:type="pct"/>
            <w:vAlign w:val="center"/>
          </w:tcPr>
          <w:p>
            <w:pPr>
              <w:pStyle w:val="3238"/>
              <w:rPr>
                <w:b/>
              </w:rPr>
            </w:pPr>
            <w:r>
              <w:t>45</w:t>
            </w:r>
          </w:p>
        </w:tc>
        <w:tc>
          <w:tcPr>
            <w:tcW w:w="576" w:type="pct"/>
            <w:vMerge w:val="continue"/>
            <w:vAlign w:val="center"/>
          </w:tcPr>
          <w:p>
            <w:pPr>
              <w:pStyle w:val="3238"/>
            </w:pPr>
          </w:p>
        </w:tc>
        <w:tc>
          <w:tcPr>
            <w:tcW w:w="659" w:type="pct"/>
            <w:vMerge w:val="continue"/>
            <w:vAlign w:val="center"/>
          </w:tcPr>
          <w:p>
            <w:pPr>
              <w:pStyle w:val="3238"/>
            </w:pPr>
          </w:p>
        </w:tc>
        <w:tc>
          <w:tcPr>
            <w:tcW w:w="964" w:type="pct"/>
            <w:vMerge w:val="continue"/>
            <w:vAlign w:val="center"/>
          </w:tcPr>
          <w:p>
            <w:pPr>
              <w:pStyle w:val="3238"/>
            </w:pPr>
          </w:p>
        </w:tc>
      </w:tr>
    </w:tbl>
    <w:p>
      <w:pPr>
        <w:pStyle w:val="222"/>
      </w:pPr>
      <w:r>
        <w:t>由上表可知，各监测点昼间、夜间噪声监测值均满足《声环境质量标准》（GB3096-2008）2类标准要求，项目所在地声环境质量较好。</w:t>
      </w:r>
    </w:p>
    <w:p>
      <w:pPr>
        <w:pStyle w:val="222"/>
      </w:pPr>
    </w:p>
    <w:p>
      <w:pPr>
        <w:pStyle w:val="222"/>
      </w:pPr>
    </w:p>
    <w:p>
      <w:pPr>
        <w:pStyle w:val="222"/>
      </w:pPr>
    </w:p>
    <w:p>
      <w:pPr>
        <w:ind w:firstLine="520"/>
        <w:jc w:val="both"/>
        <w:sectPr>
          <w:headerReference r:id="rId27" w:type="first"/>
          <w:footerReference r:id="rId30" w:type="first"/>
          <w:footerReference r:id="rId28" w:type="default"/>
          <w:headerReference r:id="rId26" w:type="even"/>
          <w:footerReference r:id="rId29" w:type="even"/>
          <w:pgSz w:w="11907" w:h="16840"/>
          <w:pgMar w:top="1588" w:right="1418" w:bottom="1366" w:left="1418" w:header="1134" w:footer="1134" w:gutter="0"/>
          <w:cols w:space="425" w:num="1"/>
          <w:docGrid w:linePitch="354" w:charSpace="0"/>
        </w:sectPr>
      </w:pPr>
    </w:p>
    <w:p>
      <w:pPr>
        <w:pStyle w:val="3"/>
        <w:numPr>
          <w:ilvl w:val="0"/>
          <w:numId w:val="0"/>
        </w:numPr>
        <w:spacing w:before="240" w:after="240"/>
      </w:pPr>
      <w:bookmarkStart w:id="175" w:name="_Toc161676108"/>
      <w:r>
        <w:t>5生态环境影响评价</w:t>
      </w:r>
      <w:bookmarkEnd w:id="175"/>
    </w:p>
    <w:p>
      <w:pPr>
        <w:pStyle w:val="4"/>
      </w:pPr>
      <w:bookmarkStart w:id="176" w:name="_Toc36713421"/>
      <w:bookmarkStart w:id="177" w:name="_Toc527332962"/>
      <w:bookmarkStart w:id="178" w:name="_Toc161676109"/>
      <w:r>
        <w:t>5.1对土地利用的影响</w:t>
      </w:r>
      <w:bookmarkEnd w:id="176"/>
      <w:bookmarkEnd w:id="177"/>
      <w:bookmarkEnd w:id="178"/>
    </w:p>
    <w:p>
      <w:pPr>
        <w:pStyle w:val="222"/>
      </w:pPr>
      <w:r>
        <w:t>根据项目占用土地利用现状表可知，项目采区占地面积0.0466k</w:t>
      </w:r>
      <w:r>
        <w:rPr>
          <w:bCs/>
        </w:rPr>
        <w:t>m</w:t>
      </w:r>
      <w:r>
        <w:rPr>
          <w:bCs/>
          <w:vertAlign w:val="superscript"/>
        </w:rPr>
        <w:t>2</w:t>
      </w:r>
      <w:r>
        <w:rPr>
          <w:bCs/>
        </w:rPr>
        <w:t>，</w:t>
      </w:r>
      <w:r>
        <w:t>项目占地以耕地（旱地）、林地（有林地）为主。其中耕地占地面积为0.2461hm</w:t>
      </w:r>
      <w:r>
        <w:rPr>
          <w:vertAlign w:val="superscript"/>
        </w:rPr>
        <w:t>2</w:t>
      </w:r>
      <w:r>
        <w:t>，占总面积的5.3%；林地占地面积为3.0572hm</w:t>
      </w:r>
      <w:r>
        <w:rPr>
          <w:vertAlign w:val="superscript"/>
        </w:rPr>
        <w:t>2</w:t>
      </w:r>
      <w:r>
        <w:t>，占总面积的65.6%；其余为少量的住宅用地、园地。根据调查，项目开采区占地不涉及基本农田，林地不涉及原始天然林、公益林等，为人工林，后期易于重建。工业场地利用现有场地进行建设，现状主要为建设用地。采区的表面有较厚土层覆盖，本环评要求在开采工作面进行剥离前，尽量先将高大乔木进行移栽，再进行表土剥离。首采工作面及运输公路剥离的表层土全部运至排土场堆放，用作后期用作复垦用土。</w:t>
      </w:r>
    </w:p>
    <w:p>
      <w:pPr>
        <w:pStyle w:val="222"/>
      </w:pPr>
      <w:r>
        <w:t>本项目开发建设过程将导致原土地利用类型临时发生变化，由原来的林地、草地、旱地转变为裸露的采矿用地。待开采结束后通过生态恢复措施，尽量恢复为原有土地利用类型。同时，采取边开采边生态恢复的措施，使有林地类型净损失也有所减少。</w:t>
      </w:r>
    </w:p>
    <w:p>
      <w:pPr>
        <w:pStyle w:val="4"/>
      </w:pPr>
      <w:bookmarkStart w:id="179" w:name="_Toc161676110"/>
      <w:bookmarkStart w:id="180" w:name="_Toc36713422"/>
      <w:bookmarkStart w:id="181" w:name="_Toc527332964"/>
      <w:r>
        <w:t>5.2对动植物的影响</w:t>
      </w:r>
      <w:bookmarkEnd w:id="179"/>
      <w:bookmarkEnd w:id="180"/>
      <w:bookmarkEnd w:id="181"/>
    </w:p>
    <w:p>
      <w:pPr>
        <w:pStyle w:val="5"/>
        <w:rPr>
          <w:color w:val="auto"/>
        </w:rPr>
      </w:pPr>
      <w:r>
        <w:rPr>
          <w:color w:val="auto"/>
        </w:rPr>
        <w:t>5.2.1对生物量及生产力的影响</w:t>
      </w:r>
    </w:p>
    <w:p>
      <w:pPr>
        <w:pStyle w:val="222"/>
      </w:pPr>
      <w:r>
        <w:t>露天矿山建设将清除地表植被，剥离地表覆盖层，势必降低植被覆盖率，导致区域植被的损失。植被生物量损失的植被类型主要为农作物、人工林植被，物种均为周边常见物种。项目的建设对地表农作物或植被产生一定的扰动和破坏，但由于占地面积较小，导致的生物量损失很少。项目采取边开采边生态恢复的生产方式，占地范围内的植被将得以恢复，区域生物量将逐渐恢复。</w:t>
      </w:r>
    </w:p>
    <w:p>
      <w:pPr>
        <w:pStyle w:val="222"/>
        <w:rPr>
          <w:szCs w:val="21"/>
        </w:rPr>
      </w:pPr>
      <w:r>
        <w:rPr>
          <w:szCs w:val="21"/>
        </w:rPr>
        <w:t>（1）占地生物量、生产力损失</w:t>
      </w:r>
    </w:p>
    <w:p>
      <w:pPr>
        <w:pStyle w:val="222"/>
        <w:rPr>
          <w:szCs w:val="21"/>
        </w:rPr>
      </w:pPr>
      <w:r>
        <w:rPr>
          <w:szCs w:val="21"/>
        </w:rPr>
        <w:t>评价范围地处地处低山宽谷和方山中丘，地带性植被类型为常绿阔叶林，因人为活动频繁，原始天然林基本无存，目前多为次生林或半人工林。</w:t>
      </w:r>
    </w:p>
    <w:p>
      <w:pPr>
        <w:pStyle w:val="222"/>
        <w:rPr>
          <w:szCs w:val="21"/>
        </w:rPr>
      </w:pPr>
      <w:r>
        <w:rPr>
          <w:szCs w:val="21"/>
        </w:rPr>
        <w:t>项目建设和开采期间清除地表植被，剥离地表覆盖层，势必降低植被覆盖率，导致区域植被生物量及生产力受到一定损失。根据遥感影像和现场调查，项目开采区占地面积共0.0466km</w:t>
      </w:r>
      <w:r>
        <w:rPr>
          <w:szCs w:val="21"/>
          <w:vertAlign w:val="superscript"/>
        </w:rPr>
        <w:t>2</w:t>
      </w:r>
      <w:r>
        <w:rPr>
          <w:szCs w:val="21"/>
        </w:rPr>
        <w:t>，据生物量、生产力计算，计算项目占地生物量、生产力损失量见表。</w:t>
      </w:r>
    </w:p>
    <w:p>
      <w:pPr>
        <w:pStyle w:val="222"/>
        <w:rPr>
          <w:szCs w:val="21"/>
        </w:rPr>
      </w:pPr>
    </w:p>
    <w:p>
      <w:pPr>
        <w:pStyle w:val="84"/>
      </w:pPr>
      <w:r>
        <w:t>表5.2-1  因项目占地而损失的生物量和生产力统计表</w:t>
      </w:r>
    </w:p>
    <w:tbl>
      <w:tblPr>
        <w:tblStyle w:val="88"/>
        <w:tblW w:w="5000" w:type="pct"/>
        <w:tblInd w:w="0" w:type="dxa"/>
        <w:tblLayout w:type="autofit"/>
        <w:tblCellMar>
          <w:top w:w="0" w:type="dxa"/>
          <w:left w:w="108" w:type="dxa"/>
          <w:bottom w:w="0" w:type="dxa"/>
          <w:right w:w="108" w:type="dxa"/>
        </w:tblCellMar>
      </w:tblPr>
      <w:tblGrid>
        <w:gridCol w:w="998"/>
        <w:gridCol w:w="860"/>
        <w:gridCol w:w="1152"/>
        <w:gridCol w:w="1880"/>
        <w:gridCol w:w="1085"/>
        <w:gridCol w:w="2058"/>
        <w:gridCol w:w="1254"/>
      </w:tblGrid>
      <w:tr>
        <w:trPr>
          <w:trHeight w:val="300" w:hRule="atLeast"/>
        </w:trPr>
        <w:tc>
          <w:tcPr>
            <w:tcW w:w="544" w:type="pct"/>
            <w:vMerge w:val="restart"/>
            <w:tcBorders>
              <w:top w:val="single" w:color="auto" w:sz="8" w:space="0"/>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占地区域</w:t>
            </w:r>
          </w:p>
        </w:tc>
        <w:tc>
          <w:tcPr>
            <w:tcW w:w="469" w:type="pct"/>
            <w:vMerge w:val="restart"/>
            <w:tcBorders>
              <w:top w:val="single" w:color="auto" w:sz="8" w:space="0"/>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植被类型</w:t>
            </w:r>
          </w:p>
        </w:tc>
        <w:tc>
          <w:tcPr>
            <w:tcW w:w="626" w:type="pct"/>
            <w:vMerge w:val="restart"/>
            <w:tcBorders>
              <w:top w:val="single" w:color="auto" w:sz="8" w:space="0"/>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占用面积（hm</w:t>
            </w:r>
            <w:r>
              <w:rPr>
                <w:b/>
                <w:bCs/>
                <w:kern w:val="0"/>
                <w:sz w:val="21"/>
                <w:szCs w:val="28"/>
                <w:vertAlign w:val="superscript"/>
              </w:rPr>
              <w:t>2</w:t>
            </w:r>
            <w:r>
              <w:rPr>
                <w:b/>
                <w:bCs/>
                <w:kern w:val="0"/>
                <w:sz w:val="21"/>
                <w:szCs w:val="28"/>
              </w:rPr>
              <w:t>）</w:t>
            </w:r>
          </w:p>
        </w:tc>
        <w:tc>
          <w:tcPr>
            <w:tcW w:w="1566" w:type="pct"/>
            <w:gridSpan w:val="2"/>
            <w:tcBorders>
              <w:top w:val="single" w:color="auto" w:sz="8" w:space="0"/>
              <w:left w:val="nil"/>
              <w:bottom w:val="single" w:color="auto" w:sz="8" w:space="0"/>
              <w:right w:val="single" w:color="000000"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生物量</w:t>
            </w:r>
          </w:p>
        </w:tc>
        <w:tc>
          <w:tcPr>
            <w:tcW w:w="1795" w:type="pct"/>
            <w:gridSpan w:val="2"/>
            <w:tcBorders>
              <w:top w:val="single" w:color="auto" w:sz="8" w:space="0"/>
              <w:left w:val="nil"/>
              <w:bottom w:val="single" w:color="auto" w:sz="8" w:space="0"/>
              <w:right w:val="single" w:color="000000"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生产力</w:t>
            </w:r>
          </w:p>
        </w:tc>
      </w:tr>
      <w:tr>
        <w:trPr>
          <w:trHeight w:val="491" w:hRule="atLeast"/>
        </w:trPr>
        <w:tc>
          <w:tcPr>
            <w:tcW w:w="544" w:type="pct"/>
            <w:vMerge w:val="continue"/>
            <w:tcBorders>
              <w:top w:val="single" w:color="auto" w:sz="8" w:space="0"/>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p>
        </w:tc>
        <w:tc>
          <w:tcPr>
            <w:tcW w:w="469" w:type="pct"/>
            <w:vMerge w:val="continue"/>
            <w:tcBorders>
              <w:top w:val="single" w:color="auto" w:sz="8" w:space="0"/>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p>
        </w:tc>
        <w:tc>
          <w:tcPr>
            <w:tcW w:w="626" w:type="pct"/>
            <w:vMerge w:val="continue"/>
            <w:tcBorders>
              <w:top w:val="single" w:color="auto" w:sz="8" w:space="0"/>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p>
        </w:tc>
        <w:tc>
          <w:tcPr>
            <w:tcW w:w="1018" w:type="pct"/>
            <w:tcBorders>
              <w:top w:val="nil"/>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单位面积平均生物量（t/hm</w:t>
            </w:r>
            <w:r>
              <w:rPr>
                <w:b/>
                <w:bCs/>
                <w:kern w:val="0"/>
                <w:sz w:val="21"/>
                <w:szCs w:val="28"/>
                <w:vertAlign w:val="superscript"/>
              </w:rPr>
              <w:t>2</w:t>
            </w:r>
            <w:r>
              <w:rPr>
                <w:b/>
                <w:bCs/>
                <w:kern w:val="0"/>
                <w:sz w:val="21"/>
                <w:szCs w:val="28"/>
              </w:rPr>
              <w:t>）</w:t>
            </w:r>
          </w:p>
        </w:tc>
        <w:tc>
          <w:tcPr>
            <w:tcW w:w="548" w:type="pct"/>
            <w:tcBorders>
              <w:top w:val="nil"/>
              <w:left w:val="nil"/>
              <w:bottom w:val="single" w:color="auto"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损失量</w:t>
            </w:r>
          </w:p>
          <w:p>
            <w:pPr>
              <w:spacing w:line="240" w:lineRule="auto"/>
              <w:ind w:firstLine="0" w:firstLineChars="0"/>
              <w:jc w:val="center"/>
              <w:rPr>
                <w:b/>
                <w:bCs/>
                <w:kern w:val="0"/>
                <w:sz w:val="21"/>
                <w:szCs w:val="28"/>
              </w:rPr>
            </w:pPr>
            <w:r>
              <w:rPr>
                <w:b/>
                <w:bCs/>
                <w:kern w:val="0"/>
                <w:sz w:val="21"/>
                <w:szCs w:val="28"/>
              </w:rPr>
              <w:t>（t）</w:t>
            </w:r>
          </w:p>
        </w:tc>
        <w:tc>
          <w:tcPr>
            <w:tcW w:w="1114" w:type="pct"/>
            <w:tcBorders>
              <w:top w:val="nil"/>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单位面积平均生产力（t/hm</w:t>
            </w:r>
            <w:r>
              <w:rPr>
                <w:b/>
                <w:bCs/>
                <w:kern w:val="0"/>
                <w:sz w:val="21"/>
                <w:szCs w:val="28"/>
                <w:vertAlign w:val="superscript"/>
              </w:rPr>
              <w:t>2</w:t>
            </w:r>
            <w:r>
              <w:rPr>
                <w:b/>
                <w:bCs/>
                <w:kern w:val="0"/>
                <w:sz w:val="21"/>
                <w:szCs w:val="28"/>
              </w:rPr>
              <w:t>·a）</w:t>
            </w:r>
          </w:p>
        </w:tc>
        <w:tc>
          <w:tcPr>
            <w:tcW w:w="681" w:type="pct"/>
            <w:tcBorders>
              <w:top w:val="nil"/>
              <w:left w:val="single" w:color="auto" w:sz="8" w:space="0"/>
              <w:bottom w:val="single" w:color="000000" w:sz="8" w:space="0"/>
              <w:right w:val="single" w:color="auto" w:sz="8" w:space="0"/>
            </w:tcBorders>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损失量（t/a）</w:t>
            </w:r>
          </w:p>
        </w:tc>
      </w:tr>
      <w:tr>
        <w:trPr>
          <w:trHeight w:val="300" w:hRule="atLeast"/>
        </w:trPr>
        <w:tc>
          <w:tcPr>
            <w:tcW w:w="544" w:type="pct"/>
            <w:vMerge w:val="restart"/>
            <w:tcBorders>
              <w:top w:val="nil"/>
              <w:left w:val="single" w:color="auto" w:sz="8" w:space="0"/>
              <w:bottom w:val="single" w:color="000000"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采区、工业占地等</w:t>
            </w:r>
          </w:p>
        </w:tc>
        <w:tc>
          <w:tcPr>
            <w:tcW w:w="469"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常绿阔叶林</w:t>
            </w:r>
          </w:p>
        </w:tc>
        <w:tc>
          <w:tcPr>
            <w:tcW w:w="626"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-1.1136</w:t>
            </w:r>
          </w:p>
        </w:tc>
        <w:tc>
          <w:tcPr>
            <w:tcW w:w="1018" w:type="pct"/>
            <w:tcBorders>
              <w:top w:val="single" w:color="auto" w:sz="8" w:space="0"/>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114.7</w:t>
            </w:r>
          </w:p>
        </w:tc>
        <w:tc>
          <w:tcPr>
            <w:tcW w:w="548" w:type="pct"/>
            <w:tcBorders>
              <w:top w:val="single" w:color="auto" w:sz="8" w:space="0"/>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-127.730</w:t>
            </w:r>
          </w:p>
        </w:tc>
        <w:tc>
          <w:tcPr>
            <w:tcW w:w="111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12.7</w:t>
            </w:r>
          </w:p>
        </w:tc>
        <w:tc>
          <w:tcPr>
            <w:tcW w:w="681"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-14.143</w:t>
            </w:r>
          </w:p>
        </w:tc>
      </w:tr>
      <w:tr>
        <w:trPr>
          <w:trHeight w:val="191" w:hRule="atLeast"/>
        </w:trPr>
        <w:tc>
          <w:tcPr>
            <w:tcW w:w="544" w:type="pct"/>
            <w:vMerge w:val="continue"/>
            <w:tcBorders>
              <w:top w:val="nil"/>
              <w:left w:val="single" w:color="auto" w:sz="8" w:space="0"/>
              <w:bottom w:val="single" w:color="000000" w:sz="8" w:space="0"/>
              <w:right w:val="single" w:color="auto" w:sz="8" w:space="0"/>
            </w:tcBorders>
            <w:vAlign w:val="center"/>
          </w:tcPr>
          <w:p>
            <w:pPr>
              <w:adjustRightInd/>
              <w:snapToGrid/>
              <w:spacing w:line="240" w:lineRule="auto"/>
              <w:ind w:firstLine="0" w:firstLineChars="0"/>
              <w:jc w:val="center"/>
              <w:rPr>
                <w:kern w:val="0"/>
                <w:sz w:val="21"/>
                <w:szCs w:val="28"/>
              </w:rPr>
            </w:pPr>
          </w:p>
        </w:tc>
        <w:tc>
          <w:tcPr>
            <w:tcW w:w="469"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竹林</w:t>
            </w:r>
          </w:p>
        </w:tc>
        <w:tc>
          <w:tcPr>
            <w:tcW w:w="626"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-0.8771</w:t>
            </w:r>
          </w:p>
        </w:tc>
        <w:tc>
          <w:tcPr>
            <w:tcW w:w="1018"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14.3</w:t>
            </w:r>
          </w:p>
        </w:tc>
        <w:tc>
          <w:tcPr>
            <w:tcW w:w="548"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-12.543</w:t>
            </w:r>
          </w:p>
        </w:tc>
        <w:tc>
          <w:tcPr>
            <w:tcW w:w="111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4.3</w:t>
            </w:r>
          </w:p>
        </w:tc>
        <w:tc>
          <w:tcPr>
            <w:tcW w:w="681"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-3.772</w:t>
            </w:r>
          </w:p>
        </w:tc>
      </w:tr>
      <w:tr>
        <w:trPr>
          <w:trHeight w:val="336" w:hRule="atLeast"/>
        </w:trPr>
        <w:tc>
          <w:tcPr>
            <w:tcW w:w="544" w:type="pct"/>
            <w:vMerge w:val="continue"/>
            <w:tcBorders>
              <w:top w:val="nil"/>
              <w:left w:val="single" w:color="auto" w:sz="8" w:space="0"/>
              <w:bottom w:val="single" w:color="000000" w:sz="8" w:space="0"/>
              <w:right w:val="single" w:color="auto" w:sz="8" w:space="0"/>
            </w:tcBorders>
            <w:vAlign w:val="center"/>
          </w:tcPr>
          <w:p>
            <w:pPr>
              <w:adjustRightInd/>
              <w:snapToGrid/>
              <w:spacing w:line="240" w:lineRule="auto"/>
              <w:ind w:firstLine="0" w:firstLineChars="0"/>
              <w:jc w:val="center"/>
              <w:rPr>
                <w:kern w:val="0"/>
                <w:sz w:val="21"/>
                <w:szCs w:val="28"/>
              </w:rPr>
            </w:pPr>
          </w:p>
        </w:tc>
        <w:tc>
          <w:tcPr>
            <w:tcW w:w="469" w:type="pct"/>
            <w:tcBorders>
              <w:top w:val="nil"/>
              <w:left w:val="nil"/>
              <w:bottom w:val="single" w:color="auto" w:sz="8" w:space="0"/>
              <w:right w:val="single" w:color="auto" w:sz="8" w:space="0"/>
            </w:tcBorders>
            <w:shd w:val="clear" w:color="auto" w:fill="auto"/>
            <w:noWrap/>
            <w:vAlign w:val="center"/>
          </w:tcPr>
          <w:p>
            <w:pPr>
              <w:adjustRightInd/>
              <w:snapToGrid/>
              <w:spacing w:line="240" w:lineRule="auto"/>
              <w:ind w:firstLine="0" w:firstLineChars="0"/>
              <w:jc w:val="center"/>
              <w:rPr>
                <w:kern w:val="0"/>
                <w:sz w:val="21"/>
                <w:szCs w:val="28"/>
              </w:rPr>
            </w:pPr>
            <w:r>
              <w:rPr>
                <w:kern w:val="0"/>
                <w:sz w:val="21"/>
                <w:szCs w:val="28"/>
              </w:rPr>
              <w:t>灌木林</w:t>
            </w:r>
          </w:p>
        </w:tc>
        <w:tc>
          <w:tcPr>
            <w:tcW w:w="626"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-1.0665</w:t>
            </w:r>
          </w:p>
        </w:tc>
        <w:tc>
          <w:tcPr>
            <w:tcW w:w="1018"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11.9</w:t>
            </w:r>
          </w:p>
        </w:tc>
        <w:tc>
          <w:tcPr>
            <w:tcW w:w="548"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-12.691</w:t>
            </w:r>
          </w:p>
        </w:tc>
        <w:tc>
          <w:tcPr>
            <w:tcW w:w="111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5.9</w:t>
            </w:r>
          </w:p>
        </w:tc>
        <w:tc>
          <w:tcPr>
            <w:tcW w:w="681"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-6.292</w:t>
            </w:r>
          </w:p>
        </w:tc>
      </w:tr>
      <w:tr>
        <w:trPr>
          <w:trHeight w:val="300" w:hRule="atLeast"/>
        </w:trPr>
        <w:tc>
          <w:tcPr>
            <w:tcW w:w="544" w:type="pct"/>
            <w:vMerge w:val="continue"/>
            <w:tcBorders>
              <w:top w:val="nil"/>
              <w:left w:val="single" w:color="auto" w:sz="8" w:space="0"/>
              <w:bottom w:val="single" w:color="000000" w:sz="8" w:space="0"/>
              <w:right w:val="single" w:color="auto" w:sz="8" w:space="0"/>
            </w:tcBorders>
            <w:vAlign w:val="center"/>
          </w:tcPr>
          <w:p>
            <w:pPr>
              <w:adjustRightInd/>
              <w:snapToGrid/>
              <w:spacing w:line="240" w:lineRule="auto"/>
              <w:ind w:firstLine="0" w:firstLineChars="0"/>
              <w:jc w:val="center"/>
              <w:rPr>
                <w:kern w:val="0"/>
                <w:sz w:val="21"/>
                <w:szCs w:val="28"/>
              </w:rPr>
            </w:pPr>
          </w:p>
        </w:tc>
        <w:tc>
          <w:tcPr>
            <w:tcW w:w="469"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合计</w:t>
            </w:r>
          </w:p>
        </w:tc>
        <w:tc>
          <w:tcPr>
            <w:tcW w:w="626"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-3.0571</w:t>
            </w:r>
          </w:p>
        </w:tc>
        <w:tc>
          <w:tcPr>
            <w:tcW w:w="1018"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w:t>
            </w:r>
          </w:p>
        </w:tc>
        <w:tc>
          <w:tcPr>
            <w:tcW w:w="548"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-152.964</w:t>
            </w:r>
          </w:p>
        </w:tc>
        <w:tc>
          <w:tcPr>
            <w:tcW w:w="1114"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sz w:val="21"/>
                <w:szCs w:val="28"/>
              </w:rPr>
              <w:t>/</w:t>
            </w:r>
          </w:p>
        </w:tc>
        <w:tc>
          <w:tcPr>
            <w:tcW w:w="681" w:type="pct"/>
            <w:tcBorders>
              <w:top w:val="nil"/>
              <w:left w:val="nil"/>
              <w:bottom w:val="single" w:color="auto" w:sz="8" w:space="0"/>
              <w:right w:val="single" w:color="auto" w:sz="8" w:space="0"/>
            </w:tcBorders>
            <w:shd w:val="clear" w:color="auto" w:fill="auto"/>
            <w:vAlign w:val="center"/>
          </w:tcPr>
          <w:p>
            <w:pPr>
              <w:adjustRightInd/>
              <w:snapToGrid/>
              <w:spacing w:line="240" w:lineRule="auto"/>
              <w:ind w:firstLine="0" w:firstLineChars="0"/>
              <w:jc w:val="center"/>
              <w:rPr>
                <w:kern w:val="0"/>
                <w:sz w:val="21"/>
                <w:szCs w:val="28"/>
              </w:rPr>
            </w:pPr>
            <w:r>
              <w:rPr>
                <w:kern w:val="0"/>
                <w:sz w:val="21"/>
                <w:szCs w:val="28"/>
              </w:rPr>
              <w:t>-24.207</w:t>
            </w:r>
          </w:p>
        </w:tc>
      </w:tr>
    </w:tbl>
    <w:p>
      <w:pPr>
        <w:ind w:firstLine="480"/>
        <w:jc w:val="both"/>
        <w:rPr>
          <w:sz w:val="24"/>
          <w:szCs w:val="21"/>
        </w:rPr>
      </w:pPr>
      <w:r>
        <w:rPr>
          <w:sz w:val="24"/>
          <w:szCs w:val="21"/>
        </w:rPr>
        <w:t>根据上表，矿山建设及生产清除地表植被，直接损失生物量约为152.964t，损失生产力为24.207t/a。</w:t>
      </w:r>
    </w:p>
    <w:p>
      <w:pPr>
        <w:ind w:firstLine="480"/>
        <w:jc w:val="both"/>
        <w:rPr>
          <w:sz w:val="24"/>
          <w:szCs w:val="21"/>
        </w:rPr>
      </w:pPr>
      <w:r>
        <w:rPr>
          <w:sz w:val="24"/>
          <w:szCs w:val="21"/>
        </w:rPr>
        <w:t>（2）项目占地范围内景观绿化对生物量、生产力补偿</w:t>
      </w:r>
    </w:p>
    <w:p>
      <w:pPr>
        <w:ind w:firstLine="480"/>
        <w:jc w:val="both"/>
        <w:rPr>
          <w:sz w:val="24"/>
          <w:szCs w:val="21"/>
        </w:rPr>
      </w:pPr>
      <w:r>
        <w:rPr>
          <w:sz w:val="24"/>
          <w:szCs w:val="21"/>
        </w:rPr>
        <w:t>按照绿色矿山以及生态绿化倡导，项目建设后，并非对整个占地区域进行硬化或非植被建设，而是对工业场地空地及环境边坡进行景观绿化，以美化项目环境，绿化主要以栽植草灌为主。景观绿化对损失的生物量和生产力有一定补偿，对区域生态环境影响具有一定缓解。</w:t>
      </w:r>
    </w:p>
    <w:p>
      <w:pPr>
        <w:ind w:firstLine="480"/>
        <w:jc w:val="both"/>
        <w:rPr>
          <w:sz w:val="24"/>
          <w:szCs w:val="21"/>
        </w:rPr>
      </w:pPr>
      <w:r>
        <w:rPr>
          <w:sz w:val="24"/>
          <w:szCs w:val="21"/>
        </w:rPr>
        <w:t>根据调查资料确定，项目工业场地周边景观绿化面积约1000m</w:t>
      </w:r>
      <w:r>
        <w:rPr>
          <w:sz w:val="24"/>
          <w:szCs w:val="21"/>
          <w:vertAlign w:val="superscript"/>
        </w:rPr>
        <w:t>2</w:t>
      </w:r>
      <w:r>
        <w:rPr>
          <w:sz w:val="24"/>
          <w:szCs w:val="21"/>
        </w:rPr>
        <w:t>。经计算，景观绿化生物量、生产力补偿量计算见下表。</w:t>
      </w:r>
    </w:p>
    <w:p>
      <w:pPr>
        <w:pStyle w:val="84"/>
      </w:pPr>
      <w:r>
        <w:t>表5.2-2  景观绿化区补偿生物量和生产力统计表</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
        <w:gridCol w:w="773"/>
        <w:gridCol w:w="1134"/>
        <w:gridCol w:w="1560"/>
        <w:gridCol w:w="1417"/>
        <w:gridCol w:w="2123"/>
        <w:gridCol w:w="1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1" w:hRule="atLeast"/>
        </w:trPr>
        <w:tc>
          <w:tcPr>
            <w:tcW w:w="923" w:type="dxa"/>
            <w:vMerge w:val="restart"/>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补充区域</w:t>
            </w:r>
          </w:p>
        </w:tc>
        <w:tc>
          <w:tcPr>
            <w:tcW w:w="773" w:type="dxa"/>
            <w:vMerge w:val="restart"/>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植被类型</w:t>
            </w:r>
          </w:p>
        </w:tc>
        <w:tc>
          <w:tcPr>
            <w:tcW w:w="1134" w:type="dxa"/>
            <w:vMerge w:val="restart"/>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补偿面积（hm</w:t>
            </w:r>
            <w:r>
              <w:rPr>
                <w:b/>
                <w:bCs/>
                <w:kern w:val="0"/>
                <w:sz w:val="21"/>
                <w:szCs w:val="28"/>
                <w:vertAlign w:val="superscript"/>
              </w:rPr>
              <w:t>2</w:t>
            </w:r>
            <w:r>
              <w:rPr>
                <w:b/>
                <w:bCs/>
                <w:kern w:val="0"/>
                <w:sz w:val="21"/>
                <w:szCs w:val="28"/>
              </w:rPr>
              <w:t>）</w:t>
            </w:r>
          </w:p>
        </w:tc>
        <w:tc>
          <w:tcPr>
            <w:tcW w:w="2977" w:type="dxa"/>
            <w:gridSpan w:val="2"/>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生物量</w:t>
            </w:r>
          </w:p>
        </w:tc>
        <w:tc>
          <w:tcPr>
            <w:tcW w:w="3139" w:type="dxa"/>
            <w:gridSpan w:val="2"/>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生产力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23" w:type="dxa"/>
            <w:vMerge w:val="continue"/>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p>
        </w:tc>
        <w:tc>
          <w:tcPr>
            <w:tcW w:w="773" w:type="dxa"/>
            <w:vMerge w:val="continue"/>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p>
        </w:tc>
        <w:tc>
          <w:tcPr>
            <w:tcW w:w="1134" w:type="dxa"/>
            <w:vMerge w:val="continue"/>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p>
        </w:tc>
        <w:tc>
          <w:tcPr>
            <w:tcW w:w="1560" w:type="dxa"/>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单位面积平均</w:t>
            </w:r>
          </w:p>
          <w:p>
            <w:pPr>
              <w:adjustRightInd/>
              <w:snapToGrid/>
              <w:spacing w:line="240" w:lineRule="auto"/>
              <w:ind w:firstLine="0" w:firstLineChars="0"/>
              <w:jc w:val="center"/>
              <w:rPr>
                <w:b/>
                <w:bCs/>
                <w:kern w:val="0"/>
                <w:sz w:val="21"/>
                <w:szCs w:val="28"/>
              </w:rPr>
            </w:pPr>
            <w:r>
              <w:rPr>
                <w:b/>
                <w:bCs/>
                <w:kern w:val="0"/>
                <w:sz w:val="21"/>
                <w:szCs w:val="28"/>
              </w:rPr>
              <w:t>生物量(t/hm</w:t>
            </w:r>
            <w:r>
              <w:rPr>
                <w:b/>
                <w:bCs/>
                <w:kern w:val="0"/>
                <w:sz w:val="21"/>
                <w:szCs w:val="28"/>
                <w:vertAlign w:val="superscript"/>
              </w:rPr>
              <w:t>2</w:t>
            </w:r>
            <w:r>
              <w:rPr>
                <w:b/>
                <w:bCs/>
                <w:kern w:val="0"/>
                <w:sz w:val="21"/>
                <w:szCs w:val="28"/>
              </w:rPr>
              <w:t>)</w:t>
            </w:r>
          </w:p>
        </w:tc>
        <w:tc>
          <w:tcPr>
            <w:tcW w:w="1417" w:type="dxa"/>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补偿量</w:t>
            </w:r>
          </w:p>
          <w:p>
            <w:pPr>
              <w:adjustRightInd/>
              <w:snapToGrid/>
              <w:spacing w:line="240" w:lineRule="auto"/>
              <w:ind w:firstLine="0" w:firstLineChars="0"/>
              <w:jc w:val="center"/>
              <w:rPr>
                <w:b/>
                <w:bCs/>
                <w:kern w:val="0"/>
                <w:sz w:val="21"/>
                <w:szCs w:val="28"/>
              </w:rPr>
            </w:pPr>
            <w:r>
              <w:rPr>
                <w:b/>
                <w:bCs/>
                <w:kern w:val="0"/>
                <w:sz w:val="21"/>
                <w:szCs w:val="28"/>
              </w:rPr>
              <w:t>（t）</w:t>
            </w:r>
          </w:p>
        </w:tc>
        <w:tc>
          <w:tcPr>
            <w:tcW w:w="2123" w:type="dxa"/>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单位面积平均生产力(t/hm</w:t>
            </w:r>
            <w:r>
              <w:rPr>
                <w:b/>
                <w:bCs/>
                <w:kern w:val="0"/>
                <w:sz w:val="21"/>
                <w:szCs w:val="28"/>
                <w:vertAlign w:val="superscript"/>
              </w:rPr>
              <w:t>2</w:t>
            </w:r>
            <w:r>
              <w:rPr>
                <w:b/>
                <w:bCs/>
                <w:kern w:val="0"/>
                <w:sz w:val="21"/>
                <w:szCs w:val="28"/>
              </w:rPr>
              <w:t>·a)</w:t>
            </w:r>
          </w:p>
        </w:tc>
        <w:tc>
          <w:tcPr>
            <w:tcW w:w="1016" w:type="dxa"/>
            <w:shd w:val="clear" w:color="auto" w:fill="D8D8D8" w:themeFill="background1" w:themeFillShade="D9"/>
            <w:vAlign w:val="center"/>
          </w:tcPr>
          <w:p>
            <w:pPr>
              <w:adjustRightInd/>
              <w:snapToGrid/>
              <w:spacing w:line="240" w:lineRule="auto"/>
              <w:ind w:firstLine="0" w:firstLineChars="0"/>
              <w:jc w:val="center"/>
              <w:rPr>
                <w:b/>
                <w:bCs/>
                <w:kern w:val="0"/>
                <w:sz w:val="21"/>
                <w:szCs w:val="28"/>
              </w:rPr>
            </w:pPr>
            <w:r>
              <w:rPr>
                <w:b/>
                <w:bCs/>
                <w:kern w:val="0"/>
                <w:sz w:val="21"/>
                <w:szCs w:val="28"/>
              </w:rPr>
              <w:t>补偿量（t/a）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23" w:type="dxa"/>
            <w:vAlign w:val="center"/>
          </w:tcPr>
          <w:p>
            <w:pPr>
              <w:adjustRightInd/>
              <w:snapToGrid/>
              <w:spacing w:line="240" w:lineRule="auto"/>
              <w:ind w:firstLine="0" w:firstLineChars="0"/>
              <w:jc w:val="center"/>
              <w:rPr>
                <w:kern w:val="0"/>
                <w:sz w:val="21"/>
                <w:szCs w:val="28"/>
              </w:rPr>
            </w:pPr>
            <w:r>
              <w:rPr>
                <w:kern w:val="0"/>
                <w:sz w:val="21"/>
                <w:szCs w:val="28"/>
              </w:rPr>
              <w:t>景观绿化</w:t>
            </w:r>
          </w:p>
        </w:tc>
        <w:tc>
          <w:tcPr>
            <w:tcW w:w="773" w:type="dxa"/>
            <w:vAlign w:val="center"/>
          </w:tcPr>
          <w:p>
            <w:pPr>
              <w:adjustRightInd/>
              <w:snapToGrid/>
              <w:spacing w:line="240" w:lineRule="auto"/>
              <w:ind w:firstLine="0" w:firstLineChars="0"/>
              <w:jc w:val="center"/>
              <w:rPr>
                <w:kern w:val="0"/>
                <w:sz w:val="21"/>
                <w:szCs w:val="28"/>
              </w:rPr>
            </w:pPr>
            <w:r>
              <w:rPr>
                <w:kern w:val="0"/>
                <w:sz w:val="21"/>
                <w:szCs w:val="28"/>
              </w:rPr>
              <w:t>林地等</w:t>
            </w:r>
          </w:p>
        </w:tc>
        <w:tc>
          <w:tcPr>
            <w:tcW w:w="1134" w:type="dxa"/>
            <w:vAlign w:val="center"/>
          </w:tcPr>
          <w:p>
            <w:pPr>
              <w:adjustRightInd/>
              <w:snapToGrid/>
              <w:spacing w:line="240" w:lineRule="auto"/>
              <w:ind w:firstLine="0" w:firstLineChars="0"/>
              <w:jc w:val="center"/>
              <w:rPr>
                <w:kern w:val="0"/>
                <w:sz w:val="21"/>
                <w:szCs w:val="28"/>
              </w:rPr>
            </w:pPr>
            <w:r>
              <w:rPr>
                <w:kern w:val="0"/>
                <w:sz w:val="21"/>
                <w:szCs w:val="28"/>
              </w:rPr>
              <w:t>0.1</w:t>
            </w:r>
          </w:p>
        </w:tc>
        <w:tc>
          <w:tcPr>
            <w:tcW w:w="1560" w:type="dxa"/>
            <w:vAlign w:val="center"/>
          </w:tcPr>
          <w:p>
            <w:pPr>
              <w:adjustRightInd/>
              <w:snapToGrid/>
              <w:spacing w:line="240" w:lineRule="auto"/>
              <w:ind w:firstLine="0" w:firstLineChars="0"/>
              <w:jc w:val="center"/>
              <w:rPr>
                <w:kern w:val="0"/>
                <w:sz w:val="21"/>
                <w:szCs w:val="28"/>
              </w:rPr>
            </w:pPr>
            <w:r>
              <w:rPr>
                <w:kern w:val="0"/>
                <w:sz w:val="21"/>
                <w:szCs w:val="28"/>
              </w:rPr>
              <w:t>6.47</w:t>
            </w:r>
          </w:p>
        </w:tc>
        <w:tc>
          <w:tcPr>
            <w:tcW w:w="1417" w:type="dxa"/>
            <w:vAlign w:val="center"/>
          </w:tcPr>
          <w:p>
            <w:pPr>
              <w:adjustRightInd/>
              <w:snapToGrid/>
              <w:spacing w:line="240" w:lineRule="auto"/>
              <w:ind w:firstLine="0" w:firstLineChars="0"/>
              <w:jc w:val="center"/>
              <w:rPr>
                <w:kern w:val="0"/>
                <w:sz w:val="21"/>
                <w:szCs w:val="28"/>
              </w:rPr>
            </w:pPr>
            <w:r>
              <w:rPr>
                <w:kern w:val="0"/>
                <w:sz w:val="21"/>
                <w:szCs w:val="28"/>
              </w:rPr>
              <w:t>0.647</w:t>
            </w:r>
          </w:p>
        </w:tc>
        <w:tc>
          <w:tcPr>
            <w:tcW w:w="2123" w:type="dxa"/>
            <w:vAlign w:val="center"/>
          </w:tcPr>
          <w:p>
            <w:pPr>
              <w:adjustRightInd/>
              <w:snapToGrid/>
              <w:spacing w:line="240" w:lineRule="auto"/>
              <w:ind w:firstLine="0" w:firstLineChars="0"/>
              <w:jc w:val="center"/>
              <w:rPr>
                <w:kern w:val="0"/>
                <w:sz w:val="21"/>
                <w:szCs w:val="28"/>
              </w:rPr>
            </w:pPr>
            <w:r>
              <w:rPr>
                <w:kern w:val="0"/>
                <w:sz w:val="21"/>
                <w:szCs w:val="28"/>
              </w:rPr>
              <w:t>1.82</w:t>
            </w:r>
          </w:p>
        </w:tc>
        <w:tc>
          <w:tcPr>
            <w:tcW w:w="1016" w:type="dxa"/>
            <w:vAlign w:val="center"/>
          </w:tcPr>
          <w:p>
            <w:pPr>
              <w:adjustRightInd/>
              <w:snapToGrid/>
              <w:spacing w:line="240" w:lineRule="auto"/>
              <w:ind w:firstLine="0" w:firstLineChars="0"/>
              <w:jc w:val="center"/>
              <w:rPr>
                <w:kern w:val="0"/>
                <w:sz w:val="21"/>
                <w:szCs w:val="28"/>
              </w:rPr>
            </w:pPr>
            <w:r>
              <w:rPr>
                <w:kern w:val="0"/>
                <w:sz w:val="21"/>
                <w:szCs w:val="28"/>
              </w:rPr>
              <w:t>0.185</w:t>
            </w:r>
          </w:p>
        </w:tc>
      </w:tr>
    </w:tbl>
    <w:p>
      <w:pPr>
        <w:ind w:firstLine="480"/>
        <w:jc w:val="both"/>
        <w:rPr>
          <w:sz w:val="24"/>
          <w:szCs w:val="21"/>
        </w:rPr>
      </w:pPr>
      <w:r>
        <w:rPr>
          <w:sz w:val="24"/>
          <w:szCs w:val="21"/>
        </w:rPr>
        <w:t>（3）项目建设对生物量、生产力损失影响分析</w:t>
      </w:r>
    </w:p>
    <w:p>
      <w:pPr>
        <w:ind w:firstLine="480"/>
        <w:jc w:val="both"/>
        <w:rPr>
          <w:sz w:val="24"/>
          <w:szCs w:val="21"/>
        </w:rPr>
      </w:pPr>
      <w:r>
        <w:rPr>
          <w:sz w:val="24"/>
          <w:szCs w:val="21"/>
        </w:rPr>
        <w:t>结合占地直接损失和景观绿化生态补偿，因项目建设造成损失生物量约为152.964t，损失量占评价范围总生物量（约8507.342t）的比例很小，约1.8%；损失生产力为24.207t/a，损失量占评价范围总生产力（约1215.727t/a）的比例也很小，约2.0%。损失量计算详见下表。</w:t>
      </w:r>
    </w:p>
    <w:p>
      <w:pPr>
        <w:pStyle w:val="84"/>
      </w:pPr>
      <w:r>
        <w:t>表5.2-3  因项目占地而损失的生物量和生产力统计表</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2109"/>
        <w:gridCol w:w="1576"/>
        <w:gridCol w:w="1843"/>
        <w:gridCol w:w="2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846" w:type="dxa"/>
            <w:shd w:val="clear" w:color="auto" w:fill="D8D8D8" w:themeFill="background1" w:themeFillShade="D9"/>
            <w:vAlign w:val="center"/>
          </w:tcPr>
          <w:p>
            <w:pPr>
              <w:adjustRightInd/>
              <w:snapToGrid/>
              <w:spacing w:line="240" w:lineRule="auto"/>
              <w:ind w:firstLine="0" w:firstLineChars="0"/>
              <w:jc w:val="center"/>
              <w:rPr>
                <w:b/>
                <w:bCs/>
                <w:kern w:val="0"/>
                <w:sz w:val="21"/>
                <w:szCs w:val="21"/>
              </w:rPr>
            </w:pPr>
            <w:r>
              <w:rPr>
                <w:b/>
                <w:bCs/>
                <w:kern w:val="0"/>
                <w:sz w:val="21"/>
                <w:szCs w:val="21"/>
              </w:rPr>
              <w:t>占地区域</w:t>
            </w:r>
          </w:p>
        </w:tc>
        <w:tc>
          <w:tcPr>
            <w:tcW w:w="2109" w:type="dxa"/>
            <w:shd w:val="clear" w:color="auto" w:fill="D8D8D8" w:themeFill="background1" w:themeFillShade="D9"/>
            <w:vAlign w:val="center"/>
          </w:tcPr>
          <w:p>
            <w:pPr>
              <w:adjustRightInd/>
              <w:snapToGrid/>
              <w:spacing w:line="240" w:lineRule="auto"/>
              <w:ind w:firstLine="0" w:firstLineChars="0"/>
              <w:jc w:val="center"/>
              <w:rPr>
                <w:b/>
                <w:bCs/>
                <w:kern w:val="0"/>
                <w:sz w:val="21"/>
                <w:szCs w:val="21"/>
              </w:rPr>
            </w:pPr>
            <w:r>
              <w:rPr>
                <w:b/>
                <w:bCs/>
                <w:kern w:val="0"/>
                <w:sz w:val="21"/>
                <w:szCs w:val="21"/>
              </w:rPr>
              <w:t>类型</w:t>
            </w:r>
          </w:p>
        </w:tc>
        <w:tc>
          <w:tcPr>
            <w:tcW w:w="1576" w:type="dxa"/>
            <w:shd w:val="clear" w:color="auto" w:fill="D8D8D8" w:themeFill="background1" w:themeFillShade="D9"/>
            <w:vAlign w:val="center"/>
          </w:tcPr>
          <w:p>
            <w:pPr>
              <w:adjustRightInd/>
              <w:snapToGrid/>
              <w:spacing w:line="240" w:lineRule="auto"/>
              <w:ind w:firstLine="0" w:firstLineChars="0"/>
              <w:jc w:val="center"/>
              <w:rPr>
                <w:b/>
                <w:bCs/>
                <w:kern w:val="0"/>
                <w:sz w:val="21"/>
                <w:szCs w:val="21"/>
              </w:rPr>
            </w:pPr>
            <w:r>
              <w:rPr>
                <w:b/>
                <w:bCs/>
                <w:kern w:val="0"/>
                <w:sz w:val="21"/>
                <w:szCs w:val="21"/>
              </w:rPr>
              <w:t>面积（hm</w:t>
            </w:r>
            <w:r>
              <w:rPr>
                <w:b/>
                <w:bCs/>
                <w:kern w:val="0"/>
                <w:sz w:val="21"/>
                <w:szCs w:val="21"/>
                <w:vertAlign w:val="superscript"/>
              </w:rPr>
              <w:t>2</w:t>
            </w:r>
            <w:r>
              <w:rPr>
                <w:b/>
                <w:bCs/>
                <w:kern w:val="0"/>
                <w:sz w:val="21"/>
                <w:szCs w:val="21"/>
              </w:rPr>
              <w:t>）</w:t>
            </w:r>
          </w:p>
        </w:tc>
        <w:tc>
          <w:tcPr>
            <w:tcW w:w="1843" w:type="dxa"/>
            <w:shd w:val="clear" w:color="auto" w:fill="D8D8D8" w:themeFill="background1" w:themeFillShade="D9"/>
            <w:vAlign w:val="center"/>
          </w:tcPr>
          <w:p>
            <w:pPr>
              <w:adjustRightInd/>
              <w:snapToGrid/>
              <w:spacing w:line="240" w:lineRule="auto"/>
              <w:ind w:firstLine="0" w:firstLineChars="0"/>
              <w:jc w:val="center"/>
              <w:rPr>
                <w:b/>
                <w:bCs/>
                <w:kern w:val="0"/>
                <w:sz w:val="21"/>
                <w:szCs w:val="21"/>
              </w:rPr>
            </w:pPr>
            <w:r>
              <w:rPr>
                <w:b/>
                <w:bCs/>
                <w:kern w:val="0"/>
                <w:sz w:val="21"/>
                <w:szCs w:val="21"/>
              </w:rPr>
              <w:t>生物量损失（t）</w:t>
            </w:r>
          </w:p>
        </w:tc>
        <w:tc>
          <w:tcPr>
            <w:tcW w:w="2572" w:type="dxa"/>
            <w:shd w:val="clear" w:color="auto" w:fill="D8D8D8" w:themeFill="background1" w:themeFillShade="D9"/>
            <w:vAlign w:val="center"/>
          </w:tcPr>
          <w:p>
            <w:pPr>
              <w:adjustRightInd/>
              <w:snapToGrid/>
              <w:spacing w:line="240" w:lineRule="auto"/>
              <w:ind w:firstLine="0" w:firstLineChars="0"/>
              <w:jc w:val="center"/>
              <w:rPr>
                <w:b/>
                <w:bCs/>
                <w:kern w:val="0"/>
                <w:sz w:val="21"/>
                <w:szCs w:val="21"/>
              </w:rPr>
            </w:pPr>
            <w:r>
              <w:rPr>
                <w:b/>
                <w:bCs/>
                <w:kern w:val="0"/>
                <w:sz w:val="21"/>
                <w:szCs w:val="21"/>
              </w:rPr>
              <w:t>生产力损失（t）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846" w:type="dxa"/>
            <w:vMerge w:val="restart"/>
            <w:vAlign w:val="center"/>
          </w:tcPr>
          <w:p>
            <w:pPr>
              <w:adjustRightInd/>
              <w:snapToGrid/>
              <w:spacing w:line="240" w:lineRule="auto"/>
              <w:ind w:firstLine="0" w:firstLineChars="0"/>
              <w:jc w:val="center"/>
              <w:rPr>
                <w:kern w:val="0"/>
                <w:sz w:val="21"/>
                <w:szCs w:val="21"/>
              </w:rPr>
            </w:pPr>
            <w:r>
              <w:rPr>
                <w:kern w:val="0"/>
                <w:sz w:val="21"/>
                <w:szCs w:val="21"/>
              </w:rPr>
              <w:t>采区、工业占地等</w:t>
            </w:r>
          </w:p>
        </w:tc>
        <w:tc>
          <w:tcPr>
            <w:tcW w:w="2109" w:type="dxa"/>
            <w:vAlign w:val="center"/>
          </w:tcPr>
          <w:p>
            <w:pPr>
              <w:adjustRightInd/>
              <w:snapToGrid/>
              <w:spacing w:line="240" w:lineRule="auto"/>
              <w:ind w:firstLine="0" w:firstLineChars="0"/>
              <w:jc w:val="center"/>
              <w:rPr>
                <w:kern w:val="0"/>
                <w:sz w:val="21"/>
                <w:szCs w:val="21"/>
              </w:rPr>
            </w:pPr>
            <w:r>
              <w:rPr>
                <w:kern w:val="0"/>
                <w:sz w:val="21"/>
                <w:szCs w:val="21"/>
              </w:rPr>
              <w:t>直接损失量</w:t>
            </w:r>
          </w:p>
        </w:tc>
        <w:tc>
          <w:tcPr>
            <w:tcW w:w="1576" w:type="dxa"/>
            <w:vAlign w:val="center"/>
          </w:tcPr>
          <w:p>
            <w:pPr>
              <w:adjustRightInd/>
              <w:snapToGrid/>
              <w:spacing w:line="240" w:lineRule="auto"/>
              <w:ind w:firstLine="0" w:firstLineChars="0"/>
              <w:jc w:val="center"/>
              <w:rPr>
                <w:kern w:val="0"/>
                <w:sz w:val="21"/>
                <w:szCs w:val="21"/>
              </w:rPr>
            </w:pPr>
            <w:r>
              <w:rPr>
                <w:kern w:val="0"/>
                <w:sz w:val="21"/>
                <w:szCs w:val="21"/>
              </w:rPr>
              <w:t>-</w:t>
            </w:r>
            <w:r>
              <w:rPr>
                <w:sz w:val="21"/>
                <w:szCs w:val="21"/>
              </w:rPr>
              <w:t>3.0571</w:t>
            </w:r>
          </w:p>
        </w:tc>
        <w:tc>
          <w:tcPr>
            <w:tcW w:w="1843" w:type="dxa"/>
            <w:vAlign w:val="center"/>
          </w:tcPr>
          <w:p>
            <w:pPr>
              <w:adjustRightInd/>
              <w:snapToGrid/>
              <w:spacing w:line="240" w:lineRule="auto"/>
              <w:ind w:firstLine="0" w:firstLineChars="0"/>
              <w:jc w:val="center"/>
              <w:rPr>
                <w:kern w:val="0"/>
                <w:sz w:val="21"/>
                <w:szCs w:val="21"/>
              </w:rPr>
            </w:pPr>
            <w:r>
              <w:rPr>
                <w:kern w:val="0"/>
                <w:sz w:val="21"/>
                <w:szCs w:val="21"/>
              </w:rPr>
              <w:t>-152.964</w:t>
            </w:r>
          </w:p>
        </w:tc>
        <w:tc>
          <w:tcPr>
            <w:tcW w:w="2572" w:type="dxa"/>
            <w:vAlign w:val="center"/>
          </w:tcPr>
          <w:p>
            <w:pPr>
              <w:adjustRightInd/>
              <w:snapToGrid/>
              <w:spacing w:line="240" w:lineRule="auto"/>
              <w:ind w:firstLine="0" w:firstLineChars="0"/>
              <w:jc w:val="center"/>
              <w:rPr>
                <w:kern w:val="0"/>
                <w:sz w:val="21"/>
                <w:szCs w:val="21"/>
              </w:rPr>
            </w:pPr>
            <w:r>
              <w:rPr>
                <w:kern w:val="0"/>
                <w:sz w:val="21"/>
                <w:szCs w:val="21"/>
              </w:rPr>
              <w:t>-24.207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46" w:type="dxa"/>
            <w:vMerge w:val="continue"/>
            <w:vAlign w:val="center"/>
          </w:tcPr>
          <w:p>
            <w:pPr>
              <w:adjustRightInd/>
              <w:snapToGrid/>
              <w:spacing w:line="240" w:lineRule="auto"/>
              <w:ind w:firstLine="0" w:firstLineChars="0"/>
              <w:jc w:val="center"/>
              <w:rPr>
                <w:kern w:val="0"/>
                <w:sz w:val="21"/>
                <w:szCs w:val="21"/>
              </w:rPr>
            </w:pPr>
          </w:p>
        </w:tc>
        <w:tc>
          <w:tcPr>
            <w:tcW w:w="2109" w:type="dxa"/>
            <w:vAlign w:val="center"/>
          </w:tcPr>
          <w:p>
            <w:pPr>
              <w:adjustRightInd/>
              <w:snapToGrid/>
              <w:spacing w:line="240" w:lineRule="auto"/>
              <w:ind w:firstLine="0" w:firstLineChars="0"/>
              <w:jc w:val="center"/>
              <w:rPr>
                <w:kern w:val="0"/>
                <w:sz w:val="21"/>
                <w:szCs w:val="21"/>
              </w:rPr>
            </w:pPr>
            <w:r>
              <w:rPr>
                <w:kern w:val="0"/>
                <w:sz w:val="21"/>
                <w:szCs w:val="21"/>
              </w:rPr>
              <w:t>景观补偿量</w:t>
            </w:r>
          </w:p>
        </w:tc>
        <w:tc>
          <w:tcPr>
            <w:tcW w:w="1576" w:type="dxa"/>
            <w:vAlign w:val="center"/>
          </w:tcPr>
          <w:p>
            <w:pPr>
              <w:adjustRightInd/>
              <w:snapToGrid/>
              <w:spacing w:line="240" w:lineRule="auto"/>
              <w:ind w:firstLine="0" w:firstLineChars="0"/>
              <w:jc w:val="center"/>
              <w:rPr>
                <w:kern w:val="0"/>
                <w:sz w:val="21"/>
                <w:szCs w:val="21"/>
              </w:rPr>
            </w:pPr>
            <w:r>
              <w:rPr>
                <w:kern w:val="0"/>
                <w:sz w:val="21"/>
                <w:szCs w:val="21"/>
              </w:rPr>
              <w:t>0.10</w:t>
            </w:r>
          </w:p>
        </w:tc>
        <w:tc>
          <w:tcPr>
            <w:tcW w:w="1843" w:type="dxa"/>
            <w:vAlign w:val="center"/>
          </w:tcPr>
          <w:p>
            <w:pPr>
              <w:adjustRightInd/>
              <w:snapToGrid/>
              <w:spacing w:line="240" w:lineRule="auto"/>
              <w:ind w:firstLine="0" w:firstLineChars="0"/>
              <w:jc w:val="center"/>
              <w:rPr>
                <w:kern w:val="0"/>
                <w:sz w:val="21"/>
                <w:szCs w:val="21"/>
              </w:rPr>
            </w:pPr>
            <w:r>
              <w:rPr>
                <w:kern w:val="0"/>
                <w:sz w:val="21"/>
                <w:szCs w:val="21"/>
              </w:rPr>
              <w:t>6.47</w:t>
            </w:r>
          </w:p>
        </w:tc>
        <w:tc>
          <w:tcPr>
            <w:tcW w:w="2572" w:type="dxa"/>
            <w:vAlign w:val="center"/>
          </w:tcPr>
          <w:p>
            <w:pPr>
              <w:adjustRightInd/>
              <w:snapToGrid/>
              <w:spacing w:line="240" w:lineRule="auto"/>
              <w:ind w:firstLine="0" w:firstLineChars="0"/>
              <w:jc w:val="center"/>
              <w:rPr>
                <w:kern w:val="0"/>
                <w:sz w:val="21"/>
                <w:szCs w:val="21"/>
              </w:rPr>
            </w:pPr>
            <w:r>
              <w:rPr>
                <w:kern w:val="0"/>
                <w:sz w:val="21"/>
                <w:szCs w:val="21"/>
              </w:rPr>
              <w:t>0.185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846" w:type="dxa"/>
            <w:vMerge w:val="continue"/>
            <w:vAlign w:val="center"/>
          </w:tcPr>
          <w:p>
            <w:pPr>
              <w:adjustRightInd/>
              <w:snapToGrid/>
              <w:spacing w:line="240" w:lineRule="auto"/>
              <w:ind w:firstLine="0" w:firstLineChars="0"/>
              <w:jc w:val="center"/>
              <w:rPr>
                <w:kern w:val="0"/>
                <w:sz w:val="21"/>
                <w:szCs w:val="21"/>
              </w:rPr>
            </w:pPr>
          </w:p>
        </w:tc>
        <w:tc>
          <w:tcPr>
            <w:tcW w:w="2109" w:type="dxa"/>
            <w:vAlign w:val="center"/>
          </w:tcPr>
          <w:p>
            <w:pPr>
              <w:adjustRightInd/>
              <w:snapToGrid/>
              <w:spacing w:line="240" w:lineRule="auto"/>
              <w:ind w:firstLine="0" w:firstLineChars="0"/>
              <w:jc w:val="center"/>
              <w:rPr>
                <w:kern w:val="0"/>
                <w:sz w:val="21"/>
                <w:szCs w:val="21"/>
              </w:rPr>
            </w:pPr>
            <w:r>
              <w:rPr>
                <w:kern w:val="0"/>
                <w:sz w:val="21"/>
                <w:szCs w:val="21"/>
              </w:rPr>
              <w:t>合  计</w:t>
            </w:r>
          </w:p>
        </w:tc>
        <w:tc>
          <w:tcPr>
            <w:tcW w:w="1576" w:type="dxa"/>
            <w:vAlign w:val="center"/>
          </w:tcPr>
          <w:p>
            <w:pPr>
              <w:adjustRightInd/>
              <w:snapToGrid/>
              <w:spacing w:line="240" w:lineRule="auto"/>
              <w:ind w:firstLine="0" w:firstLineChars="0"/>
              <w:jc w:val="center"/>
              <w:rPr>
                <w:kern w:val="0"/>
                <w:sz w:val="21"/>
                <w:szCs w:val="21"/>
              </w:rPr>
            </w:pPr>
            <w:r>
              <w:rPr>
                <w:kern w:val="0"/>
                <w:sz w:val="21"/>
                <w:szCs w:val="21"/>
              </w:rPr>
              <w:t>-2.9571</w:t>
            </w:r>
          </w:p>
        </w:tc>
        <w:tc>
          <w:tcPr>
            <w:tcW w:w="1843" w:type="dxa"/>
            <w:vAlign w:val="center"/>
          </w:tcPr>
          <w:p>
            <w:pPr>
              <w:adjustRightInd/>
              <w:snapToGrid/>
              <w:spacing w:line="240" w:lineRule="auto"/>
              <w:ind w:firstLine="0" w:firstLineChars="0"/>
              <w:jc w:val="center"/>
              <w:rPr>
                <w:kern w:val="0"/>
                <w:sz w:val="21"/>
                <w:szCs w:val="21"/>
              </w:rPr>
            </w:pPr>
            <w:r>
              <w:rPr>
                <w:kern w:val="0"/>
                <w:sz w:val="21"/>
                <w:szCs w:val="21"/>
              </w:rPr>
              <w:t>-146.494</w:t>
            </w:r>
          </w:p>
        </w:tc>
        <w:tc>
          <w:tcPr>
            <w:tcW w:w="2572" w:type="dxa"/>
            <w:vAlign w:val="center"/>
          </w:tcPr>
          <w:p>
            <w:pPr>
              <w:adjustRightInd/>
              <w:snapToGrid/>
              <w:spacing w:line="240" w:lineRule="auto"/>
              <w:ind w:firstLine="0" w:firstLineChars="0"/>
              <w:jc w:val="center"/>
              <w:rPr>
                <w:kern w:val="0"/>
                <w:sz w:val="21"/>
                <w:szCs w:val="21"/>
              </w:rPr>
            </w:pPr>
            <w:r>
              <w:rPr>
                <w:kern w:val="0"/>
                <w:sz w:val="21"/>
                <w:szCs w:val="21"/>
              </w:rPr>
              <w:t>-24.022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 w:hRule="atLeast"/>
        </w:trPr>
        <w:tc>
          <w:tcPr>
            <w:tcW w:w="846" w:type="dxa"/>
            <w:vMerge w:val="continue"/>
            <w:vAlign w:val="center"/>
          </w:tcPr>
          <w:p>
            <w:pPr>
              <w:adjustRightInd/>
              <w:snapToGrid/>
              <w:spacing w:line="240" w:lineRule="auto"/>
              <w:ind w:firstLine="0" w:firstLineChars="0"/>
              <w:jc w:val="center"/>
              <w:rPr>
                <w:kern w:val="0"/>
                <w:sz w:val="21"/>
                <w:szCs w:val="21"/>
              </w:rPr>
            </w:pPr>
          </w:p>
        </w:tc>
        <w:tc>
          <w:tcPr>
            <w:tcW w:w="2109" w:type="dxa"/>
            <w:vAlign w:val="center"/>
          </w:tcPr>
          <w:p>
            <w:pPr>
              <w:adjustRightInd/>
              <w:snapToGrid/>
              <w:spacing w:line="240" w:lineRule="auto"/>
              <w:ind w:firstLine="0" w:firstLineChars="0"/>
              <w:jc w:val="center"/>
              <w:rPr>
                <w:kern w:val="0"/>
                <w:sz w:val="21"/>
                <w:szCs w:val="21"/>
              </w:rPr>
            </w:pPr>
            <w:r>
              <w:rPr>
                <w:kern w:val="0"/>
                <w:sz w:val="21"/>
                <w:szCs w:val="21"/>
              </w:rPr>
              <w:t>占评价区比例（%）</w:t>
            </w:r>
          </w:p>
        </w:tc>
        <w:tc>
          <w:tcPr>
            <w:tcW w:w="1576" w:type="dxa"/>
            <w:vAlign w:val="center"/>
          </w:tcPr>
          <w:p>
            <w:pPr>
              <w:adjustRightInd/>
              <w:snapToGrid/>
              <w:spacing w:line="240" w:lineRule="auto"/>
              <w:ind w:firstLine="0" w:firstLineChars="0"/>
              <w:jc w:val="center"/>
              <w:rPr>
                <w:kern w:val="0"/>
                <w:sz w:val="21"/>
                <w:szCs w:val="21"/>
              </w:rPr>
            </w:pPr>
            <w:r>
              <w:rPr>
                <w:kern w:val="0"/>
                <w:sz w:val="21"/>
                <w:szCs w:val="21"/>
              </w:rPr>
              <w:t>/</w:t>
            </w:r>
          </w:p>
        </w:tc>
        <w:tc>
          <w:tcPr>
            <w:tcW w:w="1843" w:type="dxa"/>
            <w:vAlign w:val="center"/>
          </w:tcPr>
          <w:p>
            <w:pPr>
              <w:adjustRightInd/>
              <w:snapToGrid/>
              <w:spacing w:line="240" w:lineRule="auto"/>
              <w:ind w:firstLine="0" w:firstLineChars="0"/>
              <w:jc w:val="center"/>
              <w:rPr>
                <w:kern w:val="0"/>
                <w:sz w:val="21"/>
                <w:szCs w:val="21"/>
              </w:rPr>
            </w:pPr>
            <w:r>
              <w:rPr>
                <w:kern w:val="0"/>
                <w:sz w:val="21"/>
                <w:szCs w:val="21"/>
              </w:rPr>
              <w:t>-1.8</w:t>
            </w:r>
          </w:p>
        </w:tc>
        <w:tc>
          <w:tcPr>
            <w:tcW w:w="2572" w:type="dxa"/>
            <w:vAlign w:val="center"/>
          </w:tcPr>
          <w:p>
            <w:pPr>
              <w:adjustRightInd/>
              <w:snapToGrid/>
              <w:spacing w:line="240" w:lineRule="auto"/>
              <w:ind w:firstLine="0" w:firstLineChars="0"/>
              <w:jc w:val="center"/>
              <w:rPr>
                <w:kern w:val="0"/>
                <w:sz w:val="21"/>
                <w:szCs w:val="21"/>
              </w:rPr>
            </w:pPr>
            <w:r>
              <w:rPr>
                <w:kern w:val="0"/>
                <w:sz w:val="21"/>
                <w:szCs w:val="21"/>
              </w:rPr>
              <w:t>-2.0</w:t>
            </w:r>
          </w:p>
        </w:tc>
      </w:tr>
    </w:tbl>
    <w:p>
      <w:pPr>
        <w:ind w:firstLine="480"/>
        <w:jc w:val="both"/>
        <w:rPr>
          <w:sz w:val="24"/>
          <w:szCs w:val="21"/>
        </w:rPr>
      </w:pPr>
      <w:r>
        <w:rPr>
          <w:sz w:val="24"/>
          <w:szCs w:val="21"/>
        </w:rPr>
        <w:t>综上，项目建设导致的生物量和生产力损失非常有限。结合评价范围生态环境现状调查，评价范围生态环境中等偏上，植被生物量储蓄较高，生态系统服务功能良好，生态结构较为稳定，系统具有一定的抗干扰能力。因此项目建设造成的影响不会引起评价范围内生态系统的稳定性和抗干扰能力发生明显变化。</w:t>
      </w:r>
    </w:p>
    <w:p>
      <w:pPr>
        <w:pStyle w:val="5"/>
        <w:rPr>
          <w:color w:val="auto"/>
        </w:rPr>
      </w:pPr>
      <w:r>
        <w:rPr>
          <w:color w:val="auto"/>
        </w:rPr>
        <w:t>5.2.2对生物多样性的影响</w:t>
      </w:r>
    </w:p>
    <w:p>
      <w:pPr>
        <w:pStyle w:val="222"/>
      </w:pPr>
      <w:r>
        <w:t>由于地表工程建设等因素，造成植物生境的破坏，使得植被覆盖率降低，植物生产能力下降，生物多样性降低，从而导致环境功能的下降，使评价范围内的总生物量减少，对局部区域的生物量有一定影响。根据现场调查，工程建设破坏的植被以人工植被为主，主要为农作物及人工林，植物物种均是周边常见的物种，占地范围内未发现国家及重庆市重点保护野生植物分布，无名木古树分布。项目开采过程中及时利用当地植被物种进行复垦绿化，不会对当地及邻近地区植物种类的生存和繁衍造成影响。对整个地区生态系统的功能和稳定性影响较小，也不会引起物种的损失。</w:t>
      </w:r>
    </w:p>
    <w:p>
      <w:pPr>
        <w:pStyle w:val="5"/>
        <w:rPr>
          <w:color w:val="auto"/>
        </w:rPr>
      </w:pPr>
      <w:r>
        <w:rPr>
          <w:color w:val="auto"/>
        </w:rPr>
        <w:t>5.2.3对植物的影响</w:t>
      </w:r>
    </w:p>
    <w:p>
      <w:pPr>
        <w:pStyle w:val="222"/>
      </w:pPr>
      <w:r>
        <w:t>本项目采用露天开采方式，占用的区域均要对植物进行移除使一定范围内的植被遭到不同程度的破坏。根据现场调查，项目占地范围主要为耕地和林地，植被类型以农作物及灌木林为主，均为当地或附近区域常见树种或植物，</w:t>
      </w:r>
      <w:r>
        <w:rPr>
          <w:bCs/>
        </w:rPr>
        <w:t>未发现国家及重庆市重点保护野生植物分布，无名木古树分布</w:t>
      </w:r>
      <w:r>
        <w:t>，不会导致重点保护野生植物的灭绝。项目采取边开采边生态恢复的生产方式，对已开采区以当地常见物种进行植被恢复，可减少采区裸露面积，植被得以尽快恢复。且在矿山开采活动结束后，对采区、工业场地内的生产设施予以拆除，同时对这些区域进行植被恢复。因此，矿山开采对占地范围内植物资源的影响是可逆的、短期的不利影响。</w:t>
      </w:r>
    </w:p>
    <w:p>
      <w:pPr>
        <w:pStyle w:val="5"/>
        <w:rPr>
          <w:color w:val="auto"/>
        </w:rPr>
      </w:pPr>
      <w:r>
        <w:rPr>
          <w:color w:val="auto"/>
        </w:rPr>
        <w:t>5.2.4对动物的影响</w:t>
      </w:r>
    </w:p>
    <w:p>
      <w:pPr>
        <w:pStyle w:val="222"/>
      </w:pPr>
      <w:r>
        <w:t>本项目评价范围人类活动较频繁，野生动物分布较少，评价范围内未发现国家及重庆市重点保护野生动物分布，以常见鸟类、鼠类、兔类以及家养畜禽为主。但矿山开采可能将破坏动物的生存环境。矿山地表剥离直接导致以矿区地表植被或表土作为栖息地或觅食场所的野生动物生存环境的丧失，如鼠类、蚂蚁等；矿体开采损毁洞居、穴居的野生动物生活环境，如鼠类、蛇类、兔类等；开采产生的噪声必然使周边一定范围内的野生动物受到惊扰，迫使对惊扰胁迫敏感的动物远离矿区，迁徙到比较幽深的周边环境生活。但矿区所在区域类似生境分布较广，且分布连续，野生动物通过近距离迁徙即可找到生存之地。矿山开采结束后，所有生产迹地区域都将进行植被恢复，野生动物的隐蔽、觅食、繁殖等活动范围可得到一定程度的恢复和改善。因此，矿山开采对野生动物的影响是暂时的，不会导致野生动物物种的消失，矿山开采活动结束后不利影响可得到一定程度的恢复。</w:t>
      </w:r>
    </w:p>
    <w:p>
      <w:pPr>
        <w:pStyle w:val="4"/>
      </w:pPr>
      <w:bookmarkStart w:id="182" w:name="_Toc36713423"/>
      <w:bookmarkStart w:id="183" w:name="_Toc161676111"/>
      <w:bookmarkStart w:id="184" w:name="_Toc527332965"/>
      <w:r>
        <w:t>5.3视觉景观影响分析</w:t>
      </w:r>
      <w:bookmarkEnd w:id="182"/>
      <w:bookmarkEnd w:id="183"/>
      <w:bookmarkEnd w:id="184"/>
    </w:p>
    <w:p>
      <w:pPr>
        <w:pStyle w:val="222"/>
      </w:pPr>
      <w:r>
        <w:t>本矿山采用露天倾斜式分层开采，</w:t>
      </w:r>
      <w:r>
        <w:rPr>
          <w:kern w:val="0"/>
        </w:rPr>
        <w:t>该矿山开采终了形成面积约</w:t>
      </w:r>
      <w:r>
        <w:rPr>
          <w:bCs/>
          <w:kern w:val="0"/>
        </w:rPr>
        <w:t>0.0466km</w:t>
      </w:r>
      <w:r>
        <w:rPr>
          <w:bCs/>
          <w:kern w:val="0"/>
          <w:vertAlign w:val="superscript"/>
        </w:rPr>
        <w:t>2</w:t>
      </w:r>
      <w:r>
        <w:rPr>
          <w:kern w:val="0"/>
        </w:rPr>
        <w:t>的开采终底平面，形成不同高度的边坡，</w:t>
      </w:r>
      <w:r>
        <w:t>对原生地形地貌景观破坏程度较大。边坡的植被覆盖度比原有差，景观效果较差。项目对景观生态的影响主要表现在两个方面：景观空间结构和景观视觉影响。</w:t>
      </w:r>
    </w:p>
    <w:p>
      <w:pPr>
        <w:pStyle w:val="5"/>
        <w:rPr>
          <w:color w:val="auto"/>
        </w:rPr>
      </w:pPr>
      <w:r>
        <w:rPr>
          <w:color w:val="auto"/>
        </w:rPr>
        <w:t>5.3.1景观空间结构变化</w:t>
      </w:r>
    </w:p>
    <w:p>
      <w:pPr>
        <w:pStyle w:val="222"/>
      </w:pPr>
      <w:r>
        <w:t>景观格局的变化在于外界的干扰作用，这些干扰作用往往是综合性的，它包括自然环境、各种生物以及人类社会之间复杂的相互作用。从景观生态学结构与功能相匹配的观点出发，结构是否合理决定了景观功能状况的优劣，决定了我们对自然法则的尊重程度。</w:t>
      </w:r>
    </w:p>
    <w:p>
      <w:pPr>
        <w:pStyle w:val="222"/>
      </w:pPr>
      <w:r>
        <w:t>本项目在采掘的过程中，开挖和剥离表土，导致地表植被破坏是不可避免的。开完生石面、剥离地表植被直接破坏景观结构。此外，增加廊道（运输通道等）和增加景观斑块（增加了裸露岩石斑块）也会对整个区域的景观体系的空间结构产生影响。从景观空间结构分析，维持自然景观生态稳定性的主要是起控制作用的景观组分。</w:t>
      </w:r>
    </w:p>
    <w:p>
      <w:pPr>
        <w:pStyle w:val="222"/>
      </w:pPr>
      <w:r>
        <w:t>本项目区域景观的基质是林地（是本区分布范围最广，连通程度较高的景观类型），斑块为灰岩矿山、耕地、居民点等（均属于典型的人工干扰斑块），道路系统为廊道（包括矿区公路、乡村公路等各级道路生态系统）。在矿山建设期和开采期，随着植被的剥离和清除，以及山坡被逐渐采平，直至挖成露天采坑，景观基质（耕地、有林地）的数量将有所减少。但由于本矿山开采山体量较小，对大区域景观破坏较小，不会对景观连通性造成明显影响。本矿山在开采过程及闭矿后及时进行植被恢复和景观再造，景观生态也会逐渐得到恢复。</w:t>
      </w:r>
    </w:p>
    <w:p>
      <w:pPr>
        <w:pStyle w:val="5"/>
        <w:jc w:val="both"/>
        <w:rPr>
          <w:color w:val="auto"/>
        </w:rPr>
      </w:pPr>
      <w:r>
        <w:rPr>
          <w:color w:val="auto"/>
        </w:rPr>
        <w:t>5.3.2景观视觉分析</w:t>
      </w:r>
    </w:p>
    <w:p>
      <w:pPr>
        <w:pStyle w:val="222"/>
        <w:rPr>
          <w:lang w:bidi="en-US"/>
        </w:rPr>
      </w:pPr>
      <w:r>
        <w:rPr>
          <w:lang w:bidi="en-US"/>
        </w:rPr>
        <w:t>在大多数的石灰岩矿的开采中，眺望露天开采坑时，人们都会感到露天坑与周围景观不协调。本评价采用类比法，对石灰岩露天开采的视觉可接受性进行分析。按照计量心理学评价方法，景观的评价是相对的。也就是说，评价景观的人是站在开发者的立场、还是站在受害者的立场上，或者是中立，一般来说，其评价有很大的差别。而采用计量心理学方法，持比较客观的立场，统计处理多数人的主观评价。</w:t>
      </w:r>
    </w:p>
    <w:p>
      <w:pPr>
        <w:pStyle w:val="222"/>
        <w:rPr>
          <w:lang w:bidi="en-US"/>
        </w:rPr>
      </w:pPr>
      <w:r>
        <w:rPr>
          <w:lang w:bidi="en-US"/>
        </w:rPr>
        <w:t>该区主要交通道路为</w:t>
      </w:r>
      <w:r>
        <w:t>盐九路</w:t>
      </w:r>
      <w:r>
        <w:rPr>
          <w:lang w:bidi="en-US"/>
        </w:rPr>
        <w:t>。根据现场调查，本矿山设计开采范围外扩500m范围内无居民点分布。本项目不在铁路、国道、省道两侧的直观可视范围内，</w:t>
      </w:r>
      <w:r>
        <w:t>项目矿区不属于自然保护区、森林公园、地质公园和风景名胜区、人文古迹等敏感区；不属重庆市 “四山”管制范围；矿区不属于缙云山—钓鱼城风景名胜区控制范围；本项目矿山西北面临九峰山森林</w:t>
      </w:r>
      <w:r>
        <w:rPr>
          <w:lang w:bidi="en-US"/>
        </w:rPr>
        <w:t>公园，为九峰山森林公园山背面，不在游览集中区及游览集中区可视范围，地理位置偏僻，人烟少，景观的可视性差。总体景观功能不强。</w:t>
      </w:r>
    </w:p>
    <w:p>
      <w:pPr>
        <w:pStyle w:val="222"/>
        <w:rPr>
          <w:lang w:bidi="en-US"/>
        </w:rPr>
      </w:pPr>
      <w:r>
        <w:rPr>
          <w:lang w:bidi="en-US"/>
        </w:rPr>
        <w:t>项目工业场地利用现有办公生活区，办公区占地位于九峰山山脚，不在九峰山森林公园范围内。办公生活区设有值班室、地磅房、食堂、办公住宿、厕所等办公生活设施。矿区设置办公休息室、门卫值班室、库房等，位于矿区北侧，在矿区范围内。</w:t>
      </w:r>
    </w:p>
    <w:p>
      <w:pPr>
        <w:pStyle w:val="222"/>
        <w:rPr>
          <w:lang w:bidi="en-US"/>
        </w:rPr>
      </w:pPr>
      <w:r>
        <w:rPr>
          <w:lang w:bidi="en-US"/>
        </w:rPr>
        <w:t>综上分析，矿山开采景观视觉主要是对周边居民的视觉冲击，项目周边均为散居居民，无集中居民区，居民分布数量较少，影响有限。项目采取边开采边生态恢复方式生产，且通过在项目闭矿后进行植被恢复和景观再造，矿区植被将逐渐恢复，生态景观将逐渐恢复，重建的景观与开采前的农村生境、自然景观相比变化较小。</w:t>
      </w:r>
    </w:p>
    <w:p>
      <w:pPr>
        <w:pStyle w:val="4"/>
      </w:pPr>
      <w:bookmarkStart w:id="185" w:name="_Toc161676112"/>
      <w:bookmarkStart w:id="186" w:name="_Toc36713424"/>
      <w:r>
        <w:t>5.4对生态环境保护目标影响分析</w:t>
      </w:r>
      <w:bookmarkEnd w:id="185"/>
    </w:p>
    <w:p>
      <w:pPr>
        <w:pStyle w:val="5"/>
        <w:rPr>
          <w:color w:val="auto"/>
        </w:rPr>
      </w:pPr>
      <w:r>
        <w:rPr>
          <w:color w:val="auto"/>
        </w:rPr>
        <w:t>5.4.1对动植物影响</w:t>
      </w:r>
    </w:p>
    <w:p>
      <w:pPr>
        <w:spacing w:before="24" w:after="24" w:line="460" w:lineRule="exact"/>
        <w:ind w:firstLine="480"/>
        <w:jc w:val="both"/>
        <w:rPr>
          <w:sz w:val="24"/>
          <w:szCs w:val="24"/>
        </w:rPr>
      </w:pPr>
      <w:r>
        <w:rPr>
          <w:sz w:val="24"/>
          <w:szCs w:val="24"/>
        </w:rPr>
        <w:t>本项目与九峰山森林公园相邻区域野生动物稀少，占地范围内未见国家和重庆市重点保护野生动物。本项目厂界噪声能达标排放，200m范围内森林公园的野生动物主分布很少，可以在周边森林公园内区域找到替代生境。</w:t>
      </w:r>
    </w:p>
    <w:p>
      <w:pPr>
        <w:spacing w:before="24" w:after="24" w:line="460" w:lineRule="exact"/>
        <w:ind w:firstLine="480"/>
        <w:jc w:val="both"/>
        <w:rPr>
          <w:sz w:val="24"/>
          <w:szCs w:val="24"/>
        </w:rPr>
      </w:pPr>
      <w:r>
        <w:rPr>
          <w:bCs/>
          <w:sz w:val="24"/>
          <w:szCs w:val="24"/>
        </w:rPr>
        <w:t>矿山开采对植物的影响主要为粉尘覆盖在植物叶片上影响植物生长正常的呼吸作用和光和作用，使植物生长缓慢，根据大气影响预测，颗粒物排放</w:t>
      </w:r>
      <w:r>
        <w:rPr>
          <w:sz w:val="24"/>
          <w:szCs w:val="24"/>
        </w:rPr>
        <w:t>总体不改变森林公园的环境空气功能，对森林公园的环境空气质量影响小。</w:t>
      </w:r>
      <w:r>
        <w:rPr>
          <w:bCs/>
          <w:sz w:val="24"/>
          <w:szCs w:val="24"/>
        </w:rPr>
        <w:t>本项目为扩建，通过完善粉尘控制措施，颗粒物排放量明显减少，将有利于区域空气质量的改善</w:t>
      </w:r>
      <w:r>
        <w:rPr>
          <w:sz w:val="24"/>
          <w:szCs w:val="24"/>
        </w:rPr>
        <w:t>。</w:t>
      </w:r>
    </w:p>
    <w:p>
      <w:pPr>
        <w:pStyle w:val="5"/>
        <w:rPr>
          <w:color w:val="auto"/>
        </w:rPr>
      </w:pPr>
      <w:r>
        <w:rPr>
          <w:color w:val="auto"/>
        </w:rPr>
        <w:t>5.4.2对九峰山森林公园视觉景观、景观协调性影响</w:t>
      </w:r>
    </w:p>
    <w:p>
      <w:pPr>
        <w:spacing w:before="24" w:after="24" w:line="460" w:lineRule="exact"/>
        <w:ind w:firstLine="522"/>
        <w:jc w:val="both"/>
        <w:rPr>
          <w:b/>
          <w:bCs/>
          <w:szCs w:val="26"/>
        </w:rPr>
      </w:pPr>
      <w:r>
        <w:rPr>
          <w:b/>
          <w:bCs/>
          <w:szCs w:val="26"/>
        </w:rPr>
        <w:t>（1） 景点规划</w:t>
      </w:r>
    </w:p>
    <w:p>
      <w:pPr>
        <w:spacing w:before="24" w:after="24" w:line="460" w:lineRule="exact"/>
        <w:ind w:firstLine="480"/>
        <w:jc w:val="both"/>
        <w:rPr>
          <w:sz w:val="24"/>
          <w:szCs w:val="24"/>
        </w:rPr>
      </w:pPr>
      <w:r>
        <w:rPr>
          <w:sz w:val="24"/>
          <w:szCs w:val="24"/>
        </w:rPr>
        <w:t>根据《重庆市九峰山森林公园控制性详细规划》（2010年6月），根据景点的开发价值、观赏价值、组成因子等因素确定景点的等级，分为I、II、III共三个等级50个景点。公园I级景点有13个。II级景点有17个，III级景点有20个。</w:t>
      </w:r>
    </w:p>
    <w:p>
      <w:pPr>
        <w:pStyle w:val="84"/>
      </w:pPr>
      <w:r>
        <w:t>表5.4-1  公园景点汇总表</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2268"/>
        <w:gridCol w:w="2693"/>
        <w:gridCol w:w="2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3"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分区</w:t>
            </w:r>
          </w:p>
        </w:tc>
        <w:tc>
          <w:tcPr>
            <w:tcW w:w="2268"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I级景点</w:t>
            </w:r>
          </w:p>
        </w:tc>
        <w:tc>
          <w:tcPr>
            <w:tcW w:w="2693"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Ⅱ级景点</w:t>
            </w:r>
          </w:p>
        </w:tc>
        <w:tc>
          <w:tcPr>
            <w:tcW w:w="2686" w:type="dxa"/>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Ⅲ级景点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3" w:type="dxa"/>
            <w:vAlign w:val="center"/>
          </w:tcPr>
          <w:p>
            <w:pPr>
              <w:spacing w:line="240" w:lineRule="auto"/>
              <w:ind w:firstLine="0" w:firstLineChars="0"/>
              <w:jc w:val="center"/>
              <w:rPr>
                <w:sz w:val="21"/>
                <w:szCs w:val="21"/>
              </w:rPr>
            </w:pPr>
            <w:r>
              <w:rPr>
                <w:sz w:val="21"/>
                <w:szCs w:val="21"/>
              </w:rPr>
              <w:t>森林游览区</w:t>
            </w:r>
          </w:p>
        </w:tc>
        <w:tc>
          <w:tcPr>
            <w:tcW w:w="2268" w:type="dxa"/>
            <w:vAlign w:val="center"/>
          </w:tcPr>
          <w:p>
            <w:pPr>
              <w:spacing w:line="240" w:lineRule="auto"/>
              <w:ind w:firstLine="0" w:firstLineChars="0"/>
              <w:jc w:val="center"/>
              <w:rPr>
                <w:sz w:val="21"/>
                <w:szCs w:val="21"/>
              </w:rPr>
            </w:pPr>
            <w:r>
              <w:rPr>
                <w:sz w:val="21"/>
                <w:szCs w:val="21"/>
              </w:rPr>
              <w:t>凤凰展翅、一碗水、九峰山、九峰庙、森林啤酒屋、百步梯、九峰湖、五龙封印、九峰茶艺大观园、鸟语林</w:t>
            </w:r>
          </w:p>
        </w:tc>
        <w:tc>
          <w:tcPr>
            <w:tcW w:w="2693" w:type="dxa"/>
            <w:vAlign w:val="center"/>
          </w:tcPr>
          <w:p>
            <w:pPr>
              <w:spacing w:line="240" w:lineRule="auto"/>
              <w:ind w:firstLine="0" w:firstLineChars="0"/>
              <w:jc w:val="center"/>
              <w:rPr>
                <w:sz w:val="21"/>
                <w:szCs w:val="21"/>
              </w:rPr>
            </w:pPr>
            <w:r>
              <w:rPr>
                <w:sz w:val="21"/>
                <w:szCs w:val="21"/>
              </w:rPr>
              <w:t>十槽古道、九峰茶园、鹿子塘、狩猎场、迷惑堡、休闲娱乐中心、九峰路、桉林飘香、海佛寺、游客接待中心、游乐广场、儿童游乐园、度假别墅</w:t>
            </w:r>
          </w:p>
        </w:tc>
        <w:tc>
          <w:tcPr>
            <w:tcW w:w="2686" w:type="dxa"/>
            <w:vAlign w:val="center"/>
          </w:tcPr>
          <w:p>
            <w:pPr>
              <w:spacing w:line="240" w:lineRule="auto"/>
              <w:ind w:firstLine="0" w:firstLineChars="0"/>
              <w:jc w:val="center"/>
              <w:rPr>
                <w:sz w:val="21"/>
                <w:szCs w:val="21"/>
              </w:rPr>
            </w:pPr>
            <w:r>
              <w:rPr>
                <w:sz w:val="21"/>
                <w:szCs w:val="21"/>
              </w:rPr>
              <w:t>黑龙洞、跃进湾、闻鸡亭、狮子山、知青房、金钟山、土地垭、斩龙垭、银窝子、马鞍山、龙神坳、凉水井、茶园、小米垭、封人湾、倒马坎、龙洞榜、石鸭子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3" w:type="dxa"/>
            <w:vAlign w:val="center"/>
          </w:tcPr>
          <w:p>
            <w:pPr>
              <w:spacing w:line="240" w:lineRule="auto"/>
              <w:ind w:firstLine="0" w:firstLineChars="0"/>
              <w:jc w:val="center"/>
              <w:rPr>
                <w:sz w:val="21"/>
                <w:szCs w:val="21"/>
              </w:rPr>
            </w:pPr>
            <w:r>
              <w:rPr>
                <w:sz w:val="21"/>
                <w:szCs w:val="21"/>
              </w:rPr>
              <w:t>管理生活区</w:t>
            </w:r>
          </w:p>
        </w:tc>
        <w:tc>
          <w:tcPr>
            <w:tcW w:w="2268" w:type="dxa"/>
            <w:vAlign w:val="center"/>
          </w:tcPr>
          <w:p>
            <w:pPr>
              <w:spacing w:line="240" w:lineRule="auto"/>
              <w:ind w:firstLine="0" w:firstLineChars="0"/>
              <w:jc w:val="center"/>
              <w:rPr>
                <w:sz w:val="21"/>
                <w:szCs w:val="21"/>
              </w:rPr>
            </w:pPr>
            <w:r>
              <w:rPr>
                <w:sz w:val="21"/>
                <w:szCs w:val="21"/>
              </w:rPr>
              <w:t>生态度假别墅、美食一条街</w:t>
            </w:r>
          </w:p>
        </w:tc>
        <w:tc>
          <w:tcPr>
            <w:tcW w:w="2693" w:type="dxa"/>
            <w:vAlign w:val="center"/>
          </w:tcPr>
          <w:p>
            <w:pPr>
              <w:spacing w:line="240" w:lineRule="auto"/>
              <w:ind w:firstLine="0" w:firstLineChars="0"/>
              <w:jc w:val="center"/>
              <w:rPr>
                <w:sz w:val="21"/>
                <w:szCs w:val="21"/>
              </w:rPr>
            </w:pPr>
            <w:r>
              <w:rPr>
                <w:sz w:val="21"/>
                <w:szCs w:val="21"/>
              </w:rPr>
              <w:t>游客服务大厅</w:t>
            </w:r>
          </w:p>
        </w:tc>
        <w:tc>
          <w:tcPr>
            <w:tcW w:w="2686" w:type="dxa"/>
            <w:vAlign w:val="center"/>
          </w:tcPr>
          <w:p>
            <w:pPr>
              <w:spacing w:line="240" w:lineRule="auto"/>
              <w:ind w:firstLine="0" w:firstLineChars="0"/>
              <w:jc w:val="center"/>
              <w:rPr>
                <w:sz w:val="21"/>
                <w:szCs w:val="21"/>
              </w:rPr>
            </w:pPr>
            <w:r>
              <w:rPr>
                <w:sz w:val="21"/>
                <w:szCs w:val="21"/>
              </w:rPr>
              <w:t>木耳山、黄桷岚垭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3" w:type="dxa"/>
            <w:vAlign w:val="center"/>
          </w:tcPr>
          <w:p>
            <w:pPr>
              <w:spacing w:line="240" w:lineRule="auto"/>
              <w:ind w:firstLine="0" w:firstLineChars="0"/>
              <w:jc w:val="center"/>
              <w:rPr>
                <w:sz w:val="21"/>
                <w:szCs w:val="21"/>
              </w:rPr>
            </w:pPr>
            <w:r>
              <w:rPr>
                <w:sz w:val="21"/>
                <w:szCs w:val="21"/>
              </w:rPr>
              <w:t>生产经营区</w:t>
            </w:r>
          </w:p>
        </w:tc>
        <w:tc>
          <w:tcPr>
            <w:tcW w:w="2268" w:type="dxa"/>
            <w:vAlign w:val="center"/>
          </w:tcPr>
          <w:p>
            <w:pPr>
              <w:spacing w:line="240" w:lineRule="auto"/>
              <w:ind w:firstLine="0" w:firstLineChars="0"/>
              <w:jc w:val="center"/>
              <w:rPr>
                <w:sz w:val="21"/>
                <w:szCs w:val="21"/>
              </w:rPr>
            </w:pPr>
            <w:r>
              <w:rPr>
                <w:sz w:val="21"/>
                <w:szCs w:val="21"/>
              </w:rPr>
              <w:t>桔园飘香</w:t>
            </w:r>
          </w:p>
        </w:tc>
        <w:tc>
          <w:tcPr>
            <w:tcW w:w="2693" w:type="dxa"/>
            <w:vAlign w:val="center"/>
          </w:tcPr>
          <w:p>
            <w:pPr>
              <w:spacing w:line="240" w:lineRule="auto"/>
              <w:ind w:firstLine="0" w:firstLineChars="0"/>
              <w:jc w:val="center"/>
              <w:rPr>
                <w:sz w:val="21"/>
                <w:szCs w:val="21"/>
              </w:rPr>
            </w:pPr>
            <w:r>
              <w:rPr>
                <w:sz w:val="21"/>
                <w:szCs w:val="21"/>
              </w:rPr>
              <w:t>交规启示园、温泉度假村</w:t>
            </w:r>
          </w:p>
        </w:tc>
        <w:tc>
          <w:tcPr>
            <w:tcW w:w="2686" w:type="dxa"/>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3" w:type="dxa"/>
            <w:vAlign w:val="center"/>
          </w:tcPr>
          <w:p>
            <w:pPr>
              <w:spacing w:line="240" w:lineRule="auto"/>
              <w:ind w:firstLine="0" w:firstLineChars="0"/>
              <w:jc w:val="center"/>
              <w:rPr>
                <w:sz w:val="21"/>
                <w:szCs w:val="21"/>
              </w:rPr>
            </w:pPr>
            <w:r>
              <w:rPr>
                <w:sz w:val="21"/>
                <w:szCs w:val="21"/>
              </w:rPr>
              <w:t>合计</w:t>
            </w:r>
          </w:p>
        </w:tc>
        <w:tc>
          <w:tcPr>
            <w:tcW w:w="2268" w:type="dxa"/>
            <w:vAlign w:val="center"/>
          </w:tcPr>
          <w:p>
            <w:pPr>
              <w:spacing w:line="240" w:lineRule="auto"/>
              <w:ind w:firstLine="0" w:firstLineChars="0"/>
              <w:jc w:val="center"/>
              <w:rPr>
                <w:sz w:val="21"/>
                <w:szCs w:val="21"/>
              </w:rPr>
            </w:pPr>
            <w:r>
              <w:rPr>
                <w:sz w:val="21"/>
                <w:szCs w:val="21"/>
              </w:rPr>
              <w:t>13</w:t>
            </w:r>
          </w:p>
        </w:tc>
        <w:tc>
          <w:tcPr>
            <w:tcW w:w="2693" w:type="dxa"/>
            <w:vAlign w:val="center"/>
          </w:tcPr>
          <w:p>
            <w:pPr>
              <w:spacing w:line="240" w:lineRule="auto"/>
              <w:ind w:firstLine="0" w:firstLineChars="0"/>
              <w:jc w:val="center"/>
              <w:rPr>
                <w:sz w:val="21"/>
                <w:szCs w:val="21"/>
              </w:rPr>
            </w:pPr>
            <w:r>
              <w:rPr>
                <w:sz w:val="21"/>
                <w:szCs w:val="21"/>
              </w:rPr>
              <w:t>17</w:t>
            </w:r>
          </w:p>
        </w:tc>
        <w:tc>
          <w:tcPr>
            <w:tcW w:w="2686" w:type="dxa"/>
            <w:vAlign w:val="center"/>
          </w:tcPr>
          <w:p>
            <w:pPr>
              <w:spacing w:line="240" w:lineRule="auto"/>
              <w:ind w:firstLine="0" w:firstLineChars="0"/>
              <w:jc w:val="center"/>
              <w:rPr>
                <w:sz w:val="21"/>
                <w:szCs w:val="21"/>
              </w:rPr>
            </w:pPr>
            <w:r>
              <w:rPr>
                <w:sz w:val="21"/>
                <w:szCs w:val="21"/>
              </w:rPr>
              <w:t>20</w:t>
            </w:r>
          </w:p>
        </w:tc>
      </w:tr>
    </w:tbl>
    <w:p>
      <w:pPr>
        <w:spacing w:before="24" w:after="24" w:line="460" w:lineRule="exact"/>
        <w:ind w:firstLine="520"/>
        <w:jc w:val="both"/>
        <w:rPr>
          <w:szCs w:val="26"/>
        </w:rPr>
      </w:pPr>
      <w:r>
        <w:rPr>
          <w:szCs w:val="26"/>
        </w:rPr>
        <w:t>（2）规划游览线路组织</w:t>
      </w:r>
    </w:p>
    <w:p>
      <w:pPr>
        <w:spacing w:before="24" w:after="24" w:line="460" w:lineRule="exact"/>
        <w:ind w:firstLine="480"/>
        <w:jc w:val="both"/>
        <w:rPr>
          <w:sz w:val="24"/>
          <w:szCs w:val="24"/>
        </w:rPr>
      </w:pPr>
      <w:r>
        <w:rPr>
          <w:sz w:val="24"/>
          <w:szCs w:val="24"/>
        </w:rPr>
        <w:t>九峰山森林公园的游客以重庆市内游客为主，因此游览线路以一日游和二日游为主。九峰山森林公园一日游可以组织以下游览线路：</w:t>
      </w:r>
    </w:p>
    <w:p>
      <w:pPr>
        <w:spacing w:before="24" w:after="24" w:line="460" w:lineRule="exact"/>
        <w:ind w:firstLine="480"/>
        <w:jc w:val="both"/>
        <w:rPr>
          <w:sz w:val="24"/>
          <w:szCs w:val="24"/>
        </w:rPr>
      </w:pPr>
      <w:r>
        <w:rPr>
          <w:sz w:val="24"/>
          <w:szCs w:val="24"/>
        </w:rPr>
        <w:t>合川市出发一九峰山森林公园主大门一管理生活区一十槽古道一凤凰展翅一黑龙洞一一碗水一九峰山一九峰庙一九峰茶园一森林啤酒屋一五龙封印一跃进湾一闻鸡亭一狮子山一狩猎场一木耳山一温泉度假村一从高桥（小地名）道路返回；</w:t>
      </w:r>
    </w:p>
    <w:p>
      <w:pPr>
        <w:spacing w:before="24" w:after="24" w:line="460" w:lineRule="exact"/>
        <w:ind w:firstLine="480"/>
        <w:jc w:val="both"/>
        <w:rPr>
          <w:sz w:val="24"/>
          <w:szCs w:val="24"/>
        </w:rPr>
      </w:pPr>
      <w:r>
        <w:rPr>
          <w:sz w:val="24"/>
          <w:szCs w:val="24"/>
        </w:rPr>
        <w:t>盐井镇出发一海佛寺一桉林幽香一知青房一金钟山一马鞍山一土地垭一斩龙垭一龙神坳一迷惑堡一闻鸡亭一五龙封印一休闲娱乐中心一九峰山一九峰庙一森林啤酒屋一九峰湖一十槽古道一美食一条街一退回；</w:t>
      </w:r>
    </w:p>
    <w:p>
      <w:pPr>
        <w:spacing w:before="24" w:after="24" w:line="460" w:lineRule="exact"/>
        <w:ind w:firstLine="480"/>
        <w:jc w:val="both"/>
        <w:rPr>
          <w:sz w:val="24"/>
          <w:szCs w:val="24"/>
        </w:rPr>
      </w:pPr>
      <w:r>
        <w:rPr>
          <w:sz w:val="24"/>
          <w:szCs w:val="24"/>
        </w:rPr>
        <w:t>九峰山森林公园面积不大，故二日游旅游线路只规划一条：</w:t>
      </w:r>
    </w:p>
    <w:p>
      <w:pPr>
        <w:spacing w:before="24" w:after="24" w:line="460" w:lineRule="exact"/>
        <w:ind w:firstLine="480"/>
        <w:jc w:val="both"/>
        <w:rPr>
          <w:sz w:val="24"/>
          <w:szCs w:val="24"/>
        </w:rPr>
      </w:pPr>
      <w:r>
        <w:rPr>
          <w:sz w:val="24"/>
          <w:szCs w:val="24"/>
        </w:rPr>
        <w:t>第一日：合川出发一剑梁桥一百步梯一倒马坎一封人湾一鹿子塘一凉水井一小米垭一九峰茶园一九峰山一九峰庙一九峰湖一九峰茶艺大观园一森林啤酒屋一五龙封印一休闲娱乐中心一交规启示园一生态度假别墅休息。</w:t>
      </w:r>
    </w:p>
    <w:p>
      <w:pPr>
        <w:spacing w:before="24" w:after="24" w:line="460" w:lineRule="exact"/>
        <w:ind w:firstLine="480"/>
        <w:jc w:val="both"/>
        <w:rPr>
          <w:sz w:val="24"/>
          <w:szCs w:val="24"/>
        </w:rPr>
      </w:pPr>
      <w:r>
        <w:rPr>
          <w:sz w:val="24"/>
          <w:szCs w:val="24"/>
        </w:rPr>
        <w:t xml:space="preserve"> 第二日：从生态度假别墅出发一木耳山一桔园飘香一狮子山一狩猎场一迷惑堡一龙神坳一碑垭口一银窝子一斩龙垭一土地垭一马鞍山一金钟山一知青房一海佛寺一返回合川市。</w:t>
      </w:r>
    </w:p>
    <w:p>
      <w:pPr>
        <w:spacing w:before="24" w:after="24" w:line="460" w:lineRule="exact"/>
        <w:ind w:firstLine="520"/>
        <w:jc w:val="both"/>
        <w:rPr>
          <w:szCs w:val="26"/>
        </w:rPr>
      </w:pPr>
      <w:r>
        <w:rPr>
          <w:szCs w:val="26"/>
        </w:rPr>
        <w:t>（3）景点分布</w:t>
      </w:r>
    </w:p>
    <w:p>
      <w:pPr>
        <w:spacing w:before="24" w:after="24" w:line="460" w:lineRule="exact"/>
        <w:ind w:firstLine="480"/>
        <w:jc w:val="both"/>
        <w:rPr>
          <w:sz w:val="24"/>
          <w:szCs w:val="24"/>
        </w:rPr>
      </w:pPr>
      <w:r>
        <w:rPr>
          <w:sz w:val="24"/>
          <w:szCs w:val="24"/>
        </w:rPr>
        <w:t>景点主要分布在山脊线两侧，旅游线路也是主要位于山脊线两侧。</w:t>
      </w:r>
    </w:p>
    <w:p>
      <w:pPr>
        <w:spacing w:before="24" w:after="24" w:line="460" w:lineRule="exact"/>
        <w:ind w:firstLine="520"/>
        <w:jc w:val="both"/>
        <w:rPr>
          <w:szCs w:val="26"/>
        </w:rPr>
      </w:pPr>
      <w:r>
        <w:rPr>
          <w:szCs w:val="26"/>
        </w:rPr>
        <w:t>（4）项目对森林公园影响分析</w:t>
      </w:r>
    </w:p>
    <w:p>
      <w:pPr>
        <w:spacing w:before="24" w:after="24" w:line="460" w:lineRule="exact"/>
        <w:ind w:firstLine="480"/>
        <w:jc w:val="both"/>
        <w:rPr>
          <w:sz w:val="24"/>
          <w:szCs w:val="24"/>
        </w:rPr>
      </w:pPr>
      <w:r>
        <w:rPr>
          <w:sz w:val="24"/>
          <w:szCs w:val="24"/>
        </w:rPr>
        <w:t>目前总体旅游开发程度很低，主要实际开发的主要景区——多功能区（九峰湖区域）。本项目处于九峰山森林公园外山脚区域，森林公园规划的主要景点、游览线路位于山脊线两侧，通过地势和森林植被的视线阻挡，不在主要景点、游览线路的直观可视范围，开采区和闭矿初期九峰山森林公园视觉景观影响小。项目周边最近居民点位于项目东北面和西面。</w:t>
      </w:r>
    </w:p>
    <w:p>
      <w:pPr>
        <w:spacing w:before="24" w:after="24" w:line="460" w:lineRule="exact"/>
        <w:ind w:firstLine="480"/>
        <w:jc w:val="both"/>
        <w:rPr>
          <w:bCs/>
          <w:sz w:val="24"/>
          <w:szCs w:val="24"/>
        </w:rPr>
      </w:pPr>
      <w:r>
        <w:rPr>
          <w:sz w:val="24"/>
          <w:szCs w:val="24"/>
        </w:rPr>
        <w:t>项目建设期、开采期和闭矿期无废水、固废外排，产品外运道路不经过景区范围，对九峰山森林公园景点的影响主要为粉尘影响，粉尘如果覆盖在景区内植被上，可能会堵塞叶片气孔造成蒸腾作用下降，会阻止叶片光透性，降低光合效率，但对建筑物、水体基本无影响。</w:t>
      </w:r>
      <w:r>
        <w:rPr>
          <w:bCs/>
          <w:sz w:val="24"/>
          <w:szCs w:val="24"/>
        </w:rPr>
        <w:t>闭矿后通过生态恢复措施，主要复垦为林地，采用乡土物种进行恢复，主要采用原有占地的灌木、草本植物和竹。景观将逐步恢复和改善，基本达到建设前水平，和森林公园的植被景观相似，最终和森林公园景观保持协调。总体项目对九峰山森林公园景观影响小。</w:t>
      </w:r>
    </w:p>
    <w:p>
      <w:pPr>
        <w:spacing w:before="24" w:after="24" w:line="460" w:lineRule="exact"/>
        <w:ind w:firstLine="480"/>
        <w:jc w:val="both"/>
        <w:rPr>
          <w:bCs/>
          <w:sz w:val="24"/>
          <w:szCs w:val="24"/>
        </w:rPr>
      </w:pPr>
      <w:r>
        <w:rPr>
          <w:bCs/>
          <w:sz w:val="24"/>
          <w:szCs w:val="24"/>
        </w:rPr>
        <w:t>综上所述，通过本环评提出的相关污染防治措施和生态保护、恢复措施以及景观改善措施，对九峰山森林公园的森林风景资源和生物多样性、传播森林生态文化、开展森林生态旅游等功能影响很小。不会影响其生态服务功能。本项目对九峰山森林公园影响小，是可以接受的。</w:t>
      </w:r>
    </w:p>
    <w:p>
      <w:pPr>
        <w:pStyle w:val="4"/>
      </w:pPr>
      <w:bookmarkStart w:id="187" w:name="_Toc161676113"/>
      <w:bookmarkStart w:id="188" w:name="_Toc87867505"/>
      <w:r>
        <w:t>5.5水土流失</w:t>
      </w:r>
    </w:p>
    <w:p>
      <w:pPr>
        <w:spacing w:line="360" w:lineRule="auto"/>
        <w:ind w:firstLine="0" w:firstLineChars="0"/>
        <w:jc w:val="both"/>
        <w:outlineLvl w:val="2"/>
        <w:rPr>
          <w:b/>
          <w:bCs/>
          <w:sz w:val="24"/>
        </w:rPr>
      </w:pPr>
      <w:r>
        <w:rPr>
          <w:b/>
          <w:bCs/>
          <w:sz w:val="24"/>
          <w:szCs w:val="24"/>
        </w:rPr>
        <w:t>5.5.1水土流失</w:t>
      </w:r>
      <w:r>
        <w:rPr>
          <w:b/>
          <w:bCs/>
          <w:sz w:val="24"/>
        </w:rPr>
        <w:t>的影响分析</w:t>
      </w:r>
    </w:p>
    <w:p>
      <w:pPr>
        <w:spacing w:line="360" w:lineRule="auto"/>
        <w:ind w:firstLine="480"/>
        <w:jc w:val="both"/>
        <w:rPr>
          <w:sz w:val="24"/>
        </w:rPr>
      </w:pPr>
      <w:r>
        <w:rPr>
          <w:sz w:val="24"/>
        </w:rPr>
        <w:t>根据《重庆市水土保持规划（2016-2030年）》，项目所在区域（合川区盐井街道）属于重庆市水土流失重点预防区。本项目建设将对地表进行剥离、挖掘和堆积，使原来的地表结构、土地利用类型、局部地貌发生变化。施工场地为自然地面和经过切坡、开挖后的地面，</w:t>
      </w:r>
      <w:r>
        <w:rPr>
          <w:sz w:val="24"/>
          <w:szCs w:val="24"/>
          <w:lang w:bidi="ar"/>
        </w:rPr>
        <w:t>导致土壤暴露在雨、风和其它干扰之中，使水土流失情况加剧，</w:t>
      </w:r>
      <w:r>
        <w:rPr>
          <w:sz w:val="24"/>
        </w:rPr>
        <w:t>单位面积的悬浮物冲刷量和流失量较大。</w:t>
      </w:r>
      <w:r>
        <w:rPr>
          <w:sz w:val="24"/>
          <w:szCs w:val="24"/>
          <w:lang w:bidi="ar"/>
        </w:rPr>
        <w:t>施工过程中，泥土转运装卸作业过程中和堆放时，都可能出现散落和水土流失。</w:t>
      </w:r>
      <w:r>
        <w:rPr>
          <w:sz w:val="24"/>
        </w:rPr>
        <w:t>遇到雨天，因地表水流会带走泥沙，水土流失加剧。开挖土石方的临时堆放也会产生一定的水土流失。本项目新增开挖面积小，施工期短，土石方就近占地进行临时堆放或作占地护坡堆存，土石方量小，实际新增水土流失量小，在环境可接受范围内。</w:t>
      </w:r>
    </w:p>
    <w:p>
      <w:pPr>
        <w:spacing w:line="360" w:lineRule="auto"/>
        <w:ind w:firstLine="0" w:firstLineChars="0"/>
        <w:jc w:val="both"/>
        <w:outlineLvl w:val="2"/>
        <w:rPr>
          <w:b/>
          <w:bCs/>
          <w:sz w:val="24"/>
          <w:szCs w:val="24"/>
        </w:rPr>
      </w:pPr>
      <w:r>
        <w:rPr>
          <w:b/>
          <w:bCs/>
          <w:sz w:val="24"/>
          <w:szCs w:val="24"/>
        </w:rPr>
        <w:t>5.5.2水土保持措施</w:t>
      </w:r>
    </w:p>
    <w:p>
      <w:pPr>
        <w:spacing w:line="360" w:lineRule="auto"/>
        <w:ind w:firstLine="480"/>
        <w:jc w:val="both"/>
        <w:rPr>
          <w:sz w:val="24"/>
        </w:rPr>
      </w:pPr>
      <w:r>
        <w:rPr>
          <w:rFonts w:hint="eastAsia" w:ascii="宋体" w:hAnsi="宋体" w:cs="宋体"/>
          <w:sz w:val="24"/>
        </w:rPr>
        <w:t>①</w:t>
      </w:r>
      <w:r>
        <w:rPr>
          <w:sz w:val="24"/>
        </w:rPr>
        <w:t>根据水土流失“预防为主，防治结合”的原则，在水土保持措施布局之前，应采取必不可少的预防水土流失的手段，对整个工程项目进行优化和监管，在工程允许的前提下，尽量减少工程扰动土地的面积，缩短施工时间，加强建设管理等方面的预防保护，切实地从工程施工之前，将水土保持工作放在工程前沿。</w:t>
      </w:r>
    </w:p>
    <w:p>
      <w:pPr>
        <w:spacing w:line="360" w:lineRule="auto"/>
        <w:ind w:firstLine="480"/>
        <w:jc w:val="both"/>
        <w:rPr>
          <w:sz w:val="24"/>
        </w:rPr>
      </w:pPr>
      <w:r>
        <w:rPr>
          <w:rFonts w:hint="eastAsia" w:ascii="宋体" w:hAnsi="宋体" w:cs="宋体"/>
          <w:sz w:val="24"/>
        </w:rPr>
        <w:t>②</w:t>
      </w:r>
      <w:r>
        <w:rPr>
          <w:sz w:val="24"/>
        </w:rPr>
        <w:t>建设方应设立水土保持专管职务，在项目开工前期，介入工程以合同形式将水土保持工作及投资落实到工程中，对施工方进行约束，加强水保意识，防止暴力施工，要严格要求施工单位在规定作业带范围内施工，尽量减少影响区范围。</w:t>
      </w:r>
    </w:p>
    <w:p>
      <w:pPr>
        <w:spacing w:line="360" w:lineRule="auto"/>
        <w:ind w:firstLine="480"/>
        <w:jc w:val="both"/>
        <w:rPr>
          <w:b/>
          <w:bCs/>
          <w:sz w:val="24"/>
        </w:rPr>
      </w:pPr>
      <w:r>
        <w:rPr>
          <w:rFonts w:hint="eastAsia" w:ascii="宋体" w:hAnsi="宋体" w:cs="宋体"/>
          <w:sz w:val="24"/>
        </w:rPr>
        <w:t>③</w:t>
      </w:r>
      <w:r>
        <w:rPr>
          <w:sz w:val="24"/>
        </w:rPr>
        <w:t>合理设计施工时序及施工工艺，尽量缩短施工周期，减少疏松地面的裸露时间，尽量避开雨季和汛期进行土建施工。</w:t>
      </w:r>
    </w:p>
    <w:p>
      <w:pPr>
        <w:pStyle w:val="4"/>
      </w:pPr>
      <w:r>
        <w:t>5.6绿色矿山建设</w:t>
      </w:r>
      <w:bookmarkEnd w:id="187"/>
      <w:bookmarkEnd w:id="188"/>
    </w:p>
    <w:p>
      <w:pPr>
        <w:spacing w:line="460" w:lineRule="exact"/>
        <w:ind w:firstLine="480"/>
        <w:jc w:val="both"/>
        <w:rPr>
          <w:bCs/>
          <w:kern w:val="0"/>
          <w:sz w:val="24"/>
          <w:szCs w:val="26"/>
        </w:rPr>
      </w:pPr>
      <w:r>
        <w:rPr>
          <w:bCs/>
          <w:kern w:val="0"/>
          <w:sz w:val="24"/>
          <w:szCs w:val="26"/>
        </w:rPr>
        <w:t>根据《重庆市绿色矿山建设标准（2021年版）》（渝规资〔2021〕745号）、《非金属矿行业绿色矿山建设规范》（DT/T0312-2018）、《砂石行业绿色矿山建设规范》（DZ/T0316- 2018）、《重庆市绿色</w:t>
      </w:r>
      <w:bookmarkStart w:id="269" w:name="_GoBack"/>
      <w:bookmarkEnd w:id="269"/>
      <w:r>
        <w:rPr>
          <w:bCs/>
          <w:kern w:val="0"/>
          <w:sz w:val="24"/>
          <w:szCs w:val="26"/>
        </w:rPr>
        <w:t>矿山管理办法》（渝规资规范〔2020〕13号）要求，公司应按照相关要求编制《绿色矿山建设实施方案》，并严格按照绿色矿山建设实施方案进行实施。建设单位在建设运行过程中，应对照绿色矿山建设考核标准对照检查，建立和完善绿色矿山建设的工作责任制，本评价对照《砂石行业绿色矿山建设规范》（DZ/T 0316-2018）要求分析结果见表。根据分析，工程符合绿色矿山建设要求。</w:t>
      </w:r>
    </w:p>
    <w:p>
      <w:pPr>
        <w:pStyle w:val="84"/>
      </w:pPr>
      <w:r>
        <w:t>表5.6-1  工程绿色矿山要求及措施分析</w:t>
      </w:r>
    </w:p>
    <w:tbl>
      <w:tblPr>
        <w:tblStyle w:val="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5529"/>
        <w:gridCol w:w="2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2" w:type="dxa"/>
            <w:shd w:val="clear" w:color="auto" w:fill="D8D8D8" w:themeFill="background1" w:themeFillShade="D9"/>
            <w:vAlign w:val="center"/>
          </w:tcPr>
          <w:p>
            <w:pPr>
              <w:spacing w:line="240" w:lineRule="atLeast"/>
              <w:ind w:firstLine="0" w:firstLineChars="0"/>
              <w:jc w:val="center"/>
              <w:rPr>
                <w:b/>
                <w:bCs/>
                <w:kern w:val="0"/>
                <w:sz w:val="21"/>
                <w:szCs w:val="21"/>
              </w:rPr>
            </w:pPr>
            <w:r>
              <w:rPr>
                <w:b/>
                <w:bCs/>
                <w:kern w:val="0"/>
                <w:sz w:val="21"/>
                <w:szCs w:val="21"/>
              </w:rPr>
              <w:t>类型</w:t>
            </w:r>
          </w:p>
        </w:tc>
        <w:tc>
          <w:tcPr>
            <w:tcW w:w="5529" w:type="dxa"/>
            <w:shd w:val="clear" w:color="auto" w:fill="D8D8D8" w:themeFill="background1" w:themeFillShade="D9"/>
            <w:vAlign w:val="center"/>
          </w:tcPr>
          <w:p>
            <w:pPr>
              <w:spacing w:line="240" w:lineRule="atLeast"/>
              <w:ind w:firstLine="0" w:firstLineChars="0"/>
              <w:jc w:val="center"/>
              <w:rPr>
                <w:b/>
                <w:bCs/>
                <w:kern w:val="0"/>
                <w:sz w:val="21"/>
                <w:szCs w:val="21"/>
              </w:rPr>
            </w:pPr>
            <w:r>
              <w:rPr>
                <w:b/>
                <w:bCs/>
                <w:kern w:val="0"/>
                <w:sz w:val="21"/>
                <w:szCs w:val="21"/>
              </w:rPr>
              <w:t>要求</w:t>
            </w:r>
          </w:p>
        </w:tc>
        <w:tc>
          <w:tcPr>
            <w:tcW w:w="2516" w:type="dxa"/>
            <w:shd w:val="clear" w:color="auto" w:fill="D8D8D8" w:themeFill="background1" w:themeFillShade="D9"/>
            <w:vAlign w:val="center"/>
          </w:tcPr>
          <w:p>
            <w:pPr>
              <w:spacing w:line="240" w:lineRule="atLeast"/>
              <w:ind w:firstLine="0" w:firstLineChars="0"/>
              <w:jc w:val="center"/>
              <w:rPr>
                <w:b/>
                <w:bCs/>
                <w:kern w:val="0"/>
                <w:sz w:val="21"/>
                <w:szCs w:val="21"/>
              </w:rPr>
            </w:pPr>
            <w:r>
              <w:rPr>
                <w:b/>
                <w:bCs/>
                <w:kern w:val="0"/>
                <w:sz w:val="21"/>
                <w:szCs w:val="21"/>
              </w:rPr>
              <w:t>本项目拟采取措施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2" w:type="dxa"/>
            <w:vMerge w:val="restart"/>
            <w:vAlign w:val="center"/>
          </w:tcPr>
          <w:p>
            <w:pPr>
              <w:spacing w:line="240" w:lineRule="atLeast"/>
              <w:ind w:firstLine="0" w:firstLineChars="0"/>
              <w:jc w:val="center"/>
              <w:rPr>
                <w:bCs/>
                <w:kern w:val="0"/>
                <w:sz w:val="21"/>
                <w:szCs w:val="21"/>
              </w:rPr>
            </w:pPr>
            <w:r>
              <w:rPr>
                <w:bCs/>
                <w:kern w:val="0"/>
                <w:sz w:val="21"/>
                <w:szCs w:val="21"/>
              </w:rPr>
              <w:t>矿区环境</w:t>
            </w:r>
          </w:p>
        </w:tc>
        <w:tc>
          <w:tcPr>
            <w:tcW w:w="5529" w:type="dxa"/>
            <w:vAlign w:val="center"/>
          </w:tcPr>
          <w:tbl>
            <w:tblPr>
              <w:tblStyle w:val="8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41" w:hRule="atLeast"/>
              </w:trPr>
              <w:tc>
                <w:tcPr>
                  <w:tcW w:w="0" w:type="auto"/>
                </w:tcPr>
                <w:p>
                  <w:pPr>
                    <w:spacing w:line="240" w:lineRule="atLeast"/>
                    <w:ind w:firstLine="0" w:firstLineChars="0"/>
                    <w:rPr>
                      <w:bCs/>
                      <w:kern w:val="0"/>
                      <w:sz w:val="21"/>
                      <w:szCs w:val="21"/>
                    </w:rPr>
                  </w:pPr>
                  <w:r>
                    <w:rPr>
                      <w:bCs/>
                      <w:kern w:val="0"/>
                      <w:sz w:val="21"/>
                      <w:szCs w:val="21"/>
                    </w:rPr>
                    <w:t>矿区按生产区、管理区、生活区和生态区等功能分区</w:t>
                  </w:r>
                </w:p>
              </w:tc>
            </w:tr>
          </w:tbl>
          <w:p>
            <w:pPr>
              <w:spacing w:line="240" w:lineRule="atLeast"/>
              <w:ind w:firstLine="0" w:firstLineChars="0"/>
              <w:rPr>
                <w:bCs/>
                <w:kern w:val="0"/>
                <w:sz w:val="21"/>
                <w:szCs w:val="21"/>
              </w:rPr>
            </w:pPr>
          </w:p>
        </w:tc>
        <w:tc>
          <w:tcPr>
            <w:tcW w:w="2516" w:type="dxa"/>
            <w:vAlign w:val="center"/>
          </w:tcPr>
          <w:tbl>
            <w:tblPr>
              <w:tblStyle w:val="8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1" w:hRule="atLeast"/>
              </w:trPr>
              <w:tc>
                <w:tcPr>
                  <w:tcW w:w="0" w:type="auto"/>
                </w:tcPr>
                <w:p>
                  <w:pPr>
                    <w:spacing w:line="240" w:lineRule="atLeast"/>
                    <w:ind w:firstLine="0" w:firstLineChars="0"/>
                    <w:rPr>
                      <w:bCs/>
                      <w:kern w:val="0"/>
                      <w:sz w:val="21"/>
                      <w:szCs w:val="21"/>
                    </w:rPr>
                  </w:pPr>
                  <w:r>
                    <w:rPr>
                      <w:bCs/>
                      <w:kern w:val="0"/>
                      <w:sz w:val="21"/>
                      <w:szCs w:val="21"/>
                    </w:rPr>
                    <w:t>矿区按生产区、管理区、生活区和生态区等功能进行细分</w:t>
                  </w:r>
                </w:p>
              </w:tc>
            </w:tr>
          </w:tbl>
          <w:p>
            <w:pPr>
              <w:spacing w:line="240" w:lineRule="atLeast"/>
              <w:ind w:firstLine="0" w:firstLineChars="0"/>
              <w:jc w:val="center"/>
              <w:rPr>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p>
            <w:pPr>
              <w:spacing w:line="240" w:lineRule="atLeast"/>
              <w:ind w:firstLine="0" w:firstLineChars="0"/>
              <w:rPr>
                <w:bCs/>
                <w:kern w:val="0"/>
                <w:sz w:val="21"/>
                <w:szCs w:val="21"/>
              </w:rPr>
            </w:pPr>
            <w:r>
              <w:rPr>
                <w:bCs/>
                <w:kern w:val="0"/>
                <w:sz w:val="21"/>
                <w:szCs w:val="21"/>
              </w:rPr>
              <w:t>矿区地面道路、供水、供电等配套设施齐全，生产区设置线路示意牌、简介牌、岗位技术操作规程等标牌</w:t>
            </w:r>
          </w:p>
        </w:tc>
        <w:tc>
          <w:tcPr>
            <w:tcW w:w="2516" w:type="dxa"/>
            <w:vAlign w:val="center"/>
          </w:tcPr>
          <w:p>
            <w:pPr>
              <w:spacing w:line="240" w:lineRule="atLeast"/>
              <w:ind w:firstLine="0" w:firstLineChars="0"/>
              <w:rPr>
                <w:bCs/>
                <w:kern w:val="0"/>
                <w:sz w:val="21"/>
                <w:szCs w:val="21"/>
              </w:rPr>
            </w:pPr>
            <w:r>
              <w:rPr>
                <w:bCs/>
                <w:kern w:val="0"/>
                <w:sz w:val="21"/>
                <w:szCs w:val="21"/>
              </w:rPr>
              <w:t>矿区道路、供水等齐全，采区设置操作提示牌、说明牌、线路示意图等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p>
            <w:pPr>
              <w:spacing w:line="240" w:lineRule="atLeast"/>
              <w:ind w:firstLine="0" w:firstLineChars="0"/>
              <w:rPr>
                <w:bCs/>
                <w:kern w:val="0"/>
                <w:sz w:val="21"/>
                <w:szCs w:val="21"/>
              </w:rPr>
            </w:pPr>
            <w:r>
              <w:rPr>
                <w:bCs/>
                <w:kern w:val="0"/>
                <w:sz w:val="21"/>
                <w:szCs w:val="21"/>
              </w:rPr>
              <w:t>矿山生产过程中应采取喷雾、喷洒水或生物纳膜，加装除尘设备等措施处置粉尘。应对输送系统、生产线.料库等采取有效措施进行抑尘;做好车辆保洁，车辆驶离矿区必须冲洗，严禁运料遗撒和带泥上路，保持矿区及周边环境卫生。</w:t>
            </w:r>
          </w:p>
        </w:tc>
        <w:tc>
          <w:tcPr>
            <w:tcW w:w="2516" w:type="dxa"/>
            <w:vAlign w:val="center"/>
          </w:tcPr>
          <w:p>
            <w:pPr>
              <w:spacing w:line="240" w:lineRule="atLeast"/>
              <w:ind w:firstLine="0" w:firstLineChars="0"/>
              <w:rPr>
                <w:bCs/>
                <w:kern w:val="0"/>
                <w:sz w:val="21"/>
                <w:szCs w:val="21"/>
              </w:rPr>
            </w:pPr>
            <w:r>
              <w:rPr>
                <w:bCs/>
                <w:kern w:val="0"/>
                <w:sz w:val="21"/>
                <w:szCs w:val="21"/>
              </w:rPr>
              <w:t>矿山生产过程中拟采取喷雾、洒水、加装除尘设备等措施，拟设置车辆冲洗池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tbl>
            <w:tblPr>
              <w:tblStyle w:val="8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42" w:hRule="atLeast"/>
              </w:trPr>
              <w:tc>
                <w:tcPr>
                  <w:tcW w:w="0" w:type="auto"/>
                </w:tcPr>
                <w:p>
                  <w:pPr>
                    <w:spacing w:line="240" w:lineRule="atLeast"/>
                    <w:ind w:firstLine="0" w:firstLineChars="0"/>
                    <w:rPr>
                      <w:bCs/>
                      <w:kern w:val="0"/>
                      <w:sz w:val="21"/>
                      <w:szCs w:val="21"/>
                    </w:rPr>
                  </w:pPr>
                  <w:r>
                    <w:rPr>
                      <w:bCs/>
                      <w:kern w:val="0"/>
                      <w:sz w:val="21"/>
                      <w:szCs w:val="21"/>
                    </w:rPr>
                    <w:t>采用合理有效的技术措施对高噪声设备进行降噪处理</w:t>
                  </w:r>
                </w:p>
              </w:tc>
            </w:tr>
          </w:tbl>
          <w:p>
            <w:pPr>
              <w:spacing w:line="240" w:lineRule="atLeast"/>
              <w:ind w:firstLine="0" w:firstLineChars="0"/>
              <w:rPr>
                <w:bCs/>
                <w:kern w:val="0"/>
                <w:sz w:val="21"/>
                <w:szCs w:val="21"/>
              </w:rPr>
            </w:pPr>
          </w:p>
        </w:tc>
        <w:tc>
          <w:tcPr>
            <w:tcW w:w="2516" w:type="dxa"/>
            <w:vAlign w:val="center"/>
          </w:tcPr>
          <w:p>
            <w:pPr>
              <w:spacing w:line="240" w:lineRule="atLeast"/>
              <w:ind w:firstLine="0" w:firstLineChars="0"/>
              <w:rPr>
                <w:bCs/>
                <w:kern w:val="0"/>
                <w:sz w:val="21"/>
                <w:szCs w:val="21"/>
              </w:rPr>
            </w:pPr>
            <w:r>
              <w:rPr>
                <w:bCs/>
                <w:kern w:val="0"/>
                <w:sz w:val="21"/>
                <w:szCs w:val="21"/>
              </w:rPr>
              <w:t>工程采用减震、高噪声源合理布局等方式降低噪声影响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pPr>
              <w:spacing w:line="240" w:lineRule="atLeast"/>
              <w:ind w:firstLine="0" w:firstLineChars="0"/>
              <w:jc w:val="center"/>
              <w:rPr>
                <w:bCs/>
                <w:kern w:val="0"/>
                <w:sz w:val="21"/>
                <w:szCs w:val="21"/>
              </w:rPr>
            </w:pPr>
            <w:r>
              <w:rPr>
                <w:bCs/>
                <w:kern w:val="0"/>
                <w:sz w:val="21"/>
                <w:szCs w:val="21"/>
              </w:rPr>
              <w:t>资源开发方式</w:t>
            </w: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应贯彻“边开采、边恢复”的原则，及时治理恢复矿山地质环境，复垦矿山占用土地和损毁土地。治理率和复垦率应达到矿山地质环境保护与土地复垦方案的要求。</w:t>
            </w:r>
          </w:p>
        </w:tc>
        <w:tc>
          <w:tcPr>
            <w:tcW w:w="2516" w:type="dxa"/>
            <w:vAlign w:val="center"/>
          </w:tcPr>
          <w:p>
            <w:pPr>
              <w:spacing w:line="240" w:lineRule="atLeast"/>
              <w:ind w:firstLine="0" w:firstLineChars="0"/>
              <w:rPr>
                <w:bCs/>
                <w:kern w:val="0"/>
                <w:sz w:val="21"/>
                <w:szCs w:val="21"/>
              </w:rPr>
            </w:pPr>
            <w:r>
              <w:rPr>
                <w:bCs/>
                <w:kern w:val="0"/>
                <w:sz w:val="21"/>
                <w:szCs w:val="21"/>
              </w:rPr>
              <w:t>已编制了土地复垦方案，根据方案贯彻边开采边恢复原则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根据原料品质分级利用砂石资源，做到优质优用，提高砂石产品的成品率。</w:t>
            </w:r>
          </w:p>
          <w:p>
            <w:pPr>
              <w:autoSpaceDE w:val="0"/>
              <w:autoSpaceDN w:val="0"/>
              <w:spacing w:line="240" w:lineRule="atLeast"/>
              <w:ind w:firstLine="0" w:firstLineChars="0"/>
              <w:rPr>
                <w:kern w:val="0"/>
                <w:sz w:val="21"/>
                <w:szCs w:val="21"/>
              </w:rPr>
            </w:pPr>
            <w:r>
              <w:rPr>
                <w:kern w:val="0"/>
                <w:sz w:val="21"/>
                <w:szCs w:val="21"/>
              </w:rPr>
              <w:t>干法生产应配备高效除尘设备，并保持与生产设备同步运行。湿法生产应配置泥粉和水分离、废水处理和循环使用系统。</w:t>
            </w:r>
          </w:p>
          <w:p>
            <w:pPr>
              <w:autoSpaceDE w:val="0"/>
              <w:autoSpaceDN w:val="0"/>
              <w:spacing w:line="240" w:lineRule="atLeast"/>
              <w:ind w:firstLine="0" w:firstLineChars="0"/>
              <w:rPr>
                <w:kern w:val="0"/>
                <w:sz w:val="21"/>
                <w:szCs w:val="21"/>
              </w:rPr>
            </w:pPr>
            <w:r>
              <w:rPr>
                <w:kern w:val="0"/>
                <w:sz w:val="21"/>
                <w:szCs w:val="21"/>
              </w:rPr>
              <w:t>生产加工车间的产尘点应封闭。合理设计工艺布置，控制噪声传播。</w:t>
            </w:r>
          </w:p>
          <w:p>
            <w:pPr>
              <w:autoSpaceDE w:val="0"/>
              <w:autoSpaceDN w:val="0"/>
              <w:spacing w:line="240" w:lineRule="atLeast"/>
              <w:ind w:firstLine="0" w:firstLineChars="0"/>
              <w:rPr>
                <w:kern w:val="0"/>
                <w:sz w:val="21"/>
                <w:szCs w:val="21"/>
              </w:rPr>
            </w:pPr>
            <w:r>
              <w:rPr>
                <w:kern w:val="0"/>
                <w:sz w:val="21"/>
                <w:szCs w:val="21"/>
              </w:rPr>
              <w:t>砂石骨料成品堆场（库）应地面硬化，分类或分仓储存。</w:t>
            </w:r>
          </w:p>
        </w:tc>
        <w:tc>
          <w:tcPr>
            <w:tcW w:w="2516" w:type="dxa"/>
            <w:vAlign w:val="center"/>
          </w:tcPr>
          <w:p>
            <w:pPr>
              <w:spacing w:line="240" w:lineRule="atLeast"/>
              <w:ind w:firstLine="0" w:firstLineChars="0"/>
              <w:jc w:val="center"/>
              <w:rPr>
                <w:bCs/>
                <w:kern w:val="0"/>
                <w:sz w:val="21"/>
                <w:szCs w:val="21"/>
              </w:rPr>
            </w:pPr>
            <w:r>
              <w:rPr>
                <w:bCs/>
                <w:kern w:val="0"/>
                <w:sz w:val="21"/>
                <w:szCs w:val="21"/>
              </w:rPr>
              <w:t>碎石加工采取配备高效除尘器对粉尘进行收集处理；车间全部密闭；产品储存在料仓以及堆场，堆场位于封闭车间内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pPr>
              <w:spacing w:line="240" w:lineRule="atLeast"/>
              <w:ind w:firstLine="0" w:firstLineChars="0"/>
              <w:jc w:val="center"/>
              <w:rPr>
                <w:bCs/>
                <w:kern w:val="0"/>
                <w:sz w:val="21"/>
                <w:szCs w:val="21"/>
              </w:rPr>
            </w:pPr>
            <w:r>
              <w:rPr>
                <w:bCs/>
                <w:kern w:val="0"/>
                <w:sz w:val="21"/>
                <w:szCs w:val="21"/>
              </w:rPr>
              <w:t>资源综合利用</w:t>
            </w: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石粉收集后应充分合理利用:钙质石粉和吸附性较低的硅质石粉可用于生产水泥、混凝土和砂浆，或进行产品深加工，提高产品附加值;吸附性较高的硅质石粉可用于生产砂浆、环保砖、新型墙体材料、陶瓷，水泥用硅质原料等。</w:t>
            </w:r>
          </w:p>
        </w:tc>
        <w:tc>
          <w:tcPr>
            <w:tcW w:w="2516" w:type="dxa"/>
            <w:vAlign w:val="center"/>
          </w:tcPr>
          <w:p>
            <w:pPr>
              <w:spacing w:line="240" w:lineRule="atLeast"/>
              <w:ind w:firstLine="0" w:firstLineChars="0"/>
              <w:jc w:val="center"/>
              <w:rPr>
                <w:bCs/>
                <w:kern w:val="0"/>
                <w:sz w:val="21"/>
                <w:szCs w:val="21"/>
              </w:rPr>
            </w:pPr>
            <w:r>
              <w:rPr>
                <w:kern w:val="0"/>
                <w:sz w:val="21"/>
                <w:szCs w:val="21"/>
              </w:rPr>
              <w:t>石粉收集后作为产品外售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排土场堆放的剥离表土或筛分后的渣土，宜用于环境治理、土地复垦和生态修复。</w:t>
            </w:r>
          </w:p>
        </w:tc>
        <w:tc>
          <w:tcPr>
            <w:tcW w:w="2516" w:type="dxa"/>
            <w:vAlign w:val="center"/>
          </w:tcPr>
          <w:p>
            <w:pPr>
              <w:spacing w:line="240" w:lineRule="atLeast"/>
              <w:ind w:firstLine="0" w:firstLineChars="0"/>
              <w:jc w:val="center"/>
              <w:rPr>
                <w:bCs/>
                <w:kern w:val="0"/>
                <w:sz w:val="21"/>
                <w:szCs w:val="21"/>
              </w:rPr>
            </w:pPr>
            <w:r>
              <w:rPr>
                <w:bCs/>
                <w:kern w:val="0"/>
                <w:sz w:val="21"/>
                <w:szCs w:val="21"/>
              </w:rPr>
              <w:t>排土场表土和废石分区堆放，后期用于复垦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pPr>
              <w:spacing w:line="240" w:lineRule="atLeast"/>
              <w:ind w:firstLine="0" w:firstLineChars="0"/>
              <w:jc w:val="center"/>
              <w:rPr>
                <w:bCs/>
                <w:kern w:val="0"/>
                <w:sz w:val="21"/>
                <w:szCs w:val="21"/>
              </w:rPr>
            </w:pPr>
            <w:r>
              <w:rPr>
                <w:bCs/>
                <w:kern w:val="0"/>
                <w:sz w:val="21"/>
                <w:szCs w:val="21"/>
              </w:rPr>
              <w:t>节能减排</w:t>
            </w: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宜选用高效﹑智能、绿色，环保的技术和设备，降低单位电耗。</w:t>
            </w:r>
          </w:p>
          <w:p>
            <w:pPr>
              <w:autoSpaceDE w:val="0"/>
              <w:autoSpaceDN w:val="0"/>
              <w:spacing w:line="240" w:lineRule="atLeast"/>
              <w:ind w:firstLine="0" w:firstLineChars="0"/>
              <w:rPr>
                <w:kern w:val="0"/>
                <w:sz w:val="21"/>
                <w:szCs w:val="21"/>
              </w:rPr>
            </w:pPr>
            <w:r>
              <w:rPr>
                <w:kern w:val="0"/>
                <w:sz w:val="21"/>
                <w:szCs w:val="21"/>
              </w:rPr>
              <w:t>应推广使用矿山凿岩穿孔新工艺，降低能耗。</w:t>
            </w:r>
          </w:p>
          <w:p>
            <w:pPr>
              <w:autoSpaceDE w:val="0"/>
              <w:autoSpaceDN w:val="0"/>
              <w:spacing w:line="240" w:lineRule="atLeast"/>
              <w:ind w:firstLine="0" w:firstLineChars="0"/>
              <w:rPr>
                <w:kern w:val="0"/>
                <w:sz w:val="21"/>
                <w:szCs w:val="21"/>
              </w:rPr>
            </w:pPr>
            <w:r>
              <w:rPr>
                <w:kern w:val="0"/>
                <w:sz w:val="21"/>
                <w:szCs w:val="21"/>
              </w:rPr>
              <w:t>利用新技术﹑新工艺、新设备和新材料，减少破碎设备磨损件单位损耗。</w:t>
            </w:r>
          </w:p>
          <w:p>
            <w:pPr>
              <w:autoSpaceDE w:val="0"/>
              <w:autoSpaceDN w:val="0"/>
              <w:spacing w:line="240" w:lineRule="atLeast"/>
              <w:ind w:firstLine="0" w:firstLineChars="0"/>
              <w:rPr>
                <w:kern w:val="0"/>
                <w:sz w:val="21"/>
                <w:szCs w:val="21"/>
              </w:rPr>
            </w:pPr>
            <w:r>
              <w:rPr>
                <w:kern w:val="0"/>
                <w:sz w:val="21"/>
                <w:szCs w:val="21"/>
              </w:rPr>
              <w:t>宜采用长距离皮带运输方式，促进节能减排。</w:t>
            </w:r>
          </w:p>
          <w:p>
            <w:pPr>
              <w:autoSpaceDE w:val="0"/>
              <w:autoSpaceDN w:val="0"/>
              <w:spacing w:line="240" w:lineRule="atLeast"/>
              <w:ind w:firstLine="0" w:firstLineChars="0"/>
              <w:rPr>
                <w:kern w:val="0"/>
                <w:sz w:val="21"/>
                <w:szCs w:val="21"/>
              </w:rPr>
            </w:pPr>
            <w:r>
              <w:rPr>
                <w:kern w:val="0"/>
                <w:sz w:val="21"/>
                <w:szCs w:val="21"/>
              </w:rPr>
              <w:t>对于落差较大的矿区，宜使用下行皮带势能发电技术。</w:t>
            </w:r>
          </w:p>
        </w:tc>
        <w:tc>
          <w:tcPr>
            <w:tcW w:w="2516" w:type="dxa"/>
            <w:vAlign w:val="center"/>
          </w:tcPr>
          <w:p>
            <w:pPr>
              <w:spacing w:line="240" w:lineRule="atLeast"/>
              <w:ind w:firstLine="0" w:firstLineChars="0"/>
              <w:jc w:val="center"/>
              <w:rPr>
                <w:bCs/>
                <w:kern w:val="0"/>
                <w:sz w:val="21"/>
                <w:szCs w:val="21"/>
              </w:rPr>
            </w:pPr>
            <w:r>
              <w:rPr>
                <w:bCs/>
                <w:kern w:val="0"/>
                <w:sz w:val="21"/>
                <w:szCs w:val="21"/>
              </w:rPr>
              <w:t>矿山</w:t>
            </w:r>
            <w:r>
              <w:rPr>
                <w:kern w:val="0"/>
                <w:sz w:val="21"/>
                <w:szCs w:val="21"/>
              </w:rPr>
              <w:t>凿岩穿孔采取自带除尘装置的钻机；破碎物料运输全部采取皮带运输方式，减少污染物排放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矿石开采和砂石生产过程中的粉尘控制应遵循源头抑制﹑过程协同控制、末端监控、系统联动集成的治理思路，达到环保节能和清洁生产的目的。</w:t>
            </w:r>
          </w:p>
          <w:p>
            <w:pPr>
              <w:autoSpaceDE w:val="0"/>
              <w:autoSpaceDN w:val="0"/>
              <w:spacing w:line="240" w:lineRule="atLeast"/>
              <w:ind w:firstLine="0" w:firstLineChars="0"/>
              <w:rPr>
                <w:kern w:val="0"/>
                <w:sz w:val="21"/>
                <w:szCs w:val="21"/>
              </w:rPr>
            </w:pPr>
            <w:r>
              <w:rPr>
                <w:kern w:val="0"/>
                <w:sz w:val="21"/>
                <w:szCs w:val="21"/>
              </w:rPr>
              <w:t>矿区应配置洒水车、高压喷雾车等设备。</w:t>
            </w:r>
          </w:p>
          <w:p>
            <w:pPr>
              <w:autoSpaceDE w:val="0"/>
              <w:autoSpaceDN w:val="0"/>
              <w:spacing w:line="240" w:lineRule="atLeast"/>
              <w:ind w:firstLine="0" w:firstLineChars="0"/>
              <w:rPr>
                <w:kern w:val="0"/>
                <w:sz w:val="21"/>
                <w:szCs w:val="21"/>
              </w:rPr>
            </w:pPr>
            <w:r>
              <w:rPr>
                <w:kern w:val="0"/>
                <w:sz w:val="21"/>
                <w:szCs w:val="21"/>
              </w:rPr>
              <w:t>应在装载机，破碎机、筛分机、整形机、制砂机、输送机端口等连续产生粉尘部位安装高效除尘装置。</w:t>
            </w:r>
          </w:p>
        </w:tc>
        <w:tc>
          <w:tcPr>
            <w:tcW w:w="2516" w:type="dxa"/>
            <w:vAlign w:val="center"/>
          </w:tcPr>
          <w:p>
            <w:pPr>
              <w:autoSpaceDE w:val="0"/>
              <w:autoSpaceDN w:val="0"/>
              <w:spacing w:line="240" w:lineRule="atLeast"/>
              <w:ind w:firstLine="0" w:firstLineChars="0"/>
              <w:rPr>
                <w:kern w:val="0"/>
                <w:sz w:val="21"/>
                <w:szCs w:val="21"/>
              </w:rPr>
            </w:pPr>
            <w:r>
              <w:rPr>
                <w:kern w:val="0"/>
                <w:sz w:val="21"/>
                <w:szCs w:val="21"/>
              </w:rPr>
              <w:t>矿区拟配置洒水车、高压喷雾车等设备。</w:t>
            </w:r>
          </w:p>
          <w:p>
            <w:pPr>
              <w:autoSpaceDE w:val="0"/>
              <w:autoSpaceDN w:val="0"/>
              <w:spacing w:line="240" w:lineRule="atLeast"/>
              <w:ind w:firstLine="0" w:firstLineChars="0"/>
              <w:rPr>
                <w:bCs/>
                <w:kern w:val="0"/>
                <w:sz w:val="21"/>
                <w:szCs w:val="21"/>
              </w:rPr>
            </w:pPr>
            <w:r>
              <w:rPr>
                <w:kern w:val="0"/>
                <w:sz w:val="21"/>
                <w:szCs w:val="21"/>
              </w:rPr>
              <w:t>对现有布袋除尘器进行更换布袋，使得保持高效率。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pPr>
              <w:spacing w:line="240" w:lineRule="atLeast"/>
              <w:ind w:firstLine="0" w:firstLineChars="0"/>
              <w:jc w:val="center"/>
              <w:rPr>
                <w:bCs/>
                <w:kern w:val="0"/>
                <w:sz w:val="21"/>
                <w:szCs w:val="21"/>
              </w:rPr>
            </w:pPr>
          </w:p>
        </w:tc>
        <w:tc>
          <w:tcPr>
            <w:tcW w:w="5529" w:type="dxa"/>
            <w:vAlign w:val="center"/>
          </w:tcPr>
          <w:p>
            <w:pPr>
              <w:autoSpaceDE w:val="0"/>
              <w:autoSpaceDN w:val="0"/>
              <w:spacing w:line="240" w:lineRule="atLeast"/>
              <w:ind w:firstLine="0" w:firstLineChars="0"/>
              <w:rPr>
                <w:kern w:val="0"/>
                <w:sz w:val="21"/>
                <w:szCs w:val="21"/>
              </w:rPr>
            </w:pPr>
            <w:r>
              <w:rPr>
                <w:kern w:val="0"/>
                <w:sz w:val="21"/>
                <w:szCs w:val="21"/>
              </w:rPr>
              <w:t>矿区及厂区应建有雨水截（排）水沟和集水池，地表径流水经沉淀处理后达标排放。矿区及厂区的生产排水，雨水和生活污水，应实现雨污分流、清污分流。</w:t>
            </w:r>
          </w:p>
        </w:tc>
        <w:tc>
          <w:tcPr>
            <w:tcW w:w="2516" w:type="dxa"/>
            <w:vAlign w:val="center"/>
          </w:tcPr>
          <w:p>
            <w:pPr>
              <w:spacing w:line="240" w:lineRule="atLeast"/>
              <w:ind w:firstLine="0" w:firstLineChars="0"/>
              <w:jc w:val="center"/>
              <w:rPr>
                <w:bCs/>
                <w:kern w:val="0"/>
                <w:sz w:val="21"/>
                <w:szCs w:val="21"/>
              </w:rPr>
            </w:pPr>
            <w:r>
              <w:rPr>
                <w:kern w:val="0"/>
                <w:sz w:val="21"/>
                <w:szCs w:val="21"/>
              </w:rPr>
              <w:t>矿区拟建雨水截（排）水沟和沉淀池，地表径流水经沉淀处理后达标排放。生活污水经生化池收集后用作农肥</w:t>
            </w:r>
          </w:p>
        </w:tc>
      </w:tr>
      <w:bookmarkEnd w:id="186"/>
    </w:tbl>
    <w:p>
      <w:pPr>
        <w:pStyle w:val="4"/>
      </w:pPr>
      <w:bookmarkStart w:id="189" w:name="_Toc161676114"/>
      <w:r>
        <w:t>5.7生态影响评价结论</w:t>
      </w:r>
      <w:bookmarkEnd w:id="189"/>
    </w:p>
    <w:p>
      <w:pPr>
        <w:pStyle w:val="34"/>
      </w:pPr>
      <w:r>
        <w:t>通过生态现状调查，评价范围内主要为农业、森林生态系统，后逐渐转变为工矿用地，植被种类较单一，野生动物稀少，无国家和重庆市重点保护野生动物，生态结构简单。</w:t>
      </w:r>
    </w:p>
    <w:p>
      <w:pPr>
        <w:pStyle w:val="34"/>
      </w:pPr>
      <w:r>
        <w:t>根据项目工程情况对各生态因子进行预测分析，提出相应的生态保护和恢复措施，拟建项目的规模和选址合理，拟建项目在各阶段对生态环境的影响小，对各生态因子影响小，对生态系统的结构和稳定性影响小，对区域生态功能（主导水资源与水生态保护、农业生态功能的维持与提高，辅助功能为水土流失预防与监督、面源污染、矿山污染控制）产生轻微不利影响，对九峰山森林公园影响小，总体对生态环境影响小，可以接受。</w:t>
      </w:r>
    </w:p>
    <w:p>
      <w:pPr>
        <w:pStyle w:val="222"/>
        <w:sectPr>
          <w:headerReference r:id="rId32" w:type="first"/>
          <w:footerReference r:id="rId34" w:type="first"/>
          <w:headerReference r:id="rId31" w:type="even"/>
          <w:footerReference r:id="rId33" w:type="even"/>
          <w:pgSz w:w="11907" w:h="16840"/>
          <w:pgMar w:top="1588" w:right="1418" w:bottom="1366" w:left="1418" w:header="851" w:footer="992" w:gutter="0"/>
          <w:cols w:space="425" w:num="1"/>
          <w:docGrid w:linePitch="312" w:charSpace="0"/>
        </w:sectPr>
      </w:pPr>
    </w:p>
    <w:p>
      <w:pPr>
        <w:pStyle w:val="3"/>
        <w:numPr>
          <w:ilvl w:val="0"/>
          <w:numId w:val="0"/>
        </w:numPr>
        <w:spacing w:before="240" w:after="240"/>
      </w:pPr>
      <w:bookmarkStart w:id="190" w:name="_Toc161676115"/>
      <w:r>
        <w:t>6环境影响预测与评价</w:t>
      </w:r>
      <w:bookmarkEnd w:id="190"/>
    </w:p>
    <w:p>
      <w:pPr>
        <w:pStyle w:val="4"/>
      </w:pPr>
      <w:bookmarkStart w:id="191" w:name="_Toc161676116"/>
      <w:r>
        <w:t>6.1建设期环境影响分析</w:t>
      </w:r>
      <w:bookmarkEnd w:id="191"/>
    </w:p>
    <w:p>
      <w:pPr>
        <w:pStyle w:val="222"/>
      </w:pPr>
      <w:r>
        <w:t>项目建设期主要采区表土剥离、工业场地建设、矿山运输道路建设等。建设期主要影响是施工扬尘、施工机械噪声等。</w:t>
      </w:r>
    </w:p>
    <w:p>
      <w:pPr>
        <w:pStyle w:val="5"/>
        <w:rPr>
          <w:color w:val="auto"/>
        </w:rPr>
      </w:pPr>
      <w:r>
        <w:rPr>
          <w:color w:val="auto"/>
        </w:rPr>
        <w:t>6.1.1大气环境影响分析</w:t>
      </w:r>
    </w:p>
    <w:p>
      <w:pPr>
        <w:pStyle w:val="222"/>
      </w:pPr>
      <w:r>
        <w:t>（1）扬尘</w:t>
      </w:r>
    </w:p>
    <w:p>
      <w:pPr>
        <w:pStyle w:val="222"/>
      </w:pPr>
      <w:r>
        <w:t>矿区施工废气主要由</w:t>
      </w:r>
      <w:r>
        <w:rPr>
          <w:sz w:val="22"/>
          <w:szCs w:val="22"/>
        </w:rPr>
        <w:t>矿区道路建设、截排水沟、沉淀池、挡土墙等</w:t>
      </w:r>
      <w:r>
        <w:t>建设过程产生，矿区机械开挖产生的扬尘，道路路基土石方开挖产生扬尘，施工中材料的运输、装卸过程中大量的粉尘散落到周围空气。</w:t>
      </w:r>
    </w:p>
    <w:p>
      <w:pPr>
        <w:pStyle w:val="222"/>
      </w:pPr>
      <w:r>
        <w:t>项目施工过程中，通过对施工场地、运输道路和积尘较大的施工区进行洒水措施，可使施工工地周围环境空气中的扬尘量减少80%以上，有效减小扬尘对项目附近环境空气的影响。项目表土剥离、矿山道路施工过程通过洒水降尘等措施可降低扬尘对周边环境空气影响。工业场地利用双合高速公路自建取料场采空区进行建设，不进行土石方开挖作业，施工强度较小，主要为建筑材料装卸、车辆运输引起扬尘，在采取洒水降尘等措施后工业场地施工扬尘排放量较小。</w:t>
      </w:r>
    </w:p>
    <w:p>
      <w:pPr>
        <w:pStyle w:val="222"/>
      </w:pPr>
      <w:r>
        <w:t>（2）施工机具尾气环境影响分析</w:t>
      </w:r>
    </w:p>
    <w:p>
      <w:pPr>
        <w:pStyle w:val="222"/>
      </w:pPr>
      <w:r>
        <w:t>施工机械尾气中污染物主要为NOx、CO、THC等。本项目建设期短，施工强度不大，施工机械数量小，施工过程所使用机械的尾气污染物排放量很小，施工机械尾气对项目区周围环境空气质量影响较小。</w:t>
      </w:r>
    </w:p>
    <w:p>
      <w:pPr>
        <w:pStyle w:val="222"/>
      </w:pPr>
      <w:r>
        <w:t>综上分析，项目施工过程中主要影响为扬尘，施工单位应在建设期间采取洒水降尘及车辆冲洗等措施，降低施工扬尘对周围环境的影响。</w:t>
      </w:r>
    </w:p>
    <w:p>
      <w:pPr>
        <w:pStyle w:val="5"/>
        <w:rPr>
          <w:color w:val="auto"/>
        </w:rPr>
      </w:pPr>
      <w:r>
        <w:rPr>
          <w:color w:val="auto"/>
        </w:rPr>
        <w:t>6.1.2地表水环境影响分析</w:t>
      </w:r>
    </w:p>
    <w:p>
      <w:pPr>
        <w:adjustRightInd/>
        <w:ind w:firstLine="480"/>
        <w:jc w:val="both"/>
        <w:rPr>
          <w:sz w:val="24"/>
          <w:szCs w:val="21"/>
        </w:rPr>
      </w:pPr>
      <w:r>
        <w:rPr>
          <w:sz w:val="24"/>
          <w:szCs w:val="21"/>
        </w:rPr>
        <w:t>本工程施工过程中主要的废水来自施工机械冲洗废水以及施工人员生活污水。</w:t>
      </w:r>
    </w:p>
    <w:p>
      <w:pPr>
        <w:ind w:firstLine="480"/>
        <w:jc w:val="both"/>
        <w:rPr>
          <w:sz w:val="24"/>
          <w:szCs w:val="21"/>
        </w:rPr>
      </w:pPr>
      <w:r>
        <w:rPr>
          <w:sz w:val="24"/>
          <w:szCs w:val="21"/>
        </w:rPr>
        <w:t>（1）施工机械冲洗废水环境影响分析</w:t>
      </w:r>
    </w:p>
    <w:p>
      <w:pPr>
        <w:ind w:firstLine="480"/>
        <w:jc w:val="both"/>
        <w:rPr>
          <w:sz w:val="24"/>
          <w:szCs w:val="21"/>
        </w:rPr>
      </w:pPr>
      <w:r>
        <w:rPr>
          <w:sz w:val="24"/>
          <w:szCs w:val="21"/>
        </w:rPr>
        <w:t>施工机械冲洗废水主要设备冲洗产生的废水，每天产生的废水4m</w:t>
      </w:r>
      <w:r>
        <w:rPr>
          <w:sz w:val="24"/>
          <w:szCs w:val="21"/>
          <w:vertAlign w:val="superscript"/>
        </w:rPr>
        <w:t>3</w:t>
      </w:r>
      <w:r>
        <w:rPr>
          <w:sz w:val="24"/>
          <w:szCs w:val="21"/>
        </w:rPr>
        <w:t>/d，其中SS浓度约800mg/L，石油类浓度12mg/L，产生量分别为3.2kg/d，0.048kg/d。设置沉淀池对施工废水集中处理循环利用，不外排。在采取上述措施后施工场地生产废水不会对水体产生明显影响。</w:t>
      </w:r>
    </w:p>
    <w:p>
      <w:pPr>
        <w:adjustRightInd/>
        <w:ind w:firstLine="480"/>
        <w:jc w:val="both"/>
        <w:rPr>
          <w:sz w:val="24"/>
          <w:szCs w:val="21"/>
        </w:rPr>
      </w:pPr>
      <w:r>
        <w:rPr>
          <w:sz w:val="24"/>
          <w:szCs w:val="21"/>
        </w:rPr>
        <w:t>（2）生活污水的影响分析</w:t>
      </w:r>
    </w:p>
    <w:p>
      <w:pPr>
        <w:adjustRightInd/>
        <w:spacing w:line="360" w:lineRule="auto"/>
        <w:ind w:firstLine="480"/>
        <w:jc w:val="both"/>
        <w:rPr>
          <w:bCs/>
          <w:sz w:val="24"/>
        </w:rPr>
      </w:pPr>
      <w:r>
        <w:rPr>
          <w:sz w:val="24"/>
          <w:szCs w:val="21"/>
        </w:rPr>
        <w:t>项目建设期废水主要为施工人员产生的少量生活污水，经化粪池收集处理后用</w:t>
      </w:r>
      <w:r>
        <w:rPr>
          <w:bCs/>
          <w:sz w:val="24"/>
        </w:rPr>
        <w:t>作农肥施用</w:t>
      </w:r>
      <w:r>
        <w:rPr>
          <w:sz w:val="24"/>
          <w:szCs w:val="21"/>
        </w:rPr>
        <w:t>，不外排。</w:t>
      </w:r>
      <w:r>
        <w:rPr>
          <w:bCs/>
          <w:sz w:val="24"/>
        </w:rPr>
        <w:t>项目所在地为农村区域，周边有大量的耕地，生活污水产生量小，能够消纳产生的污水。</w:t>
      </w:r>
    </w:p>
    <w:p>
      <w:pPr>
        <w:pStyle w:val="5"/>
        <w:rPr>
          <w:color w:val="auto"/>
        </w:rPr>
      </w:pPr>
      <w:r>
        <w:rPr>
          <w:color w:val="auto"/>
        </w:rPr>
        <w:t>6.1.3声环境影响分析</w:t>
      </w:r>
    </w:p>
    <w:p>
      <w:pPr>
        <w:pStyle w:val="222"/>
      </w:pPr>
      <w:r>
        <w:t>施工使用的主要设备有挖掘机、铲车、运输汽车等噪声设备，各施工机械噪声值约在80~90dB（A）之间。这些设备在施工时将对施工区附近的声环境造成一定影响。施工在白天进行，夜间不施工。</w:t>
      </w:r>
    </w:p>
    <w:p>
      <w:pPr>
        <w:pStyle w:val="222"/>
      </w:pPr>
      <w:r>
        <w:rPr>
          <w:bCs/>
        </w:rPr>
        <w:t>施工单位合理组织施工，禁止夜间施工，尽量降低道路施工对周边居民的影响，避免噪声扰民。建设期结束后，施工噪声将随之消失，</w:t>
      </w:r>
      <w:r>
        <w:t>施工时在满足施工要求的前提下尽量将高噪声设备放置在远离敏感点的方位，减少施工设备噪声对敏感点的影响。在采取上述措施后，本项目建设期对周边环境敏感点的影响可以接受。</w:t>
      </w:r>
    </w:p>
    <w:p>
      <w:pPr>
        <w:pStyle w:val="5"/>
        <w:jc w:val="both"/>
        <w:rPr>
          <w:color w:val="auto"/>
        </w:rPr>
      </w:pPr>
      <w:r>
        <w:rPr>
          <w:color w:val="auto"/>
        </w:rPr>
        <w:t>6.1.4固体废物影响分析</w:t>
      </w:r>
    </w:p>
    <w:p>
      <w:pPr>
        <w:pStyle w:val="222"/>
      </w:pPr>
      <w:r>
        <w:t>项目建设期固废主要为建筑垃圾和施工人员生活垃圾。</w:t>
      </w:r>
    </w:p>
    <w:p>
      <w:pPr>
        <w:pStyle w:val="222"/>
      </w:pPr>
      <w:r>
        <w:t>开采区建构筑物的建设，产生建筑垃圾可回收利用的建筑材料尽量回收利用，不能利用售卖给资源回收公司。生活垃圾采用垃圾桶收集后定期交由当地环卫部门处置，对环境影响较小。采取上述措施后，建设期固体废物对外环境影响很小。</w:t>
      </w:r>
    </w:p>
    <w:p>
      <w:pPr>
        <w:pStyle w:val="4"/>
        <w:spacing w:line="360" w:lineRule="auto"/>
      </w:pPr>
      <w:bookmarkStart w:id="192" w:name="_Toc161676117"/>
      <w:r>
        <w:t>6.2开采期环境影响预测与评价</w:t>
      </w:r>
      <w:bookmarkEnd w:id="192"/>
    </w:p>
    <w:p>
      <w:pPr>
        <w:pStyle w:val="5"/>
        <w:rPr>
          <w:color w:val="auto"/>
        </w:rPr>
      </w:pPr>
      <w:bookmarkStart w:id="193" w:name="_Hlk161609735"/>
      <w:r>
        <w:rPr>
          <w:color w:val="auto"/>
        </w:rPr>
        <w:t>6.2.1大气环境影响预测与评价</w:t>
      </w:r>
    </w:p>
    <w:p>
      <w:pPr>
        <w:pStyle w:val="6"/>
        <w:numPr>
          <w:ilvl w:val="3"/>
          <w:numId w:val="0"/>
        </w:numPr>
        <w:spacing w:line="360" w:lineRule="auto"/>
      </w:pPr>
      <w:r>
        <w:t>6.2.1.1气象条件</w:t>
      </w:r>
    </w:p>
    <w:p>
      <w:pPr>
        <w:pStyle w:val="222"/>
      </w:pPr>
      <w:r>
        <w:t>（1）地面气象观测数据</w:t>
      </w:r>
    </w:p>
    <w:p>
      <w:pPr>
        <w:pStyle w:val="222"/>
      </w:pPr>
      <w:r>
        <w:t>本次评价采用合川区气象站2022年的常规地面气象观测资料，主要包括风速、风向、总云量和干球温度等。基本内容见下表。</w:t>
      </w:r>
    </w:p>
    <w:p>
      <w:pPr>
        <w:pStyle w:val="22"/>
        <w:rPr>
          <w:rFonts w:ascii="Times New Roman" w:hAnsi="Times New Roman" w:eastAsia="宋体"/>
        </w:rPr>
      </w:pPr>
      <w:r>
        <w:rPr>
          <w:rFonts w:ascii="Times New Roman" w:hAnsi="Times New Roman" w:eastAsia="宋体"/>
        </w:rPr>
        <w:t>表6.2-1   地面观测气象数据参数</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5"/>
        <w:gridCol w:w="1030"/>
        <w:gridCol w:w="1031"/>
        <w:gridCol w:w="951"/>
        <w:gridCol w:w="1031"/>
        <w:gridCol w:w="883"/>
        <w:gridCol w:w="883"/>
        <w:gridCol w:w="751"/>
        <w:gridCol w:w="1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539" w:type="pct"/>
            <w:vMerge w:val="restart"/>
            <w:shd w:val="clear" w:color="auto" w:fill="D8D8D8" w:themeFill="background1" w:themeFillShade="D9"/>
            <w:vAlign w:val="center"/>
          </w:tcPr>
          <w:p>
            <w:pPr>
              <w:pStyle w:val="3238"/>
              <w:rPr>
                <w:lang w:eastAsia="en-US"/>
              </w:rPr>
            </w:pPr>
            <w:r>
              <w:rPr>
                <w:lang w:eastAsia="en-US"/>
              </w:rPr>
              <w:t>气象站名称</w:t>
            </w:r>
          </w:p>
        </w:tc>
        <w:tc>
          <w:tcPr>
            <w:tcW w:w="558" w:type="pct"/>
            <w:vMerge w:val="restart"/>
            <w:shd w:val="clear" w:color="auto" w:fill="D8D8D8" w:themeFill="background1" w:themeFillShade="D9"/>
            <w:vAlign w:val="center"/>
          </w:tcPr>
          <w:p>
            <w:pPr>
              <w:pStyle w:val="3238"/>
              <w:rPr>
                <w:lang w:eastAsia="en-US"/>
              </w:rPr>
            </w:pPr>
            <w:r>
              <w:rPr>
                <w:lang w:eastAsia="en-US"/>
              </w:rPr>
              <w:t>气象站编号</w:t>
            </w:r>
          </w:p>
        </w:tc>
        <w:tc>
          <w:tcPr>
            <w:tcW w:w="558" w:type="pct"/>
            <w:vMerge w:val="restart"/>
            <w:shd w:val="clear" w:color="auto" w:fill="D8D8D8" w:themeFill="background1" w:themeFillShade="D9"/>
            <w:vAlign w:val="center"/>
          </w:tcPr>
          <w:p>
            <w:pPr>
              <w:pStyle w:val="3238"/>
              <w:rPr>
                <w:lang w:eastAsia="en-US"/>
              </w:rPr>
            </w:pPr>
            <w:r>
              <w:rPr>
                <w:lang w:eastAsia="en-US"/>
              </w:rPr>
              <w:t>气象站等级</w:t>
            </w:r>
          </w:p>
        </w:tc>
        <w:tc>
          <w:tcPr>
            <w:tcW w:w="1054" w:type="pct"/>
            <w:gridSpan w:val="2"/>
            <w:shd w:val="clear" w:color="auto" w:fill="D8D8D8" w:themeFill="background1" w:themeFillShade="D9"/>
            <w:vAlign w:val="center"/>
          </w:tcPr>
          <w:p>
            <w:pPr>
              <w:pStyle w:val="3238"/>
              <w:rPr>
                <w:lang w:eastAsia="en-US"/>
              </w:rPr>
            </w:pPr>
            <w:r>
              <w:rPr>
                <w:lang w:eastAsia="en-US"/>
              </w:rPr>
              <w:t>气象站坐标</w:t>
            </w:r>
          </w:p>
        </w:tc>
        <w:tc>
          <w:tcPr>
            <w:tcW w:w="478" w:type="pct"/>
            <w:vMerge w:val="restart"/>
            <w:shd w:val="clear" w:color="auto" w:fill="D8D8D8" w:themeFill="background1" w:themeFillShade="D9"/>
            <w:vAlign w:val="center"/>
          </w:tcPr>
          <w:p>
            <w:pPr>
              <w:pStyle w:val="3238"/>
              <w:rPr>
                <w:lang w:eastAsia="en-US"/>
              </w:rPr>
            </w:pPr>
            <w:r>
              <w:rPr>
                <w:lang w:eastAsia="en-US"/>
              </w:rPr>
              <w:t>相对距离/</w:t>
            </w:r>
            <w:r>
              <w:t>k</w:t>
            </w:r>
            <w:r>
              <w:rPr>
                <w:lang w:eastAsia="en-US"/>
              </w:rPr>
              <w:t>m</w:t>
            </w:r>
          </w:p>
        </w:tc>
        <w:tc>
          <w:tcPr>
            <w:tcW w:w="478" w:type="pct"/>
            <w:vMerge w:val="restart"/>
            <w:shd w:val="clear" w:color="auto" w:fill="D8D8D8" w:themeFill="background1" w:themeFillShade="D9"/>
            <w:vAlign w:val="center"/>
          </w:tcPr>
          <w:p>
            <w:pPr>
              <w:pStyle w:val="3238"/>
              <w:rPr>
                <w:lang w:eastAsia="en-US"/>
              </w:rPr>
            </w:pPr>
            <w:r>
              <w:rPr>
                <w:lang w:eastAsia="en-US"/>
              </w:rPr>
              <w:t>海拔高度/m</w:t>
            </w:r>
          </w:p>
        </w:tc>
        <w:tc>
          <w:tcPr>
            <w:tcW w:w="400" w:type="pct"/>
            <w:vMerge w:val="restart"/>
            <w:shd w:val="clear" w:color="auto" w:fill="D8D8D8" w:themeFill="background1" w:themeFillShade="D9"/>
            <w:vAlign w:val="center"/>
          </w:tcPr>
          <w:p>
            <w:pPr>
              <w:pStyle w:val="3238"/>
              <w:rPr>
                <w:lang w:eastAsia="en-US"/>
              </w:rPr>
            </w:pPr>
            <w:r>
              <w:rPr>
                <w:lang w:eastAsia="en-US"/>
              </w:rPr>
              <w:t>数据年份</w:t>
            </w:r>
          </w:p>
        </w:tc>
        <w:tc>
          <w:tcPr>
            <w:tcW w:w="935" w:type="pct"/>
            <w:vMerge w:val="restart"/>
            <w:shd w:val="clear" w:color="auto" w:fill="D8D8D8" w:themeFill="background1" w:themeFillShade="D9"/>
            <w:vAlign w:val="center"/>
          </w:tcPr>
          <w:p>
            <w:pPr>
              <w:pStyle w:val="3238"/>
              <w:rPr>
                <w:lang w:eastAsia="en-US"/>
              </w:rPr>
            </w:pPr>
            <w:r>
              <w:rPr>
                <w:lang w:eastAsia="en-US"/>
              </w:rPr>
              <w:t>气象要素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539" w:type="pct"/>
            <w:vMerge w:val="continue"/>
            <w:vAlign w:val="center"/>
          </w:tcPr>
          <w:p>
            <w:pPr>
              <w:pStyle w:val="3238"/>
              <w:rPr>
                <w:lang w:eastAsia="en-US"/>
              </w:rPr>
            </w:pPr>
          </w:p>
        </w:tc>
        <w:tc>
          <w:tcPr>
            <w:tcW w:w="558" w:type="pct"/>
            <w:vMerge w:val="continue"/>
            <w:vAlign w:val="center"/>
          </w:tcPr>
          <w:p>
            <w:pPr>
              <w:pStyle w:val="3238"/>
              <w:rPr>
                <w:lang w:eastAsia="en-US"/>
              </w:rPr>
            </w:pPr>
          </w:p>
        </w:tc>
        <w:tc>
          <w:tcPr>
            <w:tcW w:w="558" w:type="pct"/>
            <w:vMerge w:val="continue"/>
            <w:vAlign w:val="center"/>
          </w:tcPr>
          <w:p>
            <w:pPr>
              <w:pStyle w:val="3238"/>
              <w:rPr>
                <w:lang w:eastAsia="en-US"/>
              </w:rPr>
            </w:pPr>
          </w:p>
        </w:tc>
        <w:tc>
          <w:tcPr>
            <w:tcW w:w="922" w:type="dxa"/>
            <w:shd w:val="clear" w:color="auto" w:fill="D8D8D8" w:themeFill="background1" w:themeFillShade="D9"/>
            <w:vAlign w:val="center"/>
          </w:tcPr>
          <w:p>
            <w:pPr>
              <w:spacing w:line="240" w:lineRule="auto"/>
              <w:ind w:firstLine="0" w:firstLineChars="0"/>
              <w:jc w:val="center"/>
              <w:textAlignment w:val="baseline"/>
              <w:rPr>
                <w:b/>
                <w:sz w:val="21"/>
                <w:lang w:eastAsia="en-US"/>
              </w:rPr>
            </w:pPr>
            <w:r>
              <w:rPr>
                <w:rStyle w:val="2093"/>
                <w:b/>
              </w:rPr>
              <w:t>东经</w:t>
            </w:r>
          </w:p>
        </w:tc>
        <w:tc>
          <w:tcPr>
            <w:tcW w:w="1036" w:type="dxa"/>
            <w:shd w:val="clear" w:color="auto" w:fill="D8D8D8" w:themeFill="background1" w:themeFillShade="D9"/>
            <w:vAlign w:val="center"/>
          </w:tcPr>
          <w:p>
            <w:pPr>
              <w:spacing w:line="240" w:lineRule="auto"/>
              <w:ind w:firstLine="0" w:firstLineChars="0"/>
              <w:jc w:val="center"/>
              <w:textAlignment w:val="baseline"/>
              <w:rPr>
                <w:b/>
                <w:sz w:val="21"/>
                <w:lang w:eastAsia="en-US"/>
              </w:rPr>
            </w:pPr>
            <w:r>
              <w:rPr>
                <w:rStyle w:val="2093"/>
                <w:b/>
              </w:rPr>
              <w:t>北纬</w:t>
            </w:r>
          </w:p>
        </w:tc>
        <w:tc>
          <w:tcPr>
            <w:tcW w:w="478" w:type="pct"/>
            <w:vMerge w:val="continue"/>
            <w:vAlign w:val="center"/>
          </w:tcPr>
          <w:p>
            <w:pPr>
              <w:pStyle w:val="3238"/>
              <w:rPr>
                <w:lang w:eastAsia="en-US"/>
              </w:rPr>
            </w:pPr>
          </w:p>
        </w:tc>
        <w:tc>
          <w:tcPr>
            <w:tcW w:w="478" w:type="pct"/>
            <w:vMerge w:val="continue"/>
            <w:vAlign w:val="center"/>
          </w:tcPr>
          <w:p>
            <w:pPr>
              <w:pStyle w:val="3238"/>
              <w:rPr>
                <w:lang w:eastAsia="en-US"/>
              </w:rPr>
            </w:pPr>
          </w:p>
        </w:tc>
        <w:tc>
          <w:tcPr>
            <w:tcW w:w="400" w:type="pct"/>
            <w:vMerge w:val="continue"/>
            <w:vAlign w:val="center"/>
          </w:tcPr>
          <w:p>
            <w:pPr>
              <w:pStyle w:val="3238"/>
              <w:rPr>
                <w:lang w:eastAsia="en-US"/>
              </w:rPr>
            </w:pPr>
          </w:p>
        </w:tc>
        <w:tc>
          <w:tcPr>
            <w:tcW w:w="935" w:type="pct"/>
            <w:vMerge w:val="continue"/>
            <w:vAlign w:val="center"/>
          </w:tcPr>
          <w:p>
            <w:pPr>
              <w:pStyle w:val="3238"/>
              <w:rPr>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pct"/>
            <w:vAlign w:val="center"/>
          </w:tcPr>
          <w:p>
            <w:pPr>
              <w:pStyle w:val="3238"/>
              <w:rPr>
                <w:b/>
              </w:rPr>
            </w:pPr>
            <w:r>
              <w:t>合川气象站</w:t>
            </w:r>
          </w:p>
        </w:tc>
        <w:tc>
          <w:tcPr>
            <w:tcW w:w="558" w:type="pct"/>
            <w:vAlign w:val="center"/>
          </w:tcPr>
          <w:p>
            <w:pPr>
              <w:pStyle w:val="3238"/>
              <w:rPr>
                <w:b/>
                <w:lang w:eastAsia="en-US"/>
              </w:rPr>
            </w:pPr>
            <w:r>
              <w:t>57512</w:t>
            </w:r>
          </w:p>
        </w:tc>
        <w:tc>
          <w:tcPr>
            <w:tcW w:w="558" w:type="pct"/>
            <w:vAlign w:val="center"/>
          </w:tcPr>
          <w:p>
            <w:pPr>
              <w:pStyle w:val="3238"/>
              <w:rPr>
                <w:b/>
                <w:lang w:eastAsia="en-US"/>
              </w:rPr>
            </w:pPr>
            <w:r>
              <w:t>基本</w:t>
            </w:r>
            <w:r>
              <w:rPr>
                <w:lang w:eastAsia="en-US"/>
              </w:rPr>
              <w:t>站</w:t>
            </w:r>
          </w:p>
        </w:tc>
        <w:tc>
          <w:tcPr>
            <w:tcW w:w="496" w:type="pct"/>
            <w:vAlign w:val="center"/>
          </w:tcPr>
          <w:p>
            <w:pPr>
              <w:pStyle w:val="3238"/>
              <w:rPr>
                <w:b/>
                <w:lang w:eastAsia="en-US"/>
              </w:rPr>
            </w:pPr>
            <w:r>
              <w:rPr>
                <w:lang w:eastAsia="en-US"/>
              </w:rPr>
              <w:t>106.27</w:t>
            </w:r>
          </w:p>
        </w:tc>
        <w:tc>
          <w:tcPr>
            <w:tcW w:w="558" w:type="pct"/>
            <w:vAlign w:val="center"/>
          </w:tcPr>
          <w:p>
            <w:pPr>
              <w:pStyle w:val="3238"/>
              <w:rPr>
                <w:b/>
                <w:lang w:eastAsia="en-US"/>
              </w:rPr>
            </w:pPr>
            <w:r>
              <w:rPr>
                <w:lang w:eastAsia="en-US"/>
              </w:rPr>
              <w:t>29.97</w:t>
            </w:r>
          </w:p>
        </w:tc>
        <w:tc>
          <w:tcPr>
            <w:tcW w:w="478" w:type="pct"/>
            <w:vAlign w:val="center"/>
          </w:tcPr>
          <w:p>
            <w:pPr>
              <w:pStyle w:val="3238"/>
              <w:rPr>
                <w:b/>
                <w:lang w:eastAsia="en-US"/>
              </w:rPr>
            </w:pPr>
            <w:r>
              <w:t>8.0</w:t>
            </w:r>
          </w:p>
        </w:tc>
        <w:tc>
          <w:tcPr>
            <w:tcW w:w="478" w:type="pct"/>
            <w:vAlign w:val="center"/>
          </w:tcPr>
          <w:p>
            <w:pPr>
              <w:pStyle w:val="3238"/>
              <w:rPr>
                <w:b/>
                <w:lang w:eastAsia="en-US"/>
              </w:rPr>
            </w:pPr>
            <w:r>
              <w:t>365</w:t>
            </w:r>
          </w:p>
        </w:tc>
        <w:tc>
          <w:tcPr>
            <w:tcW w:w="400" w:type="pct"/>
            <w:vAlign w:val="center"/>
          </w:tcPr>
          <w:p>
            <w:pPr>
              <w:pStyle w:val="3238"/>
              <w:rPr>
                <w:b/>
                <w:lang w:eastAsia="en-US"/>
              </w:rPr>
            </w:pPr>
            <w:r>
              <w:rPr>
                <w:lang w:eastAsia="en-US"/>
              </w:rPr>
              <w:t>2022</w:t>
            </w:r>
          </w:p>
        </w:tc>
        <w:tc>
          <w:tcPr>
            <w:tcW w:w="935" w:type="pct"/>
            <w:vAlign w:val="center"/>
          </w:tcPr>
          <w:p>
            <w:pPr>
              <w:pStyle w:val="3238"/>
              <w:rPr>
                <w:b/>
                <w:szCs w:val="22"/>
              </w:rPr>
            </w:pPr>
            <w:r>
              <w:rPr>
                <w:rStyle w:val="2093"/>
              </w:rPr>
              <w:t>风速、风向、总云量、低云量和干球温度</w:t>
            </w:r>
          </w:p>
        </w:tc>
      </w:tr>
    </w:tbl>
    <w:p>
      <w:pPr>
        <w:pStyle w:val="222"/>
      </w:pPr>
      <w:r>
        <w:t>（2）高空模拟气象数据</w:t>
      </w:r>
    </w:p>
    <w:p>
      <w:pPr>
        <w:pStyle w:val="222"/>
        <w:rPr>
          <w:bCs/>
        </w:rPr>
      </w:pPr>
      <w:r>
        <w:t>高空气象数据来自国家气象中心基于国际上前沿的模式与同化方案（GFS/GSI），建成全球大气再分析系统（CRAS），通过多层次循环同化试验模拟，气象要素包括气压、离地高度、干球温度、露点温度、风向和风速。</w:t>
      </w:r>
    </w:p>
    <w:p>
      <w:pPr>
        <w:pStyle w:val="22"/>
        <w:rPr>
          <w:rFonts w:ascii="Times New Roman" w:hAnsi="Times New Roman" w:eastAsia="宋体"/>
        </w:rPr>
      </w:pPr>
      <w:r>
        <w:rPr>
          <w:rFonts w:ascii="Times New Roman" w:hAnsi="Times New Roman" w:eastAsia="宋体"/>
        </w:rPr>
        <w:t>表6.2.-2  模拟高空气象数据信息</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951"/>
        <w:gridCol w:w="899"/>
        <w:gridCol w:w="1495"/>
        <w:gridCol w:w="1355"/>
        <w:gridCol w:w="1160"/>
        <w:gridCol w:w="331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45" w:hRule="atLeast"/>
          <w:jc w:val="center"/>
        </w:trPr>
        <w:tc>
          <w:tcPr>
            <w:tcW w:w="0" w:type="auto"/>
            <w:gridSpan w:val="2"/>
            <w:shd w:val="clear" w:color="auto" w:fill="D9D9D9"/>
            <w:vAlign w:val="center"/>
          </w:tcPr>
          <w:p>
            <w:pPr>
              <w:spacing w:line="240" w:lineRule="auto"/>
              <w:ind w:firstLine="0" w:firstLineChars="0"/>
              <w:jc w:val="center"/>
              <w:rPr>
                <w:rStyle w:val="2093"/>
                <w:b/>
              </w:rPr>
            </w:pPr>
            <w:r>
              <w:rPr>
                <w:rStyle w:val="2093"/>
                <w:b/>
              </w:rPr>
              <w:t>模拟点坐标</w:t>
            </w:r>
          </w:p>
        </w:tc>
        <w:tc>
          <w:tcPr>
            <w:tcW w:w="0" w:type="auto"/>
            <w:vMerge w:val="restart"/>
            <w:shd w:val="clear" w:color="auto" w:fill="D9D9D9"/>
            <w:vAlign w:val="center"/>
          </w:tcPr>
          <w:p>
            <w:pPr>
              <w:spacing w:line="240" w:lineRule="auto"/>
              <w:ind w:firstLine="0" w:firstLineChars="0"/>
              <w:jc w:val="center"/>
              <w:rPr>
                <w:rStyle w:val="2093"/>
                <w:b/>
              </w:rPr>
            </w:pPr>
            <w:r>
              <w:rPr>
                <w:rStyle w:val="2093"/>
                <w:b/>
              </w:rPr>
              <w:t>相对距离/km</w:t>
            </w:r>
          </w:p>
        </w:tc>
        <w:tc>
          <w:tcPr>
            <w:tcW w:w="0" w:type="auto"/>
            <w:vMerge w:val="restart"/>
            <w:shd w:val="clear" w:color="auto" w:fill="D9D9D9"/>
            <w:vAlign w:val="center"/>
          </w:tcPr>
          <w:p>
            <w:pPr>
              <w:spacing w:line="240" w:lineRule="auto"/>
              <w:ind w:firstLine="0" w:firstLineChars="0"/>
              <w:jc w:val="center"/>
              <w:rPr>
                <w:rStyle w:val="2093"/>
                <w:b/>
              </w:rPr>
            </w:pPr>
            <w:r>
              <w:rPr>
                <w:rStyle w:val="2093"/>
                <w:b/>
              </w:rPr>
              <w:t>海拔高度/m</w:t>
            </w:r>
          </w:p>
        </w:tc>
        <w:tc>
          <w:tcPr>
            <w:tcW w:w="1160" w:type="dxa"/>
            <w:vMerge w:val="restart"/>
            <w:tcBorders>
              <w:right w:val="single" w:color="auto" w:sz="4" w:space="0"/>
            </w:tcBorders>
            <w:shd w:val="clear" w:color="auto" w:fill="D9D9D9"/>
            <w:vAlign w:val="center"/>
          </w:tcPr>
          <w:p>
            <w:pPr>
              <w:spacing w:line="240" w:lineRule="auto"/>
              <w:ind w:firstLine="0" w:firstLineChars="0"/>
              <w:jc w:val="center"/>
              <w:rPr>
                <w:rStyle w:val="2093"/>
                <w:b/>
              </w:rPr>
            </w:pPr>
            <w:r>
              <w:rPr>
                <w:rStyle w:val="2093"/>
                <w:b/>
              </w:rPr>
              <w:t>数据年份</w:t>
            </w:r>
          </w:p>
        </w:tc>
        <w:tc>
          <w:tcPr>
            <w:tcW w:w="3311" w:type="dxa"/>
            <w:vMerge w:val="restart"/>
            <w:tcBorders>
              <w:left w:val="single" w:color="auto" w:sz="4" w:space="0"/>
            </w:tcBorders>
            <w:shd w:val="clear" w:color="auto" w:fill="D9D9D9"/>
            <w:vAlign w:val="center"/>
          </w:tcPr>
          <w:p>
            <w:pPr>
              <w:spacing w:line="240" w:lineRule="auto"/>
              <w:ind w:firstLine="0" w:firstLineChars="0"/>
              <w:jc w:val="center"/>
              <w:rPr>
                <w:rStyle w:val="2093"/>
                <w:b/>
              </w:rPr>
            </w:pPr>
            <w:r>
              <w:rPr>
                <w:rStyle w:val="2093"/>
                <w:b/>
              </w:rPr>
              <w:t>气象要素</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44" w:hRule="atLeast"/>
          <w:jc w:val="center"/>
        </w:trPr>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东经</w:t>
            </w:r>
          </w:p>
        </w:tc>
        <w:tc>
          <w:tcPr>
            <w:tcW w:w="0" w:type="auto"/>
            <w:shd w:val="clear" w:color="auto" w:fill="D9D9D9"/>
            <w:vAlign w:val="center"/>
          </w:tcPr>
          <w:p>
            <w:pPr>
              <w:spacing w:line="240" w:lineRule="auto"/>
              <w:ind w:firstLine="0" w:firstLineChars="0"/>
              <w:jc w:val="center"/>
              <w:textAlignment w:val="baseline"/>
              <w:rPr>
                <w:rStyle w:val="2093"/>
                <w:b/>
              </w:rPr>
            </w:pPr>
            <w:r>
              <w:rPr>
                <w:rStyle w:val="2093"/>
                <w:b/>
              </w:rPr>
              <w:t>北纬</w:t>
            </w:r>
          </w:p>
        </w:tc>
        <w:tc>
          <w:tcPr>
            <w:tcW w:w="0" w:type="auto"/>
            <w:vMerge w:val="continue"/>
            <w:vAlign w:val="center"/>
          </w:tcPr>
          <w:p>
            <w:pPr>
              <w:spacing w:line="240" w:lineRule="auto"/>
              <w:ind w:firstLine="0" w:firstLineChars="0"/>
              <w:rPr>
                <w:rStyle w:val="2093"/>
                <w:b/>
              </w:rPr>
            </w:pPr>
          </w:p>
        </w:tc>
        <w:tc>
          <w:tcPr>
            <w:tcW w:w="0" w:type="auto"/>
            <w:vMerge w:val="continue"/>
            <w:vAlign w:val="center"/>
          </w:tcPr>
          <w:p>
            <w:pPr>
              <w:spacing w:line="240" w:lineRule="auto"/>
              <w:ind w:firstLine="0" w:firstLineChars="0"/>
              <w:rPr>
                <w:rStyle w:val="2093"/>
                <w:b/>
              </w:rPr>
            </w:pPr>
          </w:p>
        </w:tc>
        <w:tc>
          <w:tcPr>
            <w:tcW w:w="1160" w:type="dxa"/>
            <w:vMerge w:val="continue"/>
            <w:tcBorders>
              <w:right w:val="single" w:color="auto" w:sz="4" w:space="0"/>
            </w:tcBorders>
            <w:vAlign w:val="center"/>
          </w:tcPr>
          <w:p>
            <w:pPr>
              <w:spacing w:line="240" w:lineRule="auto"/>
              <w:ind w:firstLine="0" w:firstLineChars="0"/>
              <w:rPr>
                <w:rStyle w:val="2093"/>
                <w:b/>
              </w:rPr>
            </w:pPr>
          </w:p>
        </w:tc>
        <w:tc>
          <w:tcPr>
            <w:tcW w:w="3311" w:type="dxa"/>
            <w:vMerge w:val="continue"/>
            <w:tcBorders>
              <w:left w:val="single" w:color="auto" w:sz="4" w:space="0"/>
            </w:tcBorders>
            <w:shd w:val="clear" w:color="auto" w:fill="D9D9D9"/>
            <w:vAlign w:val="center"/>
          </w:tcPr>
          <w:p>
            <w:pPr>
              <w:spacing w:line="240" w:lineRule="auto"/>
              <w:ind w:firstLine="0" w:firstLineChars="0"/>
              <w:rPr>
                <w:rStyle w:val="2093"/>
                <w:b/>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16" w:type="dxa"/>
            <w:vAlign w:val="center"/>
          </w:tcPr>
          <w:p>
            <w:pPr>
              <w:pStyle w:val="3238"/>
            </w:pPr>
            <w:r>
              <w:rPr>
                <w:lang w:eastAsia="en-US"/>
              </w:rPr>
              <w:t>106.27</w:t>
            </w:r>
          </w:p>
        </w:tc>
        <w:tc>
          <w:tcPr>
            <w:tcW w:w="899" w:type="dxa"/>
            <w:vAlign w:val="center"/>
          </w:tcPr>
          <w:p>
            <w:pPr>
              <w:pStyle w:val="3238"/>
              <w:rPr>
                <w:rStyle w:val="2093"/>
              </w:rPr>
            </w:pPr>
            <w:r>
              <w:rPr>
                <w:lang w:eastAsia="en-US"/>
              </w:rPr>
              <w:t>29.97</w:t>
            </w:r>
          </w:p>
        </w:tc>
        <w:tc>
          <w:tcPr>
            <w:tcW w:w="0" w:type="auto"/>
            <w:vAlign w:val="center"/>
          </w:tcPr>
          <w:p>
            <w:pPr>
              <w:spacing w:line="240" w:lineRule="auto"/>
              <w:ind w:firstLine="0" w:firstLineChars="0"/>
              <w:jc w:val="center"/>
              <w:rPr>
                <w:rStyle w:val="2093"/>
              </w:rPr>
            </w:pPr>
            <w:r>
              <w:rPr>
                <w:rStyle w:val="2093"/>
              </w:rPr>
              <w:t>8.0</w:t>
            </w:r>
          </w:p>
        </w:tc>
        <w:tc>
          <w:tcPr>
            <w:tcW w:w="0" w:type="auto"/>
            <w:vAlign w:val="center"/>
          </w:tcPr>
          <w:p>
            <w:pPr>
              <w:spacing w:line="240" w:lineRule="auto"/>
              <w:ind w:firstLine="0" w:firstLineChars="0"/>
              <w:jc w:val="center"/>
              <w:rPr>
                <w:rStyle w:val="2093"/>
              </w:rPr>
            </w:pPr>
            <w:r>
              <w:rPr>
                <w:rStyle w:val="2093"/>
              </w:rPr>
              <w:t>365</w:t>
            </w:r>
          </w:p>
        </w:tc>
        <w:tc>
          <w:tcPr>
            <w:tcW w:w="1160" w:type="dxa"/>
            <w:tcBorders>
              <w:right w:val="single" w:color="auto" w:sz="4" w:space="0"/>
            </w:tcBorders>
            <w:vAlign w:val="center"/>
          </w:tcPr>
          <w:p>
            <w:pPr>
              <w:spacing w:line="240" w:lineRule="auto"/>
              <w:ind w:firstLine="0" w:firstLineChars="0"/>
              <w:jc w:val="center"/>
              <w:rPr>
                <w:rStyle w:val="2093"/>
              </w:rPr>
            </w:pPr>
            <w:r>
              <w:rPr>
                <w:rStyle w:val="2093"/>
              </w:rPr>
              <w:t>2022</w:t>
            </w:r>
          </w:p>
        </w:tc>
        <w:tc>
          <w:tcPr>
            <w:tcW w:w="3311" w:type="dxa"/>
            <w:tcBorders>
              <w:left w:val="single" w:color="auto" w:sz="4" w:space="0"/>
            </w:tcBorders>
            <w:vAlign w:val="center"/>
          </w:tcPr>
          <w:p>
            <w:pPr>
              <w:spacing w:line="240" w:lineRule="auto"/>
              <w:ind w:firstLine="0" w:firstLineChars="0"/>
              <w:jc w:val="center"/>
              <w:rPr>
                <w:rStyle w:val="2093"/>
              </w:rPr>
            </w:pPr>
            <w:r>
              <w:rPr>
                <w:rStyle w:val="2093"/>
              </w:rPr>
              <w:t>气压、离地高度、干球温度、露点温度、风向和风速</w:t>
            </w:r>
          </w:p>
        </w:tc>
      </w:tr>
    </w:tbl>
    <w:p>
      <w:pPr>
        <w:spacing w:line="360" w:lineRule="auto"/>
        <w:ind w:firstLine="480"/>
        <w:jc w:val="both"/>
        <w:rPr>
          <w:sz w:val="24"/>
          <w:szCs w:val="24"/>
        </w:rPr>
      </w:pPr>
      <w:r>
        <w:rPr>
          <w:bCs/>
          <w:sz w:val="24"/>
          <w:szCs w:val="24"/>
        </w:rPr>
        <w:t>（3）评价区近20年气候特征</w:t>
      </w:r>
    </w:p>
    <w:p>
      <w:pPr>
        <w:spacing w:line="360" w:lineRule="auto"/>
        <w:ind w:firstLine="480"/>
        <w:jc w:val="both"/>
        <w:rPr>
          <w:sz w:val="24"/>
          <w:szCs w:val="24"/>
        </w:rPr>
      </w:pPr>
      <w:r>
        <w:rPr>
          <w:sz w:val="24"/>
          <w:szCs w:val="24"/>
        </w:rPr>
        <w:t>根据合川区气象站2003~2022年气象统计数据，合川区近20年气象特征统计数据见表6.2-2。2003年至2022年共20年风频统计见表6.2-3。</w:t>
      </w:r>
    </w:p>
    <w:p>
      <w:pPr>
        <w:pStyle w:val="84"/>
      </w:pPr>
      <w:r>
        <w:t>表6.2-3  常规气象统计数据（2003~2022）</w:t>
      </w:r>
    </w:p>
    <w:tbl>
      <w:tblPr>
        <w:tblStyle w:val="88"/>
        <w:tblW w:w="8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67"/>
        <w:gridCol w:w="1728"/>
        <w:gridCol w:w="1976"/>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3864"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统计项目</w:t>
            </w:r>
          </w:p>
        </w:tc>
        <w:tc>
          <w:tcPr>
            <w:tcW w:w="1728"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统计值</w:t>
            </w:r>
          </w:p>
        </w:tc>
        <w:tc>
          <w:tcPr>
            <w:tcW w:w="1976"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极值出现时间</w:t>
            </w:r>
          </w:p>
        </w:tc>
        <w:tc>
          <w:tcPr>
            <w:tcW w:w="1208" w:type="dxa"/>
            <w:shd w:val="clear" w:color="auto" w:fill="D8D8D8" w:themeFill="background1" w:themeFillShade="D9"/>
            <w:noWrap/>
            <w:tcMar>
              <w:top w:w="15" w:type="dxa"/>
              <w:left w:w="15" w:type="dxa"/>
              <w:right w:w="15" w:type="dxa"/>
            </w:tcMar>
            <w:vAlign w:val="center"/>
          </w:tcPr>
          <w:p>
            <w:pPr>
              <w:spacing w:before="10" w:line="240" w:lineRule="atLeast"/>
              <w:ind w:firstLine="0" w:firstLineChars="0"/>
              <w:jc w:val="center"/>
              <w:rPr>
                <w:b/>
                <w:bCs/>
                <w:sz w:val="21"/>
                <w:szCs w:val="21"/>
                <w:lang w:eastAsia="en-US"/>
              </w:rPr>
            </w:pPr>
            <w:r>
              <w:rPr>
                <w:b/>
                <w:bCs/>
                <w:sz w:val="21"/>
                <w:szCs w:val="21"/>
              </w:rPr>
              <w:t>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多年平均气温（℃）</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18.21</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累年极端最高温度（℃）</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40.03</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20220817</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累年极端最低温度（℃）</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0.47</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20050102</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多年平均气压（hPa）</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980.48</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多年平均水汽压（hPa）</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18.03</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多年平均相对湿度（%）</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81.7</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多年平均降雨量（mm）</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1160.14</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210.1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多年实测极大风速（m/s）/相应风向</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16.55</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20180405</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多年平均风速（m/s）</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1.3</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多年主导风向/风向频率</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lang w:eastAsia="en-US"/>
              </w:rPr>
            </w:pPr>
            <w:r>
              <w:rPr>
                <w:sz w:val="21"/>
                <w:szCs w:val="21"/>
              </w:rPr>
              <w:t>NNE/11.08</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多年平均静风频率（C&lt;=0.2m/s）（%）</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17.18</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c>
          <w:tcPr>
            <w:tcW w:w="0" w:type="auto"/>
            <w:noWrap/>
            <w:tcMar>
              <w:top w:w="15" w:type="dxa"/>
              <w:left w:w="15" w:type="dxa"/>
              <w:right w:w="15" w:type="dxa"/>
            </w:tcMar>
            <w:vAlign w:val="center"/>
          </w:tcPr>
          <w:p>
            <w:pPr>
              <w:spacing w:before="10" w:line="240" w:lineRule="atLeast"/>
              <w:ind w:firstLine="0" w:firstLineChars="0"/>
              <w:jc w:val="center"/>
              <w:rPr>
                <w:sz w:val="21"/>
                <w:szCs w:val="21"/>
              </w:rPr>
            </w:pPr>
            <w:r>
              <w:rPr>
                <w:sz w:val="21"/>
                <w:szCs w:val="21"/>
              </w:rPr>
              <w:t>/</w:t>
            </w:r>
          </w:p>
        </w:tc>
      </w:tr>
    </w:tbl>
    <w:p>
      <w:pPr>
        <w:numPr>
          <w:ilvl w:val="0"/>
          <w:numId w:val="24"/>
        </w:numPr>
        <w:spacing w:line="460" w:lineRule="atLeast"/>
        <w:ind w:firstLine="480"/>
        <w:jc w:val="both"/>
        <w:rPr>
          <w:sz w:val="24"/>
          <w:szCs w:val="24"/>
        </w:rPr>
      </w:pPr>
      <w:r>
        <w:rPr>
          <w:sz w:val="24"/>
          <w:szCs w:val="24"/>
        </w:rPr>
        <w:t>预测气象要素分析</w:t>
      </w:r>
    </w:p>
    <w:p>
      <w:pPr>
        <w:spacing w:line="460" w:lineRule="exact"/>
        <w:ind w:firstLine="480"/>
        <w:textAlignment w:val="baseline"/>
        <w:rPr>
          <w:sz w:val="24"/>
          <w:szCs w:val="24"/>
        </w:rPr>
      </w:pPr>
      <w:r>
        <w:rPr>
          <w:sz w:val="24"/>
          <w:szCs w:val="24"/>
        </w:rPr>
        <w:t xml:space="preserve">  </w:t>
      </w:r>
      <w:r>
        <w:rPr>
          <w:rFonts w:hint="eastAsia" w:ascii="宋体" w:hAnsi="宋体" w:cs="宋体"/>
          <w:sz w:val="24"/>
          <w:szCs w:val="24"/>
        </w:rPr>
        <w:t>①</w:t>
      </w:r>
      <w:r>
        <w:rPr>
          <w:sz w:val="24"/>
          <w:szCs w:val="24"/>
        </w:rPr>
        <w:t>风向、风频</w:t>
      </w:r>
    </w:p>
    <w:p>
      <w:pPr>
        <w:spacing w:line="460" w:lineRule="atLeast"/>
        <w:ind w:firstLine="480"/>
        <w:jc w:val="both"/>
        <w:rPr>
          <w:sz w:val="24"/>
          <w:szCs w:val="24"/>
        </w:rPr>
      </w:pPr>
      <w:r>
        <w:rPr>
          <w:sz w:val="24"/>
          <w:szCs w:val="24"/>
        </w:rPr>
        <w:t>据合川气象站全年逐时地面气象观测资料，该地区年均风频的月变化见表6.2-4、年均风频的季变化及年均风频见表6.2-5。</w:t>
      </w:r>
    </w:p>
    <w:p>
      <w:pPr>
        <w:spacing w:line="450" w:lineRule="exact"/>
        <w:ind w:firstLine="0" w:firstLineChars="0"/>
        <w:jc w:val="center"/>
        <w:rPr>
          <w:b/>
          <w:bCs/>
        </w:rPr>
        <w:sectPr>
          <w:pgSz w:w="11907" w:h="16840"/>
          <w:pgMar w:top="1588" w:right="1418" w:bottom="1366" w:left="1418" w:header="851" w:footer="992" w:gutter="0"/>
          <w:cols w:space="425" w:num="1"/>
          <w:docGrid w:linePitch="312" w:charSpace="0"/>
        </w:sectPr>
      </w:pPr>
      <w:bookmarkStart w:id="194" w:name="_Ref472430895"/>
    </w:p>
    <w:bookmarkEnd w:id="194"/>
    <w:p>
      <w:pPr>
        <w:spacing w:line="450" w:lineRule="exact"/>
        <w:ind w:firstLine="0" w:firstLineChars="0"/>
        <w:jc w:val="center"/>
        <w:rPr>
          <w:b/>
          <w:bCs/>
          <w:sz w:val="24"/>
          <w:szCs w:val="24"/>
        </w:rPr>
      </w:pPr>
      <w:r>
        <w:rPr>
          <w:b/>
          <w:bCs/>
          <w:snapToGrid w:val="0"/>
          <w:spacing w:val="8"/>
          <w:kern w:val="0"/>
          <w:sz w:val="24"/>
          <w:szCs w:val="24"/>
        </w:rPr>
        <w:t xml:space="preserve">表6.2-4 </w:t>
      </w:r>
      <w:r>
        <w:rPr>
          <w:b/>
          <w:bCs/>
          <w:sz w:val="24"/>
          <w:szCs w:val="24"/>
        </w:rPr>
        <w:t xml:space="preserve">   2022年年均风频的月变化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817"/>
        <w:gridCol w:w="817"/>
        <w:gridCol w:w="817"/>
        <w:gridCol w:w="683"/>
        <w:gridCol w:w="817"/>
        <w:gridCol w:w="817"/>
        <w:gridCol w:w="817"/>
        <w:gridCol w:w="817"/>
        <w:gridCol w:w="817"/>
        <w:gridCol w:w="728"/>
        <w:gridCol w:w="817"/>
        <w:gridCol w:w="818"/>
        <w:gridCol w:w="684"/>
        <w:gridCol w:w="844"/>
        <w:gridCol w:w="684"/>
        <w:gridCol w:w="788"/>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blHeader/>
          <w:jc w:val="center"/>
        </w:trPr>
        <w:tc>
          <w:tcPr>
            <w:tcW w:w="491"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mc:AlternateContent>
                <mc:Choice Requires="wps">
                  <w:drawing>
                    <wp:anchor distT="0" distB="0" distL="114300" distR="114300" simplePos="0" relativeHeight="251985920" behindDoc="0" locked="0" layoutInCell="1" allowOverlap="1">
                      <wp:simplePos x="0" y="0"/>
                      <wp:positionH relativeFrom="column">
                        <wp:posOffset>-76835</wp:posOffset>
                      </wp:positionH>
                      <wp:positionV relativeFrom="paragraph">
                        <wp:posOffset>22860</wp:posOffset>
                      </wp:positionV>
                      <wp:extent cx="822960" cy="405130"/>
                      <wp:effectExtent l="0" t="0" r="34290" b="33655"/>
                      <wp:wrapNone/>
                      <wp:docPr id="24" name="直接连接符 24"/>
                      <wp:cNvGraphicFramePr/>
                      <a:graphic xmlns:a="http://schemas.openxmlformats.org/drawingml/2006/main">
                        <a:graphicData uri="http://schemas.microsoft.com/office/word/2010/wordprocessingShape">
                          <wps:wsp>
                            <wps:cNvCnPr/>
                            <wps:spPr>
                              <a:xfrm>
                                <a:off x="0" y="0"/>
                                <a:ext cx="822960" cy="40494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05pt;margin-top:1.8pt;height:31.9pt;width:64.8pt;z-index:251985920;mso-width-relative:page;mso-height-relative:page;" filled="f" stroked="t" coordsize="21600,21600" o:gfxdata="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BYAAABkcnMvUEsBAhQA&#10;FAAAAAgAh07iQJ0vt2XZAAAACAEAAA8AAAAAAAAAAQAgAAAAOAAAAGRycy9kb3ducmV2LnhtbFBL&#10;AQIUABQAAAAIAIdO4kBOR8yI3wEAAIsDAAAOAAAAAAAAAAEAIAAAAD4BAABkcnMvZTJvRG9jLnht&#10;bFBLBQYAAAAABgAGAFkBAACPBQAAAAA=&#10;">
                      <v:fill on="f" focussize="0,0"/>
                      <v:stroke color="#4A7EBB [3204]" joinstyle="round"/>
                      <v:imagedata o:title=""/>
                      <o:lock v:ext="edit" aspectratio="f"/>
                    </v:line>
                  </w:pict>
                </mc:Fallback>
              </mc:AlternateContent>
            </w:r>
            <w:r>
              <w:rPr>
                <w:b/>
                <w:spacing w:val="-4"/>
                <w:sz w:val="21"/>
                <w:szCs w:val="21"/>
              </w:rPr>
              <w:t xml:space="preserve">         风向</w:t>
            </w:r>
          </w:p>
          <w:p>
            <w:pPr>
              <w:spacing w:line="240" w:lineRule="auto"/>
              <w:ind w:firstLine="0" w:firstLineChars="0"/>
              <w:textAlignment w:val="baseline"/>
              <w:rPr>
                <w:b/>
                <w:spacing w:val="-4"/>
                <w:sz w:val="21"/>
                <w:szCs w:val="21"/>
              </w:rPr>
            </w:pPr>
            <w:r>
              <w:rPr>
                <w:b/>
                <w:spacing w:val="-4"/>
                <w:sz w:val="21"/>
                <w:szCs w:val="21"/>
              </w:rPr>
              <w:t>风频（%）</w:t>
            </w:r>
          </w:p>
        </w:tc>
        <w:tc>
          <w:tcPr>
            <w:tcW w:w="235"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N</w:t>
            </w:r>
          </w:p>
        </w:tc>
        <w:tc>
          <w:tcPr>
            <w:tcW w:w="255"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NNE</w:t>
            </w:r>
          </w:p>
        </w:tc>
        <w:tc>
          <w:tcPr>
            <w:tcW w:w="279"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NE</w:t>
            </w:r>
          </w:p>
        </w:tc>
        <w:tc>
          <w:tcPr>
            <w:tcW w:w="280"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ENE</w:t>
            </w:r>
          </w:p>
        </w:tc>
        <w:tc>
          <w:tcPr>
            <w:tcW w:w="280"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E</w:t>
            </w:r>
          </w:p>
        </w:tc>
        <w:tc>
          <w:tcPr>
            <w:tcW w:w="280"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ESE</w:t>
            </w:r>
          </w:p>
        </w:tc>
        <w:tc>
          <w:tcPr>
            <w:tcW w:w="236"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SE</w:t>
            </w:r>
          </w:p>
        </w:tc>
        <w:tc>
          <w:tcPr>
            <w:tcW w:w="236"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SSE</w:t>
            </w:r>
          </w:p>
        </w:tc>
        <w:tc>
          <w:tcPr>
            <w:tcW w:w="280"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S</w:t>
            </w:r>
          </w:p>
        </w:tc>
        <w:tc>
          <w:tcPr>
            <w:tcW w:w="280"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SSW</w:t>
            </w:r>
          </w:p>
        </w:tc>
        <w:tc>
          <w:tcPr>
            <w:tcW w:w="280"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SW</w:t>
            </w:r>
          </w:p>
        </w:tc>
        <w:tc>
          <w:tcPr>
            <w:tcW w:w="288"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WSW</w:t>
            </w:r>
          </w:p>
        </w:tc>
        <w:tc>
          <w:tcPr>
            <w:tcW w:w="236"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W</w:t>
            </w:r>
          </w:p>
        </w:tc>
        <w:tc>
          <w:tcPr>
            <w:tcW w:w="303"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WNW</w:t>
            </w:r>
          </w:p>
        </w:tc>
        <w:tc>
          <w:tcPr>
            <w:tcW w:w="236"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NW</w:t>
            </w:r>
          </w:p>
        </w:tc>
        <w:tc>
          <w:tcPr>
            <w:tcW w:w="285"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NNW</w:t>
            </w:r>
          </w:p>
        </w:tc>
        <w:tc>
          <w:tcPr>
            <w:tcW w:w="234" w:type="pct"/>
            <w:shd w:val="clear" w:color="auto" w:fill="D9D9D9"/>
            <w:vAlign w:val="center"/>
          </w:tcPr>
          <w:p>
            <w:pPr>
              <w:spacing w:line="240" w:lineRule="auto"/>
              <w:ind w:firstLine="0" w:firstLineChars="0"/>
              <w:jc w:val="center"/>
              <w:textAlignment w:val="baseline"/>
              <w:rPr>
                <w:b/>
                <w:spacing w:val="-4"/>
                <w:sz w:val="21"/>
                <w:szCs w:val="21"/>
              </w:rPr>
            </w:pPr>
            <w:r>
              <w:rPr>
                <w:b/>
                <w:spacing w:val="-4"/>
                <w:sz w:val="21"/>
                <w:szCs w:val="21"/>
              </w:rPr>
              <w:t xml:space="preserve"> C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一月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14.52</w:t>
            </w:r>
          </w:p>
        </w:tc>
        <w:tc>
          <w:tcPr>
            <w:tcW w:w="255" w:type="pct"/>
            <w:vAlign w:val="bottom"/>
          </w:tcPr>
          <w:p>
            <w:pPr>
              <w:spacing w:line="240" w:lineRule="auto"/>
              <w:ind w:firstLine="0" w:firstLineChars="0"/>
              <w:jc w:val="center"/>
              <w:textAlignment w:val="baseline"/>
              <w:rPr>
                <w:spacing w:val="-8"/>
                <w:sz w:val="21"/>
                <w:szCs w:val="21"/>
              </w:rPr>
            </w:pPr>
            <w:r>
              <w:rPr>
                <w:sz w:val="21"/>
                <w:szCs w:val="21"/>
              </w:rPr>
              <w:t>22.04</w:t>
            </w:r>
          </w:p>
        </w:tc>
        <w:tc>
          <w:tcPr>
            <w:tcW w:w="279" w:type="pct"/>
            <w:vAlign w:val="bottom"/>
          </w:tcPr>
          <w:p>
            <w:pPr>
              <w:spacing w:line="240" w:lineRule="auto"/>
              <w:ind w:firstLine="0" w:firstLineChars="0"/>
              <w:jc w:val="center"/>
              <w:textAlignment w:val="baseline"/>
              <w:rPr>
                <w:spacing w:val="-8"/>
                <w:sz w:val="21"/>
                <w:szCs w:val="21"/>
              </w:rPr>
            </w:pPr>
            <w:r>
              <w:rPr>
                <w:sz w:val="21"/>
                <w:szCs w:val="21"/>
              </w:rPr>
              <w:t>11.29</w:t>
            </w:r>
          </w:p>
        </w:tc>
        <w:tc>
          <w:tcPr>
            <w:tcW w:w="280" w:type="pct"/>
            <w:vAlign w:val="bottom"/>
          </w:tcPr>
          <w:p>
            <w:pPr>
              <w:spacing w:line="240" w:lineRule="auto"/>
              <w:ind w:firstLine="0" w:firstLineChars="0"/>
              <w:jc w:val="center"/>
              <w:textAlignment w:val="baseline"/>
              <w:rPr>
                <w:spacing w:val="-8"/>
                <w:sz w:val="21"/>
                <w:szCs w:val="21"/>
              </w:rPr>
            </w:pPr>
            <w:r>
              <w:rPr>
                <w:sz w:val="21"/>
                <w:szCs w:val="21"/>
              </w:rPr>
              <w:t>6.05</w:t>
            </w:r>
          </w:p>
        </w:tc>
        <w:tc>
          <w:tcPr>
            <w:tcW w:w="280" w:type="pct"/>
            <w:vAlign w:val="bottom"/>
          </w:tcPr>
          <w:p>
            <w:pPr>
              <w:spacing w:line="240" w:lineRule="auto"/>
              <w:ind w:firstLine="0" w:firstLineChars="0"/>
              <w:jc w:val="center"/>
              <w:textAlignment w:val="baseline"/>
              <w:rPr>
                <w:spacing w:val="-8"/>
                <w:sz w:val="21"/>
                <w:szCs w:val="21"/>
              </w:rPr>
            </w:pPr>
            <w:r>
              <w:rPr>
                <w:sz w:val="21"/>
                <w:szCs w:val="21"/>
              </w:rPr>
              <w:t>9.54</w:t>
            </w:r>
          </w:p>
        </w:tc>
        <w:tc>
          <w:tcPr>
            <w:tcW w:w="280" w:type="pct"/>
            <w:vAlign w:val="bottom"/>
          </w:tcPr>
          <w:p>
            <w:pPr>
              <w:spacing w:line="240" w:lineRule="auto"/>
              <w:ind w:firstLine="0" w:firstLineChars="0"/>
              <w:jc w:val="center"/>
              <w:textAlignment w:val="baseline"/>
              <w:rPr>
                <w:spacing w:val="-8"/>
                <w:sz w:val="21"/>
                <w:szCs w:val="21"/>
              </w:rPr>
            </w:pPr>
            <w:r>
              <w:rPr>
                <w:sz w:val="21"/>
                <w:szCs w:val="21"/>
              </w:rPr>
              <w:t>3.49</w:t>
            </w:r>
          </w:p>
        </w:tc>
        <w:tc>
          <w:tcPr>
            <w:tcW w:w="236" w:type="pct"/>
            <w:vAlign w:val="bottom"/>
          </w:tcPr>
          <w:p>
            <w:pPr>
              <w:spacing w:line="240" w:lineRule="auto"/>
              <w:ind w:firstLine="0" w:firstLineChars="0"/>
              <w:jc w:val="center"/>
              <w:textAlignment w:val="baseline"/>
              <w:rPr>
                <w:spacing w:val="-8"/>
                <w:sz w:val="21"/>
                <w:szCs w:val="21"/>
              </w:rPr>
            </w:pPr>
            <w:r>
              <w:rPr>
                <w:sz w:val="21"/>
                <w:szCs w:val="21"/>
              </w:rPr>
              <w:t>1.48</w:t>
            </w:r>
          </w:p>
        </w:tc>
        <w:tc>
          <w:tcPr>
            <w:tcW w:w="236" w:type="pct"/>
            <w:vAlign w:val="bottom"/>
          </w:tcPr>
          <w:p>
            <w:pPr>
              <w:spacing w:line="240" w:lineRule="auto"/>
              <w:ind w:firstLine="0" w:firstLineChars="0"/>
              <w:jc w:val="center"/>
              <w:textAlignment w:val="baseline"/>
              <w:rPr>
                <w:spacing w:val="-8"/>
                <w:sz w:val="21"/>
                <w:szCs w:val="21"/>
              </w:rPr>
            </w:pPr>
            <w:r>
              <w:rPr>
                <w:sz w:val="21"/>
                <w:szCs w:val="21"/>
              </w:rPr>
              <w:t>1.34</w:t>
            </w:r>
          </w:p>
        </w:tc>
        <w:tc>
          <w:tcPr>
            <w:tcW w:w="280" w:type="pct"/>
            <w:vAlign w:val="bottom"/>
          </w:tcPr>
          <w:p>
            <w:pPr>
              <w:spacing w:line="240" w:lineRule="auto"/>
              <w:ind w:firstLine="0" w:firstLineChars="0"/>
              <w:jc w:val="center"/>
              <w:textAlignment w:val="baseline"/>
              <w:rPr>
                <w:spacing w:val="-8"/>
                <w:sz w:val="21"/>
                <w:szCs w:val="21"/>
              </w:rPr>
            </w:pPr>
            <w:r>
              <w:rPr>
                <w:sz w:val="21"/>
                <w:szCs w:val="21"/>
              </w:rPr>
              <w:t>0.81</w:t>
            </w:r>
          </w:p>
        </w:tc>
        <w:tc>
          <w:tcPr>
            <w:tcW w:w="280" w:type="pct"/>
            <w:vAlign w:val="bottom"/>
          </w:tcPr>
          <w:p>
            <w:pPr>
              <w:spacing w:line="240" w:lineRule="auto"/>
              <w:ind w:firstLine="0" w:firstLineChars="0"/>
              <w:jc w:val="center"/>
              <w:textAlignment w:val="baseline"/>
              <w:rPr>
                <w:spacing w:val="-8"/>
                <w:sz w:val="21"/>
                <w:szCs w:val="21"/>
              </w:rPr>
            </w:pPr>
            <w:r>
              <w:rPr>
                <w:sz w:val="21"/>
                <w:szCs w:val="21"/>
              </w:rPr>
              <w:t>3.23</w:t>
            </w:r>
          </w:p>
        </w:tc>
        <w:tc>
          <w:tcPr>
            <w:tcW w:w="280" w:type="pct"/>
            <w:vAlign w:val="bottom"/>
          </w:tcPr>
          <w:p>
            <w:pPr>
              <w:spacing w:line="240" w:lineRule="auto"/>
              <w:ind w:firstLine="0" w:firstLineChars="0"/>
              <w:jc w:val="center"/>
              <w:textAlignment w:val="baseline"/>
              <w:rPr>
                <w:spacing w:val="-8"/>
                <w:sz w:val="21"/>
                <w:szCs w:val="21"/>
              </w:rPr>
            </w:pPr>
            <w:r>
              <w:rPr>
                <w:sz w:val="21"/>
                <w:szCs w:val="21"/>
              </w:rPr>
              <w:t>8.87</w:t>
            </w:r>
          </w:p>
        </w:tc>
        <w:tc>
          <w:tcPr>
            <w:tcW w:w="288" w:type="pct"/>
            <w:vAlign w:val="bottom"/>
          </w:tcPr>
          <w:p>
            <w:pPr>
              <w:spacing w:line="240" w:lineRule="auto"/>
              <w:ind w:firstLine="0" w:firstLineChars="0"/>
              <w:jc w:val="center"/>
              <w:textAlignment w:val="baseline"/>
              <w:rPr>
                <w:spacing w:val="-8"/>
                <w:sz w:val="21"/>
                <w:szCs w:val="21"/>
              </w:rPr>
            </w:pPr>
            <w:r>
              <w:rPr>
                <w:sz w:val="21"/>
                <w:szCs w:val="21"/>
              </w:rPr>
              <w:t>4.17</w:t>
            </w:r>
          </w:p>
        </w:tc>
        <w:tc>
          <w:tcPr>
            <w:tcW w:w="236" w:type="pct"/>
            <w:vAlign w:val="bottom"/>
          </w:tcPr>
          <w:p>
            <w:pPr>
              <w:spacing w:line="240" w:lineRule="auto"/>
              <w:ind w:firstLine="0" w:firstLineChars="0"/>
              <w:jc w:val="center"/>
              <w:textAlignment w:val="baseline"/>
              <w:rPr>
                <w:spacing w:val="-8"/>
                <w:sz w:val="21"/>
                <w:szCs w:val="21"/>
              </w:rPr>
            </w:pPr>
            <w:r>
              <w:rPr>
                <w:sz w:val="21"/>
                <w:szCs w:val="21"/>
              </w:rPr>
              <w:t>3.09</w:t>
            </w:r>
          </w:p>
        </w:tc>
        <w:tc>
          <w:tcPr>
            <w:tcW w:w="303" w:type="pct"/>
            <w:vAlign w:val="bottom"/>
          </w:tcPr>
          <w:p>
            <w:pPr>
              <w:spacing w:line="240" w:lineRule="auto"/>
              <w:ind w:firstLine="0" w:firstLineChars="0"/>
              <w:jc w:val="center"/>
              <w:textAlignment w:val="baseline"/>
              <w:rPr>
                <w:spacing w:val="-8"/>
                <w:sz w:val="21"/>
                <w:szCs w:val="21"/>
              </w:rPr>
            </w:pPr>
            <w:r>
              <w:rPr>
                <w:sz w:val="21"/>
                <w:szCs w:val="21"/>
              </w:rPr>
              <w:t>0.81</w:t>
            </w:r>
          </w:p>
        </w:tc>
        <w:tc>
          <w:tcPr>
            <w:tcW w:w="236" w:type="pct"/>
            <w:vAlign w:val="bottom"/>
          </w:tcPr>
          <w:p>
            <w:pPr>
              <w:spacing w:line="240" w:lineRule="auto"/>
              <w:ind w:firstLine="0" w:firstLineChars="0"/>
              <w:jc w:val="center"/>
              <w:textAlignment w:val="baseline"/>
              <w:rPr>
                <w:spacing w:val="-8"/>
                <w:sz w:val="21"/>
                <w:szCs w:val="21"/>
              </w:rPr>
            </w:pPr>
            <w:r>
              <w:rPr>
                <w:sz w:val="21"/>
                <w:szCs w:val="21"/>
              </w:rPr>
              <w:t>1.48</w:t>
            </w:r>
          </w:p>
        </w:tc>
        <w:tc>
          <w:tcPr>
            <w:tcW w:w="285" w:type="pct"/>
            <w:vAlign w:val="bottom"/>
          </w:tcPr>
          <w:p>
            <w:pPr>
              <w:spacing w:line="240" w:lineRule="auto"/>
              <w:ind w:firstLine="0" w:firstLineChars="0"/>
              <w:jc w:val="center"/>
              <w:textAlignment w:val="baseline"/>
              <w:rPr>
                <w:spacing w:val="-8"/>
                <w:sz w:val="21"/>
                <w:szCs w:val="21"/>
              </w:rPr>
            </w:pPr>
            <w:r>
              <w:rPr>
                <w:sz w:val="21"/>
                <w:szCs w:val="21"/>
              </w:rPr>
              <w:t>4.84</w:t>
            </w:r>
          </w:p>
        </w:tc>
        <w:tc>
          <w:tcPr>
            <w:tcW w:w="234" w:type="pct"/>
            <w:vAlign w:val="bottom"/>
          </w:tcPr>
          <w:p>
            <w:pPr>
              <w:spacing w:line="240" w:lineRule="auto"/>
              <w:ind w:firstLine="0" w:firstLineChars="0"/>
              <w:jc w:val="center"/>
              <w:textAlignment w:val="baseline"/>
              <w:rPr>
                <w:spacing w:val="-8"/>
                <w:sz w:val="21"/>
                <w:szCs w:val="21"/>
              </w:rPr>
            </w:pPr>
            <w:r>
              <w:rPr>
                <w:sz w:val="21"/>
                <w:szCs w:val="21"/>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二月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9.67</w:t>
            </w:r>
          </w:p>
        </w:tc>
        <w:tc>
          <w:tcPr>
            <w:tcW w:w="255" w:type="pct"/>
            <w:vAlign w:val="bottom"/>
          </w:tcPr>
          <w:p>
            <w:pPr>
              <w:spacing w:line="240" w:lineRule="auto"/>
              <w:ind w:firstLine="0" w:firstLineChars="0"/>
              <w:jc w:val="center"/>
              <w:textAlignment w:val="baseline"/>
              <w:rPr>
                <w:spacing w:val="-8"/>
                <w:sz w:val="21"/>
                <w:szCs w:val="21"/>
              </w:rPr>
            </w:pPr>
            <w:r>
              <w:rPr>
                <w:sz w:val="21"/>
                <w:szCs w:val="21"/>
              </w:rPr>
              <w:t>15.03</w:t>
            </w:r>
          </w:p>
        </w:tc>
        <w:tc>
          <w:tcPr>
            <w:tcW w:w="279" w:type="pct"/>
            <w:vAlign w:val="bottom"/>
          </w:tcPr>
          <w:p>
            <w:pPr>
              <w:spacing w:line="240" w:lineRule="auto"/>
              <w:ind w:firstLine="0" w:firstLineChars="0"/>
              <w:jc w:val="center"/>
              <w:textAlignment w:val="baseline"/>
              <w:rPr>
                <w:spacing w:val="-8"/>
                <w:sz w:val="21"/>
                <w:szCs w:val="21"/>
              </w:rPr>
            </w:pPr>
            <w:r>
              <w:rPr>
                <w:sz w:val="21"/>
                <w:szCs w:val="21"/>
              </w:rPr>
              <w:t>9.67</w:t>
            </w:r>
          </w:p>
        </w:tc>
        <w:tc>
          <w:tcPr>
            <w:tcW w:w="280" w:type="pct"/>
            <w:vAlign w:val="bottom"/>
          </w:tcPr>
          <w:p>
            <w:pPr>
              <w:spacing w:line="240" w:lineRule="auto"/>
              <w:ind w:firstLine="0" w:firstLineChars="0"/>
              <w:jc w:val="center"/>
              <w:textAlignment w:val="baseline"/>
              <w:rPr>
                <w:spacing w:val="-8"/>
                <w:sz w:val="21"/>
                <w:szCs w:val="21"/>
              </w:rPr>
            </w:pPr>
            <w:r>
              <w:rPr>
                <w:sz w:val="21"/>
                <w:szCs w:val="21"/>
              </w:rPr>
              <w:t>6.99</w:t>
            </w:r>
          </w:p>
        </w:tc>
        <w:tc>
          <w:tcPr>
            <w:tcW w:w="280" w:type="pct"/>
            <w:vAlign w:val="bottom"/>
          </w:tcPr>
          <w:p>
            <w:pPr>
              <w:spacing w:line="240" w:lineRule="auto"/>
              <w:ind w:firstLine="0" w:firstLineChars="0"/>
              <w:jc w:val="center"/>
              <w:textAlignment w:val="baseline"/>
              <w:rPr>
                <w:spacing w:val="-8"/>
                <w:sz w:val="21"/>
                <w:szCs w:val="21"/>
              </w:rPr>
            </w:pPr>
            <w:r>
              <w:rPr>
                <w:sz w:val="21"/>
                <w:szCs w:val="21"/>
              </w:rPr>
              <w:t>17.11</w:t>
            </w:r>
          </w:p>
        </w:tc>
        <w:tc>
          <w:tcPr>
            <w:tcW w:w="280" w:type="pct"/>
            <w:vAlign w:val="bottom"/>
          </w:tcPr>
          <w:p>
            <w:pPr>
              <w:spacing w:line="240" w:lineRule="auto"/>
              <w:ind w:firstLine="0" w:firstLineChars="0"/>
              <w:jc w:val="center"/>
              <w:textAlignment w:val="baseline"/>
              <w:rPr>
                <w:spacing w:val="-8"/>
                <w:sz w:val="21"/>
                <w:szCs w:val="21"/>
              </w:rPr>
            </w:pPr>
            <w:r>
              <w:rPr>
                <w:sz w:val="21"/>
                <w:szCs w:val="21"/>
              </w:rPr>
              <w:t>6.25</w:t>
            </w:r>
          </w:p>
        </w:tc>
        <w:tc>
          <w:tcPr>
            <w:tcW w:w="236" w:type="pct"/>
            <w:vAlign w:val="bottom"/>
          </w:tcPr>
          <w:p>
            <w:pPr>
              <w:spacing w:line="240" w:lineRule="auto"/>
              <w:ind w:firstLine="0" w:firstLineChars="0"/>
              <w:jc w:val="center"/>
              <w:textAlignment w:val="baseline"/>
              <w:rPr>
                <w:spacing w:val="-8"/>
                <w:sz w:val="21"/>
                <w:szCs w:val="21"/>
              </w:rPr>
            </w:pPr>
            <w:r>
              <w:rPr>
                <w:sz w:val="21"/>
                <w:szCs w:val="21"/>
              </w:rPr>
              <w:t>2.83</w:t>
            </w:r>
          </w:p>
        </w:tc>
        <w:tc>
          <w:tcPr>
            <w:tcW w:w="236" w:type="pct"/>
            <w:vAlign w:val="bottom"/>
          </w:tcPr>
          <w:p>
            <w:pPr>
              <w:spacing w:line="240" w:lineRule="auto"/>
              <w:ind w:firstLine="0" w:firstLineChars="0"/>
              <w:jc w:val="center"/>
              <w:textAlignment w:val="baseline"/>
              <w:rPr>
                <w:spacing w:val="-8"/>
                <w:sz w:val="21"/>
                <w:szCs w:val="21"/>
              </w:rPr>
            </w:pPr>
            <w:r>
              <w:rPr>
                <w:sz w:val="21"/>
                <w:szCs w:val="21"/>
              </w:rPr>
              <w:t>1.19</w:t>
            </w:r>
          </w:p>
        </w:tc>
        <w:tc>
          <w:tcPr>
            <w:tcW w:w="280" w:type="pct"/>
            <w:vAlign w:val="bottom"/>
          </w:tcPr>
          <w:p>
            <w:pPr>
              <w:spacing w:line="240" w:lineRule="auto"/>
              <w:ind w:firstLine="0" w:firstLineChars="0"/>
              <w:jc w:val="center"/>
              <w:textAlignment w:val="baseline"/>
              <w:rPr>
                <w:spacing w:val="-8"/>
                <w:sz w:val="21"/>
                <w:szCs w:val="21"/>
              </w:rPr>
            </w:pPr>
            <w:r>
              <w:rPr>
                <w:sz w:val="21"/>
                <w:szCs w:val="21"/>
              </w:rPr>
              <w:t>3.27</w:t>
            </w:r>
          </w:p>
        </w:tc>
        <w:tc>
          <w:tcPr>
            <w:tcW w:w="280" w:type="pct"/>
            <w:vAlign w:val="bottom"/>
          </w:tcPr>
          <w:p>
            <w:pPr>
              <w:spacing w:line="240" w:lineRule="auto"/>
              <w:ind w:firstLine="0" w:firstLineChars="0"/>
              <w:jc w:val="center"/>
              <w:textAlignment w:val="baseline"/>
              <w:rPr>
                <w:spacing w:val="-8"/>
                <w:sz w:val="21"/>
                <w:szCs w:val="21"/>
              </w:rPr>
            </w:pPr>
            <w:r>
              <w:rPr>
                <w:sz w:val="21"/>
                <w:szCs w:val="21"/>
              </w:rPr>
              <w:t>3.57</w:t>
            </w:r>
          </w:p>
        </w:tc>
        <w:tc>
          <w:tcPr>
            <w:tcW w:w="280" w:type="pct"/>
            <w:vAlign w:val="bottom"/>
          </w:tcPr>
          <w:p>
            <w:pPr>
              <w:spacing w:line="240" w:lineRule="auto"/>
              <w:ind w:firstLine="0" w:firstLineChars="0"/>
              <w:jc w:val="center"/>
              <w:textAlignment w:val="baseline"/>
              <w:rPr>
                <w:spacing w:val="-8"/>
                <w:sz w:val="21"/>
                <w:szCs w:val="21"/>
              </w:rPr>
            </w:pPr>
            <w:r>
              <w:rPr>
                <w:sz w:val="21"/>
                <w:szCs w:val="21"/>
              </w:rPr>
              <w:t>9.97</w:t>
            </w:r>
          </w:p>
        </w:tc>
        <w:tc>
          <w:tcPr>
            <w:tcW w:w="288" w:type="pct"/>
            <w:vAlign w:val="bottom"/>
          </w:tcPr>
          <w:p>
            <w:pPr>
              <w:spacing w:line="240" w:lineRule="auto"/>
              <w:ind w:firstLine="0" w:firstLineChars="0"/>
              <w:jc w:val="center"/>
              <w:textAlignment w:val="baseline"/>
              <w:rPr>
                <w:spacing w:val="-8"/>
                <w:sz w:val="21"/>
                <w:szCs w:val="21"/>
              </w:rPr>
            </w:pPr>
            <w:r>
              <w:rPr>
                <w:sz w:val="21"/>
                <w:szCs w:val="21"/>
              </w:rPr>
              <w:t>5.65</w:t>
            </w:r>
          </w:p>
        </w:tc>
        <w:tc>
          <w:tcPr>
            <w:tcW w:w="236" w:type="pct"/>
            <w:vAlign w:val="bottom"/>
          </w:tcPr>
          <w:p>
            <w:pPr>
              <w:spacing w:line="240" w:lineRule="auto"/>
              <w:ind w:firstLine="0" w:firstLineChars="0"/>
              <w:jc w:val="center"/>
              <w:textAlignment w:val="baseline"/>
              <w:rPr>
                <w:spacing w:val="-8"/>
                <w:sz w:val="21"/>
                <w:szCs w:val="21"/>
              </w:rPr>
            </w:pPr>
            <w:r>
              <w:rPr>
                <w:sz w:val="21"/>
                <w:szCs w:val="21"/>
              </w:rPr>
              <w:t>2.68</w:t>
            </w:r>
          </w:p>
        </w:tc>
        <w:tc>
          <w:tcPr>
            <w:tcW w:w="303" w:type="pct"/>
            <w:vAlign w:val="bottom"/>
          </w:tcPr>
          <w:p>
            <w:pPr>
              <w:spacing w:line="240" w:lineRule="auto"/>
              <w:ind w:firstLine="0" w:firstLineChars="0"/>
              <w:jc w:val="center"/>
              <w:textAlignment w:val="baseline"/>
              <w:rPr>
                <w:spacing w:val="-8"/>
                <w:sz w:val="21"/>
                <w:szCs w:val="21"/>
              </w:rPr>
            </w:pPr>
            <w:r>
              <w:rPr>
                <w:sz w:val="21"/>
                <w:szCs w:val="21"/>
              </w:rPr>
              <w:t>0.89</w:t>
            </w:r>
          </w:p>
        </w:tc>
        <w:tc>
          <w:tcPr>
            <w:tcW w:w="236" w:type="pct"/>
            <w:vAlign w:val="bottom"/>
          </w:tcPr>
          <w:p>
            <w:pPr>
              <w:spacing w:line="240" w:lineRule="auto"/>
              <w:ind w:firstLine="0" w:firstLineChars="0"/>
              <w:jc w:val="center"/>
              <w:textAlignment w:val="baseline"/>
              <w:rPr>
                <w:spacing w:val="-8"/>
                <w:sz w:val="21"/>
                <w:szCs w:val="21"/>
              </w:rPr>
            </w:pPr>
            <w:r>
              <w:rPr>
                <w:sz w:val="21"/>
                <w:szCs w:val="21"/>
              </w:rPr>
              <w:t>0.60</w:t>
            </w:r>
          </w:p>
        </w:tc>
        <w:tc>
          <w:tcPr>
            <w:tcW w:w="285" w:type="pct"/>
            <w:vAlign w:val="bottom"/>
          </w:tcPr>
          <w:p>
            <w:pPr>
              <w:spacing w:line="240" w:lineRule="auto"/>
              <w:ind w:firstLine="0" w:firstLineChars="0"/>
              <w:jc w:val="center"/>
              <w:textAlignment w:val="baseline"/>
              <w:rPr>
                <w:spacing w:val="-8"/>
                <w:sz w:val="21"/>
                <w:szCs w:val="21"/>
              </w:rPr>
            </w:pPr>
            <w:r>
              <w:rPr>
                <w:sz w:val="21"/>
                <w:szCs w:val="21"/>
              </w:rPr>
              <w:t>2.68</w:t>
            </w:r>
          </w:p>
        </w:tc>
        <w:tc>
          <w:tcPr>
            <w:tcW w:w="234" w:type="pct"/>
            <w:vAlign w:val="bottom"/>
          </w:tcPr>
          <w:p>
            <w:pPr>
              <w:spacing w:line="240" w:lineRule="auto"/>
              <w:ind w:firstLine="0" w:firstLineChars="0"/>
              <w:jc w:val="center"/>
              <w:textAlignment w:val="baseline"/>
              <w:rPr>
                <w:spacing w:val="-8"/>
                <w:sz w:val="21"/>
                <w:szCs w:val="21"/>
              </w:rPr>
            </w:pPr>
            <w:r>
              <w:rPr>
                <w:sz w:val="21"/>
                <w:szCs w:val="21"/>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三月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10.35</w:t>
            </w:r>
          </w:p>
        </w:tc>
        <w:tc>
          <w:tcPr>
            <w:tcW w:w="255" w:type="pct"/>
            <w:vAlign w:val="bottom"/>
          </w:tcPr>
          <w:p>
            <w:pPr>
              <w:spacing w:line="240" w:lineRule="auto"/>
              <w:ind w:firstLine="0" w:firstLineChars="0"/>
              <w:jc w:val="center"/>
              <w:textAlignment w:val="baseline"/>
              <w:rPr>
                <w:spacing w:val="-8"/>
                <w:sz w:val="21"/>
                <w:szCs w:val="21"/>
              </w:rPr>
            </w:pPr>
            <w:r>
              <w:rPr>
                <w:sz w:val="21"/>
                <w:szCs w:val="21"/>
              </w:rPr>
              <w:t>17.88</w:t>
            </w:r>
          </w:p>
        </w:tc>
        <w:tc>
          <w:tcPr>
            <w:tcW w:w="279" w:type="pct"/>
            <w:vAlign w:val="bottom"/>
          </w:tcPr>
          <w:p>
            <w:pPr>
              <w:spacing w:line="240" w:lineRule="auto"/>
              <w:ind w:firstLine="0" w:firstLineChars="0"/>
              <w:jc w:val="center"/>
              <w:textAlignment w:val="baseline"/>
              <w:rPr>
                <w:spacing w:val="-8"/>
                <w:sz w:val="21"/>
                <w:szCs w:val="21"/>
              </w:rPr>
            </w:pPr>
            <w:r>
              <w:rPr>
                <w:sz w:val="21"/>
                <w:szCs w:val="21"/>
              </w:rPr>
              <w:t>12.50</w:t>
            </w:r>
          </w:p>
        </w:tc>
        <w:tc>
          <w:tcPr>
            <w:tcW w:w="280" w:type="pct"/>
            <w:vAlign w:val="bottom"/>
          </w:tcPr>
          <w:p>
            <w:pPr>
              <w:spacing w:line="240" w:lineRule="auto"/>
              <w:ind w:firstLine="0" w:firstLineChars="0"/>
              <w:jc w:val="center"/>
              <w:textAlignment w:val="baseline"/>
              <w:rPr>
                <w:spacing w:val="-8"/>
                <w:sz w:val="21"/>
                <w:szCs w:val="21"/>
              </w:rPr>
            </w:pPr>
            <w:r>
              <w:rPr>
                <w:sz w:val="21"/>
                <w:szCs w:val="21"/>
              </w:rPr>
              <w:t>6.99</w:t>
            </w:r>
          </w:p>
        </w:tc>
        <w:tc>
          <w:tcPr>
            <w:tcW w:w="280" w:type="pct"/>
            <w:vAlign w:val="bottom"/>
          </w:tcPr>
          <w:p>
            <w:pPr>
              <w:spacing w:line="240" w:lineRule="auto"/>
              <w:ind w:firstLine="0" w:firstLineChars="0"/>
              <w:jc w:val="center"/>
              <w:textAlignment w:val="baseline"/>
              <w:rPr>
                <w:spacing w:val="-8"/>
                <w:sz w:val="21"/>
                <w:szCs w:val="21"/>
              </w:rPr>
            </w:pPr>
            <w:r>
              <w:rPr>
                <w:sz w:val="21"/>
                <w:szCs w:val="21"/>
              </w:rPr>
              <w:t>11.56</w:t>
            </w:r>
          </w:p>
        </w:tc>
        <w:tc>
          <w:tcPr>
            <w:tcW w:w="280" w:type="pct"/>
            <w:vAlign w:val="bottom"/>
          </w:tcPr>
          <w:p>
            <w:pPr>
              <w:spacing w:line="240" w:lineRule="auto"/>
              <w:ind w:firstLine="0" w:firstLineChars="0"/>
              <w:jc w:val="center"/>
              <w:textAlignment w:val="baseline"/>
              <w:rPr>
                <w:spacing w:val="-8"/>
                <w:sz w:val="21"/>
                <w:szCs w:val="21"/>
              </w:rPr>
            </w:pPr>
            <w:r>
              <w:rPr>
                <w:sz w:val="21"/>
                <w:szCs w:val="21"/>
              </w:rPr>
              <w:t>5.78</w:t>
            </w:r>
          </w:p>
        </w:tc>
        <w:tc>
          <w:tcPr>
            <w:tcW w:w="236" w:type="pct"/>
            <w:vAlign w:val="bottom"/>
          </w:tcPr>
          <w:p>
            <w:pPr>
              <w:spacing w:line="240" w:lineRule="auto"/>
              <w:ind w:firstLine="0" w:firstLineChars="0"/>
              <w:jc w:val="center"/>
              <w:textAlignment w:val="baseline"/>
              <w:rPr>
                <w:spacing w:val="-8"/>
                <w:sz w:val="21"/>
                <w:szCs w:val="21"/>
              </w:rPr>
            </w:pPr>
            <w:r>
              <w:rPr>
                <w:sz w:val="21"/>
                <w:szCs w:val="21"/>
              </w:rPr>
              <w:t>3.49</w:t>
            </w:r>
          </w:p>
        </w:tc>
        <w:tc>
          <w:tcPr>
            <w:tcW w:w="236" w:type="pct"/>
            <w:vAlign w:val="bottom"/>
          </w:tcPr>
          <w:p>
            <w:pPr>
              <w:spacing w:line="240" w:lineRule="auto"/>
              <w:ind w:firstLine="0" w:firstLineChars="0"/>
              <w:jc w:val="center"/>
              <w:textAlignment w:val="baseline"/>
              <w:rPr>
                <w:spacing w:val="-8"/>
                <w:sz w:val="21"/>
                <w:szCs w:val="21"/>
              </w:rPr>
            </w:pPr>
            <w:r>
              <w:rPr>
                <w:sz w:val="21"/>
                <w:szCs w:val="21"/>
              </w:rPr>
              <w:t>1.88</w:t>
            </w:r>
          </w:p>
        </w:tc>
        <w:tc>
          <w:tcPr>
            <w:tcW w:w="280" w:type="pct"/>
            <w:vAlign w:val="bottom"/>
          </w:tcPr>
          <w:p>
            <w:pPr>
              <w:spacing w:line="240" w:lineRule="auto"/>
              <w:ind w:firstLine="0" w:firstLineChars="0"/>
              <w:jc w:val="center"/>
              <w:textAlignment w:val="baseline"/>
              <w:rPr>
                <w:spacing w:val="-8"/>
                <w:sz w:val="21"/>
                <w:szCs w:val="21"/>
              </w:rPr>
            </w:pPr>
            <w:r>
              <w:rPr>
                <w:sz w:val="21"/>
                <w:szCs w:val="21"/>
              </w:rPr>
              <w:t>3.90</w:t>
            </w:r>
          </w:p>
        </w:tc>
        <w:tc>
          <w:tcPr>
            <w:tcW w:w="280" w:type="pct"/>
            <w:vAlign w:val="bottom"/>
          </w:tcPr>
          <w:p>
            <w:pPr>
              <w:spacing w:line="240" w:lineRule="auto"/>
              <w:ind w:firstLine="0" w:firstLineChars="0"/>
              <w:jc w:val="center"/>
              <w:textAlignment w:val="baseline"/>
              <w:rPr>
                <w:spacing w:val="-8"/>
                <w:sz w:val="21"/>
                <w:szCs w:val="21"/>
              </w:rPr>
            </w:pPr>
            <w:r>
              <w:rPr>
                <w:sz w:val="21"/>
                <w:szCs w:val="21"/>
              </w:rPr>
              <w:t>4.03</w:t>
            </w:r>
          </w:p>
        </w:tc>
        <w:tc>
          <w:tcPr>
            <w:tcW w:w="280" w:type="pct"/>
            <w:vAlign w:val="bottom"/>
          </w:tcPr>
          <w:p>
            <w:pPr>
              <w:spacing w:line="240" w:lineRule="auto"/>
              <w:ind w:firstLine="0" w:firstLineChars="0"/>
              <w:jc w:val="center"/>
              <w:textAlignment w:val="baseline"/>
              <w:rPr>
                <w:spacing w:val="-8"/>
                <w:sz w:val="21"/>
                <w:szCs w:val="21"/>
              </w:rPr>
            </w:pPr>
            <w:r>
              <w:rPr>
                <w:sz w:val="21"/>
                <w:szCs w:val="21"/>
              </w:rPr>
              <w:t>7.93</w:t>
            </w:r>
          </w:p>
        </w:tc>
        <w:tc>
          <w:tcPr>
            <w:tcW w:w="288" w:type="pct"/>
            <w:vAlign w:val="bottom"/>
          </w:tcPr>
          <w:p>
            <w:pPr>
              <w:spacing w:line="240" w:lineRule="auto"/>
              <w:ind w:firstLine="0" w:firstLineChars="0"/>
              <w:jc w:val="center"/>
              <w:textAlignment w:val="baseline"/>
              <w:rPr>
                <w:spacing w:val="-8"/>
                <w:sz w:val="21"/>
                <w:szCs w:val="21"/>
              </w:rPr>
            </w:pPr>
            <w:r>
              <w:rPr>
                <w:sz w:val="21"/>
                <w:szCs w:val="21"/>
              </w:rPr>
              <w:t>2.28</w:t>
            </w:r>
          </w:p>
        </w:tc>
        <w:tc>
          <w:tcPr>
            <w:tcW w:w="236" w:type="pct"/>
            <w:vAlign w:val="bottom"/>
          </w:tcPr>
          <w:p>
            <w:pPr>
              <w:spacing w:line="240" w:lineRule="auto"/>
              <w:ind w:firstLine="0" w:firstLineChars="0"/>
              <w:jc w:val="center"/>
              <w:textAlignment w:val="baseline"/>
              <w:rPr>
                <w:spacing w:val="-8"/>
                <w:sz w:val="21"/>
                <w:szCs w:val="21"/>
              </w:rPr>
            </w:pPr>
            <w:r>
              <w:rPr>
                <w:sz w:val="21"/>
                <w:szCs w:val="21"/>
              </w:rPr>
              <w:t>2.82</w:t>
            </w:r>
          </w:p>
        </w:tc>
        <w:tc>
          <w:tcPr>
            <w:tcW w:w="303" w:type="pct"/>
            <w:vAlign w:val="bottom"/>
          </w:tcPr>
          <w:p>
            <w:pPr>
              <w:spacing w:line="240" w:lineRule="auto"/>
              <w:ind w:firstLine="0" w:firstLineChars="0"/>
              <w:jc w:val="center"/>
              <w:textAlignment w:val="baseline"/>
              <w:rPr>
                <w:spacing w:val="-8"/>
                <w:sz w:val="21"/>
                <w:szCs w:val="21"/>
              </w:rPr>
            </w:pPr>
            <w:r>
              <w:rPr>
                <w:sz w:val="21"/>
                <w:szCs w:val="21"/>
              </w:rPr>
              <w:t>1.75</w:t>
            </w:r>
          </w:p>
        </w:tc>
        <w:tc>
          <w:tcPr>
            <w:tcW w:w="236" w:type="pct"/>
            <w:vAlign w:val="bottom"/>
          </w:tcPr>
          <w:p>
            <w:pPr>
              <w:spacing w:line="240" w:lineRule="auto"/>
              <w:ind w:firstLine="0" w:firstLineChars="0"/>
              <w:jc w:val="center"/>
              <w:textAlignment w:val="baseline"/>
              <w:rPr>
                <w:spacing w:val="-8"/>
                <w:sz w:val="21"/>
                <w:szCs w:val="21"/>
              </w:rPr>
            </w:pPr>
            <w:r>
              <w:rPr>
                <w:sz w:val="21"/>
                <w:szCs w:val="21"/>
              </w:rPr>
              <w:t>1.75</w:t>
            </w:r>
          </w:p>
        </w:tc>
        <w:tc>
          <w:tcPr>
            <w:tcW w:w="285" w:type="pct"/>
            <w:vAlign w:val="bottom"/>
          </w:tcPr>
          <w:p>
            <w:pPr>
              <w:spacing w:line="240" w:lineRule="auto"/>
              <w:ind w:firstLine="0" w:firstLineChars="0"/>
              <w:jc w:val="center"/>
              <w:textAlignment w:val="baseline"/>
              <w:rPr>
                <w:spacing w:val="-8"/>
                <w:sz w:val="21"/>
                <w:szCs w:val="21"/>
              </w:rPr>
            </w:pPr>
            <w:r>
              <w:rPr>
                <w:sz w:val="21"/>
                <w:szCs w:val="21"/>
              </w:rPr>
              <w:t>4.17</w:t>
            </w:r>
          </w:p>
        </w:tc>
        <w:tc>
          <w:tcPr>
            <w:tcW w:w="234" w:type="pct"/>
            <w:vAlign w:val="bottom"/>
          </w:tcPr>
          <w:p>
            <w:pPr>
              <w:spacing w:line="240" w:lineRule="auto"/>
              <w:ind w:firstLine="0" w:firstLineChars="0"/>
              <w:jc w:val="center"/>
              <w:textAlignment w:val="baseline"/>
              <w:rPr>
                <w:spacing w:val="-8"/>
                <w:sz w:val="21"/>
                <w:szCs w:val="21"/>
              </w:rPr>
            </w:pPr>
            <w:r>
              <w:rPr>
                <w:sz w:val="21"/>
                <w:szCs w:val="21"/>
              </w:rPr>
              <w:t>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四月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9.86</w:t>
            </w:r>
          </w:p>
        </w:tc>
        <w:tc>
          <w:tcPr>
            <w:tcW w:w="255" w:type="pct"/>
            <w:vAlign w:val="bottom"/>
          </w:tcPr>
          <w:p>
            <w:pPr>
              <w:spacing w:line="240" w:lineRule="auto"/>
              <w:ind w:firstLine="0" w:firstLineChars="0"/>
              <w:jc w:val="center"/>
              <w:textAlignment w:val="baseline"/>
              <w:rPr>
                <w:spacing w:val="-8"/>
                <w:sz w:val="21"/>
                <w:szCs w:val="21"/>
              </w:rPr>
            </w:pPr>
            <w:r>
              <w:rPr>
                <w:sz w:val="21"/>
                <w:szCs w:val="21"/>
              </w:rPr>
              <w:t>21.67</w:t>
            </w:r>
          </w:p>
        </w:tc>
        <w:tc>
          <w:tcPr>
            <w:tcW w:w="279" w:type="pct"/>
            <w:vAlign w:val="bottom"/>
          </w:tcPr>
          <w:p>
            <w:pPr>
              <w:spacing w:line="240" w:lineRule="auto"/>
              <w:ind w:firstLine="0" w:firstLineChars="0"/>
              <w:jc w:val="center"/>
              <w:textAlignment w:val="baseline"/>
              <w:rPr>
                <w:spacing w:val="-8"/>
                <w:sz w:val="21"/>
                <w:szCs w:val="21"/>
              </w:rPr>
            </w:pPr>
            <w:r>
              <w:rPr>
                <w:sz w:val="21"/>
                <w:szCs w:val="21"/>
              </w:rPr>
              <w:t>10.14</w:t>
            </w:r>
          </w:p>
        </w:tc>
        <w:tc>
          <w:tcPr>
            <w:tcW w:w="280" w:type="pct"/>
            <w:vAlign w:val="bottom"/>
          </w:tcPr>
          <w:p>
            <w:pPr>
              <w:spacing w:line="240" w:lineRule="auto"/>
              <w:ind w:firstLine="0" w:firstLineChars="0"/>
              <w:jc w:val="center"/>
              <w:textAlignment w:val="baseline"/>
              <w:rPr>
                <w:spacing w:val="-8"/>
                <w:sz w:val="21"/>
                <w:szCs w:val="21"/>
              </w:rPr>
            </w:pPr>
            <w:r>
              <w:rPr>
                <w:sz w:val="21"/>
                <w:szCs w:val="21"/>
              </w:rPr>
              <w:t>8.33</w:t>
            </w:r>
          </w:p>
        </w:tc>
        <w:tc>
          <w:tcPr>
            <w:tcW w:w="280" w:type="pct"/>
            <w:vAlign w:val="bottom"/>
          </w:tcPr>
          <w:p>
            <w:pPr>
              <w:spacing w:line="240" w:lineRule="auto"/>
              <w:ind w:firstLine="0" w:firstLineChars="0"/>
              <w:jc w:val="center"/>
              <w:textAlignment w:val="baseline"/>
              <w:rPr>
                <w:spacing w:val="-8"/>
                <w:sz w:val="21"/>
                <w:szCs w:val="21"/>
              </w:rPr>
            </w:pPr>
            <w:r>
              <w:rPr>
                <w:sz w:val="21"/>
                <w:szCs w:val="21"/>
              </w:rPr>
              <w:t>9.17</w:t>
            </w:r>
          </w:p>
        </w:tc>
        <w:tc>
          <w:tcPr>
            <w:tcW w:w="280" w:type="pct"/>
            <w:vAlign w:val="bottom"/>
          </w:tcPr>
          <w:p>
            <w:pPr>
              <w:spacing w:line="240" w:lineRule="auto"/>
              <w:ind w:firstLine="0" w:firstLineChars="0"/>
              <w:jc w:val="center"/>
              <w:textAlignment w:val="baseline"/>
              <w:rPr>
                <w:spacing w:val="-8"/>
                <w:sz w:val="21"/>
                <w:szCs w:val="21"/>
              </w:rPr>
            </w:pPr>
            <w:r>
              <w:rPr>
                <w:sz w:val="21"/>
                <w:szCs w:val="21"/>
              </w:rPr>
              <w:t>1.94</w:t>
            </w:r>
          </w:p>
        </w:tc>
        <w:tc>
          <w:tcPr>
            <w:tcW w:w="236" w:type="pct"/>
            <w:vAlign w:val="bottom"/>
          </w:tcPr>
          <w:p>
            <w:pPr>
              <w:spacing w:line="240" w:lineRule="auto"/>
              <w:ind w:firstLine="0" w:firstLineChars="0"/>
              <w:jc w:val="center"/>
              <w:textAlignment w:val="baseline"/>
              <w:rPr>
                <w:spacing w:val="-8"/>
                <w:sz w:val="21"/>
                <w:szCs w:val="21"/>
              </w:rPr>
            </w:pPr>
            <w:r>
              <w:rPr>
                <w:sz w:val="21"/>
                <w:szCs w:val="21"/>
              </w:rPr>
              <w:t>2.64</w:t>
            </w:r>
          </w:p>
        </w:tc>
        <w:tc>
          <w:tcPr>
            <w:tcW w:w="236" w:type="pct"/>
            <w:vAlign w:val="bottom"/>
          </w:tcPr>
          <w:p>
            <w:pPr>
              <w:spacing w:line="240" w:lineRule="auto"/>
              <w:ind w:firstLine="0" w:firstLineChars="0"/>
              <w:jc w:val="center"/>
              <w:textAlignment w:val="baseline"/>
              <w:rPr>
                <w:spacing w:val="-8"/>
                <w:sz w:val="21"/>
                <w:szCs w:val="21"/>
              </w:rPr>
            </w:pPr>
            <w:r>
              <w:rPr>
                <w:sz w:val="21"/>
                <w:szCs w:val="21"/>
              </w:rPr>
              <w:t>1.25</w:t>
            </w:r>
          </w:p>
        </w:tc>
        <w:tc>
          <w:tcPr>
            <w:tcW w:w="280" w:type="pct"/>
            <w:vAlign w:val="bottom"/>
          </w:tcPr>
          <w:p>
            <w:pPr>
              <w:spacing w:line="240" w:lineRule="auto"/>
              <w:ind w:firstLine="0" w:firstLineChars="0"/>
              <w:jc w:val="center"/>
              <w:textAlignment w:val="baseline"/>
              <w:rPr>
                <w:spacing w:val="-8"/>
                <w:sz w:val="21"/>
                <w:szCs w:val="21"/>
              </w:rPr>
            </w:pPr>
            <w:r>
              <w:rPr>
                <w:sz w:val="21"/>
                <w:szCs w:val="21"/>
              </w:rPr>
              <w:t>4.03</w:t>
            </w:r>
          </w:p>
        </w:tc>
        <w:tc>
          <w:tcPr>
            <w:tcW w:w="280" w:type="pct"/>
            <w:vAlign w:val="bottom"/>
          </w:tcPr>
          <w:p>
            <w:pPr>
              <w:spacing w:line="240" w:lineRule="auto"/>
              <w:ind w:firstLine="0" w:firstLineChars="0"/>
              <w:jc w:val="center"/>
              <w:textAlignment w:val="baseline"/>
              <w:rPr>
                <w:spacing w:val="-8"/>
                <w:sz w:val="21"/>
                <w:szCs w:val="21"/>
              </w:rPr>
            </w:pPr>
            <w:r>
              <w:rPr>
                <w:sz w:val="21"/>
                <w:szCs w:val="21"/>
              </w:rPr>
              <w:t>7.22</w:t>
            </w:r>
          </w:p>
        </w:tc>
        <w:tc>
          <w:tcPr>
            <w:tcW w:w="280" w:type="pct"/>
            <w:vAlign w:val="bottom"/>
          </w:tcPr>
          <w:p>
            <w:pPr>
              <w:spacing w:line="240" w:lineRule="auto"/>
              <w:ind w:firstLine="0" w:firstLineChars="0"/>
              <w:jc w:val="center"/>
              <w:textAlignment w:val="baseline"/>
              <w:rPr>
                <w:spacing w:val="-8"/>
                <w:sz w:val="21"/>
                <w:szCs w:val="21"/>
              </w:rPr>
            </w:pPr>
            <w:r>
              <w:rPr>
                <w:sz w:val="21"/>
                <w:szCs w:val="21"/>
              </w:rPr>
              <w:t>12.22</w:t>
            </w:r>
          </w:p>
        </w:tc>
        <w:tc>
          <w:tcPr>
            <w:tcW w:w="288" w:type="pct"/>
            <w:vAlign w:val="bottom"/>
          </w:tcPr>
          <w:p>
            <w:pPr>
              <w:spacing w:line="240" w:lineRule="auto"/>
              <w:ind w:firstLine="0" w:firstLineChars="0"/>
              <w:jc w:val="center"/>
              <w:textAlignment w:val="baseline"/>
              <w:rPr>
                <w:spacing w:val="-8"/>
                <w:sz w:val="21"/>
                <w:szCs w:val="21"/>
              </w:rPr>
            </w:pPr>
            <w:r>
              <w:rPr>
                <w:sz w:val="21"/>
                <w:szCs w:val="21"/>
              </w:rPr>
              <w:t>3.06</w:t>
            </w:r>
          </w:p>
        </w:tc>
        <w:tc>
          <w:tcPr>
            <w:tcW w:w="236" w:type="pct"/>
            <w:vAlign w:val="bottom"/>
          </w:tcPr>
          <w:p>
            <w:pPr>
              <w:spacing w:line="240" w:lineRule="auto"/>
              <w:ind w:firstLine="0" w:firstLineChars="0"/>
              <w:jc w:val="center"/>
              <w:textAlignment w:val="baseline"/>
              <w:rPr>
                <w:spacing w:val="-8"/>
                <w:sz w:val="21"/>
                <w:szCs w:val="21"/>
              </w:rPr>
            </w:pPr>
            <w:r>
              <w:rPr>
                <w:sz w:val="21"/>
                <w:szCs w:val="21"/>
              </w:rPr>
              <w:t>2.78</w:t>
            </w:r>
          </w:p>
        </w:tc>
        <w:tc>
          <w:tcPr>
            <w:tcW w:w="303" w:type="pct"/>
            <w:vAlign w:val="bottom"/>
          </w:tcPr>
          <w:p>
            <w:pPr>
              <w:spacing w:line="240" w:lineRule="auto"/>
              <w:ind w:firstLine="0" w:firstLineChars="0"/>
              <w:jc w:val="center"/>
              <w:textAlignment w:val="baseline"/>
              <w:rPr>
                <w:spacing w:val="-8"/>
                <w:sz w:val="21"/>
                <w:szCs w:val="21"/>
              </w:rPr>
            </w:pPr>
            <w:r>
              <w:rPr>
                <w:sz w:val="21"/>
                <w:szCs w:val="21"/>
              </w:rPr>
              <w:t>1.11</w:t>
            </w:r>
          </w:p>
        </w:tc>
        <w:tc>
          <w:tcPr>
            <w:tcW w:w="236" w:type="pct"/>
            <w:vAlign w:val="bottom"/>
          </w:tcPr>
          <w:p>
            <w:pPr>
              <w:spacing w:line="240" w:lineRule="auto"/>
              <w:ind w:firstLine="0" w:firstLineChars="0"/>
              <w:jc w:val="center"/>
              <w:textAlignment w:val="baseline"/>
              <w:rPr>
                <w:spacing w:val="-8"/>
                <w:sz w:val="21"/>
                <w:szCs w:val="21"/>
              </w:rPr>
            </w:pPr>
            <w:r>
              <w:rPr>
                <w:sz w:val="21"/>
                <w:szCs w:val="21"/>
              </w:rPr>
              <w:t>1.81</w:t>
            </w:r>
          </w:p>
        </w:tc>
        <w:tc>
          <w:tcPr>
            <w:tcW w:w="285" w:type="pct"/>
            <w:vAlign w:val="bottom"/>
          </w:tcPr>
          <w:p>
            <w:pPr>
              <w:spacing w:line="240" w:lineRule="auto"/>
              <w:ind w:firstLine="0" w:firstLineChars="0"/>
              <w:jc w:val="center"/>
              <w:textAlignment w:val="baseline"/>
              <w:rPr>
                <w:spacing w:val="-8"/>
                <w:sz w:val="21"/>
                <w:szCs w:val="21"/>
              </w:rPr>
            </w:pPr>
            <w:r>
              <w:rPr>
                <w:sz w:val="21"/>
                <w:szCs w:val="21"/>
              </w:rPr>
              <w:t>2.64</w:t>
            </w:r>
          </w:p>
        </w:tc>
        <w:tc>
          <w:tcPr>
            <w:tcW w:w="234" w:type="pct"/>
            <w:vAlign w:val="bottom"/>
          </w:tcPr>
          <w:p>
            <w:pPr>
              <w:spacing w:line="240" w:lineRule="auto"/>
              <w:ind w:firstLine="0" w:firstLineChars="0"/>
              <w:jc w:val="center"/>
              <w:textAlignment w:val="baseline"/>
              <w:rPr>
                <w:spacing w:val="-8"/>
                <w:sz w:val="21"/>
                <w:szCs w:val="21"/>
              </w:rPr>
            </w:pPr>
            <w:r>
              <w:rPr>
                <w:sz w:val="21"/>
                <w:szCs w:val="21"/>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五月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6.85</w:t>
            </w:r>
          </w:p>
        </w:tc>
        <w:tc>
          <w:tcPr>
            <w:tcW w:w="255" w:type="pct"/>
            <w:vAlign w:val="bottom"/>
          </w:tcPr>
          <w:p>
            <w:pPr>
              <w:spacing w:line="240" w:lineRule="auto"/>
              <w:ind w:firstLine="0" w:firstLineChars="0"/>
              <w:jc w:val="center"/>
              <w:textAlignment w:val="baseline"/>
              <w:rPr>
                <w:spacing w:val="-8"/>
                <w:sz w:val="21"/>
                <w:szCs w:val="21"/>
              </w:rPr>
            </w:pPr>
            <w:r>
              <w:rPr>
                <w:sz w:val="21"/>
                <w:szCs w:val="21"/>
              </w:rPr>
              <w:t>14.52</w:t>
            </w:r>
          </w:p>
        </w:tc>
        <w:tc>
          <w:tcPr>
            <w:tcW w:w="279" w:type="pct"/>
            <w:vAlign w:val="bottom"/>
          </w:tcPr>
          <w:p>
            <w:pPr>
              <w:spacing w:line="240" w:lineRule="auto"/>
              <w:ind w:firstLine="0" w:firstLineChars="0"/>
              <w:jc w:val="center"/>
              <w:textAlignment w:val="baseline"/>
              <w:rPr>
                <w:spacing w:val="-8"/>
                <w:sz w:val="21"/>
                <w:szCs w:val="21"/>
              </w:rPr>
            </w:pPr>
            <w:r>
              <w:rPr>
                <w:sz w:val="21"/>
                <w:szCs w:val="21"/>
              </w:rPr>
              <w:t>9.41</w:t>
            </w:r>
          </w:p>
        </w:tc>
        <w:tc>
          <w:tcPr>
            <w:tcW w:w="280" w:type="pct"/>
            <w:vAlign w:val="bottom"/>
          </w:tcPr>
          <w:p>
            <w:pPr>
              <w:spacing w:line="240" w:lineRule="auto"/>
              <w:ind w:firstLine="0" w:firstLineChars="0"/>
              <w:jc w:val="center"/>
              <w:textAlignment w:val="baseline"/>
              <w:rPr>
                <w:spacing w:val="-8"/>
                <w:sz w:val="21"/>
                <w:szCs w:val="21"/>
              </w:rPr>
            </w:pPr>
            <w:r>
              <w:rPr>
                <w:sz w:val="21"/>
                <w:szCs w:val="21"/>
              </w:rPr>
              <w:t>6.18</w:t>
            </w:r>
          </w:p>
        </w:tc>
        <w:tc>
          <w:tcPr>
            <w:tcW w:w="280" w:type="pct"/>
            <w:vAlign w:val="bottom"/>
          </w:tcPr>
          <w:p>
            <w:pPr>
              <w:spacing w:line="240" w:lineRule="auto"/>
              <w:ind w:firstLine="0" w:firstLineChars="0"/>
              <w:jc w:val="center"/>
              <w:textAlignment w:val="baseline"/>
              <w:rPr>
                <w:spacing w:val="-8"/>
                <w:sz w:val="21"/>
                <w:szCs w:val="21"/>
              </w:rPr>
            </w:pPr>
            <w:r>
              <w:rPr>
                <w:sz w:val="21"/>
                <w:szCs w:val="21"/>
              </w:rPr>
              <w:t>9.95</w:t>
            </w:r>
          </w:p>
        </w:tc>
        <w:tc>
          <w:tcPr>
            <w:tcW w:w="280" w:type="pct"/>
            <w:vAlign w:val="bottom"/>
          </w:tcPr>
          <w:p>
            <w:pPr>
              <w:spacing w:line="240" w:lineRule="auto"/>
              <w:ind w:firstLine="0" w:firstLineChars="0"/>
              <w:jc w:val="center"/>
              <w:textAlignment w:val="baseline"/>
              <w:rPr>
                <w:spacing w:val="-8"/>
                <w:sz w:val="21"/>
                <w:szCs w:val="21"/>
              </w:rPr>
            </w:pPr>
            <w:r>
              <w:rPr>
                <w:sz w:val="21"/>
                <w:szCs w:val="21"/>
              </w:rPr>
              <w:t>6.18</w:t>
            </w:r>
          </w:p>
        </w:tc>
        <w:tc>
          <w:tcPr>
            <w:tcW w:w="236" w:type="pct"/>
            <w:vAlign w:val="bottom"/>
          </w:tcPr>
          <w:p>
            <w:pPr>
              <w:spacing w:line="240" w:lineRule="auto"/>
              <w:ind w:firstLine="0" w:firstLineChars="0"/>
              <w:jc w:val="center"/>
              <w:textAlignment w:val="baseline"/>
              <w:rPr>
                <w:spacing w:val="-8"/>
                <w:sz w:val="21"/>
                <w:szCs w:val="21"/>
              </w:rPr>
            </w:pPr>
            <w:r>
              <w:rPr>
                <w:sz w:val="21"/>
                <w:szCs w:val="21"/>
              </w:rPr>
              <w:t>3.63</w:t>
            </w:r>
          </w:p>
        </w:tc>
        <w:tc>
          <w:tcPr>
            <w:tcW w:w="236" w:type="pct"/>
            <w:vAlign w:val="bottom"/>
          </w:tcPr>
          <w:p>
            <w:pPr>
              <w:spacing w:line="240" w:lineRule="auto"/>
              <w:ind w:firstLine="0" w:firstLineChars="0"/>
              <w:jc w:val="center"/>
              <w:textAlignment w:val="baseline"/>
              <w:rPr>
                <w:spacing w:val="-8"/>
                <w:sz w:val="21"/>
                <w:szCs w:val="21"/>
              </w:rPr>
            </w:pPr>
            <w:r>
              <w:rPr>
                <w:sz w:val="21"/>
                <w:szCs w:val="21"/>
              </w:rPr>
              <w:t>2.69</w:t>
            </w:r>
          </w:p>
        </w:tc>
        <w:tc>
          <w:tcPr>
            <w:tcW w:w="280" w:type="pct"/>
            <w:vAlign w:val="bottom"/>
          </w:tcPr>
          <w:p>
            <w:pPr>
              <w:spacing w:line="240" w:lineRule="auto"/>
              <w:ind w:firstLine="0" w:firstLineChars="0"/>
              <w:jc w:val="center"/>
              <w:textAlignment w:val="baseline"/>
              <w:rPr>
                <w:spacing w:val="-8"/>
                <w:sz w:val="21"/>
                <w:szCs w:val="21"/>
              </w:rPr>
            </w:pPr>
            <w:r>
              <w:rPr>
                <w:sz w:val="21"/>
                <w:szCs w:val="21"/>
              </w:rPr>
              <w:t>3.36</w:t>
            </w:r>
          </w:p>
        </w:tc>
        <w:tc>
          <w:tcPr>
            <w:tcW w:w="280" w:type="pct"/>
            <w:vAlign w:val="bottom"/>
          </w:tcPr>
          <w:p>
            <w:pPr>
              <w:spacing w:line="240" w:lineRule="auto"/>
              <w:ind w:firstLine="0" w:firstLineChars="0"/>
              <w:jc w:val="center"/>
              <w:textAlignment w:val="baseline"/>
              <w:rPr>
                <w:spacing w:val="-8"/>
                <w:sz w:val="21"/>
                <w:szCs w:val="21"/>
              </w:rPr>
            </w:pPr>
            <w:r>
              <w:rPr>
                <w:sz w:val="21"/>
                <w:szCs w:val="21"/>
              </w:rPr>
              <w:t>8.60</w:t>
            </w:r>
          </w:p>
        </w:tc>
        <w:tc>
          <w:tcPr>
            <w:tcW w:w="280" w:type="pct"/>
            <w:vAlign w:val="bottom"/>
          </w:tcPr>
          <w:p>
            <w:pPr>
              <w:spacing w:line="240" w:lineRule="auto"/>
              <w:ind w:firstLine="0" w:firstLineChars="0"/>
              <w:jc w:val="center"/>
              <w:textAlignment w:val="baseline"/>
              <w:rPr>
                <w:spacing w:val="-8"/>
                <w:sz w:val="21"/>
                <w:szCs w:val="21"/>
              </w:rPr>
            </w:pPr>
            <w:r>
              <w:rPr>
                <w:sz w:val="21"/>
                <w:szCs w:val="21"/>
              </w:rPr>
              <w:t>11.69</w:t>
            </w:r>
          </w:p>
        </w:tc>
        <w:tc>
          <w:tcPr>
            <w:tcW w:w="288" w:type="pct"/>
            <w:vAlign w:val="bottom"/>
          </w:tcPr>
          <w:p>
            <w:pPr>
              <w:spacing w:line="240" w:lineRule="auto"/>
              <w:ind w:firstLine="0" w:firstLineChars="0"/>
              <w:jc w:val="center"/>
              <w:textAlignment w:val="baseline"/>
              <w:rPr>
                <w:spacing w:val="-8"/>
                <w:sz w:val="21"/>
                <w:szCs w:val="21"/>
              </w:rPr>
            </w:pPr>
            <w:r>
              <w:rPr>
                <w:sz w:val="21"/>
                <w:szCs w:val="21"/>
              </w:rPr>
              <w:t>4.84</w:t>
            </w:r>
          </w:p>
        </w:tc>
        <w:tc>
          <w:tcPr>
            <w:tcW w:w="236" w:type="pct"/>
            <w:vAlign w:val="bottom"/>
          </w:tcPr>
          <w:p>
            <w:pPr>
              <w:spacing w:line="240" w:lineRule="auto"/>
              <w:ind w:firstLine="0" w:firstLineChars="0"/>
              <w:jc w:val="center"/>
              <w:textAlignment w:val="baseline"/>
              <w:rPr>
                <w:spacing w:val="-8"/>
                <w:sz w:val="21"/>
                <w:szCs w:val="21"/>
              </w:rPr>
            </w:pPr>
            <w:r>
              <w:rPr>
                <w:sz w:val="21"/>
                <w:szCs w:val="21"/>
              </w:rPr>
              <w:t>3.49</w:t>
            </w:r>
          </w:p>
        </w:tc>
        <w:tc>
          <w:tcPr>
            <w:tcW w:w="303" w:type="pct"/>
            <w:vAlign w:val="bottom"/>
          </w:tcPr>
          <w:p>
            <w:pPr>
              <w:spacing w:line="240" w:lineRule="auto"/>
              <w:ind w:firstLine="0" w:firstLineChars="0"/>
              <w:jc w:val="center"/>
              <w:textAlignment w:val="baseline"/>
              <w:rPr>
                <w:spacing w:val="-8"/>
                <w:sz w:val="21"/>
                <w:szCs w:val="21"/>
              </w:rPr>
            </w:pPr>
            <w:r>
              <w:rPr>
                <w:sz w:val="21"/>
                <w:szCs w:val="21"/>
              </w:rPr>
              <w:t>1.08</w:t>
            </w:r>
          </w:p>
        </w:tc>
        <w:tc>
          <w:tcPr>
            <w:tcW w:w="236" w:type="pct"/>
            <w:vAlign w:val="bottom"/>
          </w:tcPr>
          <w:p>
            <w:pPr>
              <w:spacing w:line="240" w:lineRule="auto"/>
              <w:ind w:firstLine="0" w:firstLineChars="0"/>
              <w:jc w:val="center"/>
              <w:textAlignment w:val="baseline"/>
              <w:rPr>
                <w:spacing w:val="-8"/>
                <w:sz w:val="21"/>
                <w:szCs w:val="21"/>
              </w:rPr>
            </w:pPr>
            <w:r>
              <w:rPr>
                <w:sz w:val="21"/>
                <w:szCs w:val="21"/>
              </w:rPr>
              <w:t>2.69</w:t>
            </w:r>
          </w:p>
        </w:tc>
        <w:tc>
          <w:tcPr>
            <w:tcW w:w="285" w:type="pct"/>
            <w:vAlign w:val="bottom"/>
          </w:tcPr>
          <w:p>
            <w:pPr>
              <w:spacing w:line="240" w:lineRule="auto"/>
              <w:ind w:firstLine="0" w:firstLineChars="0"/>
              <w:jc w:val="center"/>
              <w:textAlignment w:val="baseline"/>
              <w:rPr>
                <w:spacing w:val="-8"/>
                <w:sz w:val="21"/>
                <w:szCs w:val="21"/>
              </w:rPr>
            </w:pPr>
            <w:r>
              <w:rPr>
                <w:sz w:val="21"/>
                <w:szCs w:val="21"/>
              </w:rPr>
              <w:t>4.84</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六月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7.36</w:t>
            </w:r>
          </w:p>
        </w:tc>
        <w:tc>
          <w:tcPr>
            <w:tcW w:w="255" w:type="pct"/>
            <w:vAlign w:val="bottom"/>
          </w:tcPr>
          <w:p>
            <w:pPr>
              <w:spacing w:line="240" w:lineRule="auto"/>
              <w:ind w:firstLine="0" w:firstLineChars="0"/>
              <w:jc w:val="center"/>
              <w:textAlignment w:val="baseline"/>
              <w:rPr>
                <w:spacing w:val="-8"/>
                <w:sz w:val="21"/>
                <w:szCs w:val="21"/>
              </w:rPr>
            </w:pPr>
            <w:r>
              <w:rPr>
                <w:sz w:val="21"/>
                <w:szCs w:val="21"/>
              </w:rPr>
              <w:t>8.47</w:t>
            </w:r>
          </w:p>
        </w:tc>
        <w:tc>
          <w:tcPr>
            <w:tcW w:w="279" w:type="pct"/>
            <w:vAlign w:val="bottom"/>
          </w:tcPr>
          <w:p>
            <w:pPr>
              <w:spacing w:line="240" w:lineRule="auto"/>
              <w:ind w:firstLine="0" w:firstLineChars="0"/>
              <w:jc w:val="center"/>
              <w:textAlignment w:val="baseline"/>
              <w:rPr>
                <w:spacing w:val="-8"/>
                <w:sz w:val="21"/>
                <w:szCs w:val="21"/>
              </w:rPr>
            </w:pPr>
            <w:r>
              <w:rPr>
                <w:sz w:val="21"/>
                <w:szCs w:val="21"/>
              </w:rPr>
              <w:t>5.97</w:t>
            </w:r>
          </w:p>
        </w:tc>
        <w:tc>
          <w:tcPr>
            <w:tcW w:w="280" w:type="pct"/>
            <w:vAlign w:val="bottom"/>
          </w:tcPr>
          <w:p>
            <w:pPr>
              <w:spacing w:line="240" w:lineRule="auto"/>
              <w:ind w:firstLine="0" w:firstLineChars="0"/>
              <w:jc w:val="center"/>
              <w:textAlignment w:val="baseline"/>
              <w:rPr>
                <w:spacing w:val="-8"/>
                <w:sz w:val="21"/>
                <w:szCs w:val="21"/>
              </w:rPr>
            </w:pPr>
            <w:r>
              <w:rPr>
                <w:sz w:val="21"/>
                <w:szCs w:val="21"/>
              </w:rPr>
              <w:t>6.11</w:t>
            </w:r>
          </w:p>
        </w:tc>
        <w:tc>
          <w:tcPr>
            <w:tcW w:w="280" w:type="pct"/>
            <w:vAlign w:val="bottom"/>
          </w:tcPr>
          <w:p>
            <w:pPr>
              <w:spacing w:line="240" w:lineRule="auto"/>
              <w:ind w:firstLine="0" w:firstLineChars="0"/>
              <w:jc w:val="center"/>
              <w:textAlignment w:val="baseline"/>
              <w:rPr>
                <w:spacing w:val="-8"/>
                <w:sz w:val="21"/>
                <w:szCs w:val="21"/>
              </w:rPr>
            </w:pPr>
            <w:r>
              <w:rPr>
                <w:sz w:val="21"/>
                <w:szCs w:val="21"/>
              </w:rPr>
              <w:t>5.69</w:t>
            </w:r>
          </w:p>
        </w:tc>
        <w:tc>
          <w:tcPr>
            <w:tcW w:w="280" w:type="pct"/>
            <w:vAlign w:val="bottom"/>
          </w:tcPr>
          <w:p>
            <w:pPr>
              <w:spacing w:line="240" w:lineRule="auto"/>
              <w:ind w:firstLine="0" w:firstLineChars="0"/>
              <w:jc w:val="center"/>
              <w:textAlignment w:val="baseline"/>
              <w:rPr>
                <w:spacing w:val="-8"/>
                <w:sz w:val="21"/>
                <w:szCs w:val="21"/>
              </w:rPr>
            </w:pPr>
            <w:r>
              <w:rPr>
                <w:sz w:val="21"/>
                <w:szCs w:val="21"/>
              </w:rPr>
              <w:t>7.36</w:t>
            </w:r>
          </w:p>
        </w:tc>
        <w:tc>
          <w:tcPr>
            <w:tcW w:w="236" w:type="pct"/>
            <w:vAlign w:val="bottom"/>
          </w:tcPr>
          <w:p>
            <w:pPr>
              <w:spacing w:line="240" w:lineRule="auto"/>
              <w:ind w:firstLine="0" w:firstLineChars="0"/>
              <w:jc w:val="center"/>
              <w:textAlignment w:val="baseline"/>
              <w:rPr>
                <w:spacing w:val="-8"/>
                <w:sz w:val="21"/>
                <w:szCs w:val="21"/>
              </w:rPr>
            </w:pPr>
            <w:r>
              <w:rPr>
                <w:sz w:val="21"/>
                <w:szCs w:val="21"/>
              </w:rPr>
              <w:t>3.61</w:t>
            </w:r>
          </w:p>
        </w:tc>
        <w:tc>
          <w:tcPr>
            <w:tcW w:w="236" w:type="pct"/>
            <w:vAlign w:val="bottom"/>
          </w:tcPr>
          <w:p>
            <w:pPr>
              <w:spacing w:line="240" w:lineRule="auto"/>
              <w:ind w:firstLine="0" w:firstLineChars="0"/>
              <w:jc w:val="center"/>
              <w:textAlignment w:val="baseline"/>
              <w:rPr>
                <w:spacing w:val="-8"/>
                <w:sz w:val="21"/>
                <w:szCs w:val="21"/>
              </w:rPr>
            </w:pPr>
            <w:r>
              <w:rPr>
                <w:sz w:val="21"/>
                <w:szCs w:val="21"/>
              </w:rPr>
              <w:t>2.22</w:t>
            </w:r>
          </w:p>
        </w:tc>
        <w:tc>
          <w:tcPr>
            <w:tcW w:w="280" w:type="pct"/>
            <w:vAlign w:val="bottom"/>
          </w:tcPr>
          <w:p>
            <w:pPr>
              <w:spacing w:line="240" w:lineRule="auto"/>
              <w:ind w:firstLine="0" w:firstLineChars="0"/>
              <w:jc w:val="center"/>
              <w:textAlignment w:val="baseline"/>
              <w:rPr>
                <w:spacing w:val="-8"/>
                <w:sz w:val="21"/>
                <w:szCs w:val="21"/>
              </w:rPr>
            </w:pPr>
            <w:r>
              <w:rPr>
                <w:sz w:val="21"/>
                <w:szCs w:val="21"/>
              </w:rPr>
              <w:t>6.81</w:t>
            </w:r>
          </w:p>
        </w:tc>
        <w:tc>
          <w:tcPr>
            <w:tcW w:w="280" w:type="pct"/>
            <w:vAlign w:val="bottom"/>
          </w:tcPr>
          <w:p>
            <w:pPr>
              <w:spacing w:line="240" w:lineRule="auto"/>
              <w:ind w:firstLine="0" w:firstLineChars="0"/>
              <w:jc w:val="center"/>
              <w:textAlignment w:val="baseline"/>
              <w:rPr>
                <w:spacing w:val="-8"/>
                <w:sz w:val="21"/>
                <w:szCs w:val="21"/>
              </w:rPr>
            </w:pPr>
            <w:r>
              <w:rPr>
                <w:sz w:val="21"/>
                <w:szCs w:val="21"/>
              </w:rPr>
              <w:t>9.72</w:t>
            </w:r>
          </w:p>
        </w:tc>
        <w:tc>
          <w:tcPr>
            <w:tcW w:w="280" w:type="pct"/>
            <w:vAlign w:val="bottom"/>
          </w:tcPr>
          <w:p>
            <w:pPr>
              <w:spacing w:line="240" w:lineRule="auto"/>
              <w:ind w:firstLine="0" w:firstLineChars="0"/>
              <w:jc w:val="center"/>
              <w:textAlignment w:val="baseline"/>
              <w:rPr>
                <w:spacing w:val="-8"/>
                <w:sz w:val="21"/>
                <w:szCs w:val="21"/>
              </w:rPr>
            </w:pPr>
            <w:r>
              <w:rPr>
                <w:sz w:val="21"/>
                <w:szCs w:val="21"/>
              </w:rPr>
              <w:t>17.64</w:t>
            </w:r>
          </w:p>
        </w:tc>
        <w:tc>
          <w:tcPr>
            <w:tcW w:w="288" w:type="pct"/>
            <w:vAlign w:val="bottom"/>
          </w:tcPr>
          <w:p>
            <w:pPr>
              <w:spacing w:line="240" w:lineRule="auto"/>
              <w:ind w:firstLine="0" w:firstLineChars="0"/>
              <w:jc w:val="center"/>
              <w:textAlignment w:val="baseline"/>
              <w:rPr>
                <w:spacing w:val="-8"/>
                <w:sz w:val="21"/>
                <w:szCs w:val="21"/>
              </w:rPr>
            </w:pPr>
            <w:r>
              <w:rPr>
                <w:sz w:val="21"/>
                <w:szCs w:val="21"/>
              </w:rPr>
              <w:t>6.25</w:t>
            </w:r>
          </w:p>
        </w:tc>
        <w:tc>
          <w:tcPr>
            <w:tcW w:w="236" w:type="pct"/>
            <w:vAlign w:val="bottom"/>
          </w:tcPr>
          <w:p>
            <w:pPr>
              <w:spacing w:line="240" w:lineRule="auto"/>
              <w:ind w:firstLine="0" w:firstLineChars="0"/>
              <w:jc w:val="center"/>
              <w:textAlignment w:val="baseline"/>
              <w:rPr>
                <w:spacing w:val="-8"/>
                <w:sz w:val="21"/>
                <w:szCs w:val="21"/>
              </w:rPr>
            </w:pPr>
            <w:r>
              <w:rPr>
                <w:sz w:val="21"/>
                <w:szCs w:val="21"/>
              </w:rPr>
              <w:t>4.44</w:t>
            </w:r>
          </w:p>
        </w:tc>
        <w:tc>
          <w:tcPr>
            <w:tcW w:w="303" w:type="pct"/>
            <w:vAlign w:val="bottom"/>
          </w:tcPr>
          <w:p>
            <w:pPr>
              <w:spacing w:line="240" w:lineRule="auto"/>
              <w:ind w:firstLine="0" w:firstLineChars="0"/>
              <w:jc w:val="center"/>
              <w:textAlignment w:val="baseline"/>
              <w:rPr>
                <w:spacing w:val="-8"/>
                <w:sz w:val="21"/>
                <w:szCs w:val="21"/>
              </w:rPr>
            </w:pPr>
            <w:r>
              <w:rPr>
                <w:sz w:val="21"/>
                <w:szCs w:val="21"/>
              </w:rPr>
              <w:t>2.78</w:t>
            </w:r>
          </w:p>
        </w:tc>
        <w:tc>
          <w:tcPr>
            <w:tcW w:w="236" w:type="pct"/>
            <w:vAlign w:val="bottom"/>
          </w:tcPr>
          <w:p>
            <w:pPr>
              <w:spacing w:line="240" w:lineRule="auto"/>
              <w:ind w:firstLine="0" w:firstLineChars="0"/>
              <w:jc w:val="center"/>
              <w:textAlignment w:val="baseline"/>
              <w:rPr>
                <w:spacing w:val="-8"/>
                <w:sz w:val="21"/>
                <w:szCs w:val="21"/>
              </w:rPr>
            </w:pPr>
            <w:r>
              <w:rPr>
                <w:sz w:val="21"/>
                <w:szCs w:val="21"/>
              </w:rPr>
              <w:t>1.81</w:t>
            </w:r>
          </w:p>
        </w:tc>
        <w:tc>
          <w:tcPr>
            <w:tcW w:w="285" w:type="pct"/>
            <w:vAlign w:val="bottom"/>
          </w:tcPr>
          <w:p>
            <w:pPr>
              <w:spacing w:line="240" w:lineRule="auto"/>
              <w:ind w:firstLine="0" w:firstLineChars="0"/>
              <w:jc w:val="center"/>
              <w:textAlignment w:val="baseline"/>
              <w:rPr>
                <w:spacing w:val="-8"/>
                <w:sz w:val="21"/>
                <w:szCs w:val="21"/>
              </w:rPr>
            </w:pPr>
            <w:r>
              <w:rPr>
                <w:sz w:val="21"/>
                <w:szCs w:val="21"/>
              </w:rPr>
              <w:t>3.75</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七月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4.97</w:t>
            </w:r>
          </w:p>
        </w:tc>
        <w:tc>
          <w:tcPr>
            <w:tcW w:w="255" w:type="pct"/>
            <w:vAlign w:val="bottom"/>
          </w:tcPr>
          <w:p>
            <w:pPr>
              <w:spacing w:line="240" w:lineRule="auto"/>
              <w:ind w:firstLine="0" w:firstLineChars="0"/>
              <w:jc w:val="center"/>
              <w:textAlignment w:val="baseline"/>
              <w:rPr>
                <w:spacing w:val="-8"/>
                <w:sz w:val="21"/>
                <w:szCs w:val="21"/>
              </w:rPr>
            </w:pPr>
            <w:r>
              <w:rPr>
                <w:sz w:val="21"/>
                <w:szCs w:val="21"/>
              </w:rPr>
              <w:t>10.48</w:t>
            </w:r>
          </w:p>
        </w:tc>
        <w:tc>
          <w:tcPr>
            <w:tcW w:w="279" w:type="pct"/>
            <w:vAlign w:val="bottom"/>
          </w:tcPr>
          <w:p>
            <w:pPr>
              <w:spacing w:line="240" w:lineRule="auto"/>
              <w:ind w:firstLine="0" w:firstLineChars="0"/>
              <w:jc w:val="center"/>
              <w:textAlignment w:val="baseline"/>
              <w:rPr>
                <w:spacing w:val="-8"/>
                <w:sz w:val="21"/>
                <w:szCs w:val="21"/>
              </w:rPr>
            </w:pPr>
            <w:r>
              <w:rPr>
                <w:sz w:val="21"/>
                <w:szCs w:val="21"/>
              </w:rPr>
              <w:t>6.59</w:t>
            </w:r>
          </w:p>
        </w:tc>
        <w:tc>
          <w:tcPr>
            <w:tcW w:w="280" w:type="pct"/>
            <w:vAlign w:val="bottom"/>
          </w:tcPr>
          <w:p>
            <w:pPr>
              <w:spacing w:line="240" w:lineRule="auto"/>
              <w:ind w:firstLine="0" w:firstLineChars="0"/>
              <w:jc w:val="center"/>
              <w:textAlignment w:val="baseline"/>
              <w:rPr>
                <w:spacing w:val="-8"/>
                <w:sz w:val="21"/>
                <w:szCs w:val="21"/>
              </w:rPr>
            </w:pPr>
            <w:r>
              <w:rPr>
                <w:sz w:val="21"/>
                <w:szCs w:val="21"/>
              </w:rPr>
              <w:t>7.26</w:t>
            </w:r>
          </w:p>
        </w:tc>
        <w:tc>
          <w:tcPr>
            <w:tcW w:w="280" w:type="pct"/>
            <w:vAlign w:val="bottom"/>
          </w:tcPr>
          <w:p>
            <w:pPr>
              <w:spacing w:line="240" w:lineRule="auto"/>
              <w:ind w:firstLine="0" w:firstLineChars="0"/>
              <w:jc w:val="center"/>
              <w:textAlignment w:val="baseline"/>
              <w:rPr>
                <w:spacing w:val="-8"/>
                <w:sz w:val="21"/>
                <w:szCs w:val="21"/>
              </w:rPr>
            </w:pPr>
            <w:r>
              <w:rPr>
                <w:sz w:val="21"/>
                <w:szCs w:val="21"/>
              </w:rPr>
              <w:t>10.75</w:t>
            </w:r>
          </w:p>
        </w:tc>
        <w:tc>
          <w:tcPr>
            <w:tcW w:w="280" w:type="pct"/>
            <w:vAlign w:val="bottom"/>
          </w:tcPr>
          <w:p>
            <w:pPr>
              <w:spacing w:line="240" w:lineRule="auto"/>
              <w:ind w:firstLine="0" w:firstLineChars="0"/>
              <w:jc w:val="center"/>
              <w:textAlignment w:val="baseline"/>
              <w:rPr>
                <w:spacing w:val="-8"/>
                <w:sz w:val="21"/>
                <w:szCs w:val="21"/>
              </w:rPr>
            </w:pPr>
            <w:r>
              <w:rPr>
                <w:sz w:val="21"/>
                <w:szCs w:val="21"/>
              </w:rPr>
              <w:t>6.99</w:t>
            </w:r>
          </w:p>
        </w:tc>
        <w:tc>
          <w:tcPr>
            <w:tcW w:w="236" w:type="pct"/>
            <w:vAlign w:val="bottom"/>
          </w:tcPr>
          <w:p>
            <w:pPr>
              <w:spacing w:line="240" w:lineRule="auto"/>
              <w:ind w:firstLine="0" w:firstLineChars="0"/>
              <w:jc w:val="center"/>
              <w:textAlignment w:val="baseline"/>
              <w:rPr>
                <w:spacing w:val="-8"/>
                <w:sz w:val="21"/>
                <w:szCs w:val="21"/>
              </w:rPr>
            </w:pPr>
            <w:r>
              <w:rPr>
                <w:sz w:val="21"/>
                <w:szCs w:val="21"/>
              </w:rPr>
              <w:t>6.05</w:t>
            </w:r>
          </w:p>
        </w:tc>
        <w:tc>
          <w:tcPr>
            <w:tcW w:w="236" w:type="pct"/>
            <w:vAlign w:val="bottom"/>
          </w:tcPr>
          <w:p>
            <w:pPr>
              <w:spacing w:line="240" w:lineRule="auto"/>
              <w:ind w:firstLine="0" w:firstLineChars="0"/>
              <w:jc w:val="center"/>
              <w:textAlignment w:val="baseline"/>
              <w:rPr>
                <w:spacing w:val="-8"/>
                <w:sz w:val="21"/>
                <w:szCs w:val="21"/>
              </w:rPr>
            </w:pPr>
            <w:r>
              <w:rPr>
                <w:sz w:val="21"/>
                <w:szCs w:val="21"/>
              </w:rPr>
              <w:t>6.59</w:t>
            </w:r>
          </w:p>
        </w:tc>
        <w:tc>
          <w:tcPr>
            <w:tcW w:w="280" w:type="pct"/>
            <w:vAlign w:val="bottom"/>
          </w:tcPr>
          <w:p>
            <w:pPr>
              <w:spacing w:line="240" w:lineRule="auto"/>
              <w:ind w:firstLine="0" w:firstLineChars="0"/>
              <w:jc w:val="center"/>
              <w:textAlignment w:val="baseline"/>
              <w:rPr>
                <w:spacing w:val="-8"/>
                <w:sz w:val="21"/>
                <w:szCs w:val="21"/>
              </w:rPr>
            </w:pPr>
            <w:r>
              <w:rPr>
                <w:sz w:val="21"/>
                <w:szCs w:val="21"/>
              </w:rPr>
              <w:t>4.70</w:t>
            </w:r>
          </w:p>
        </w:tc>
        <w:tc>
          <w:tcPr>
            <w:tcW w:w="280" w:type="pct"/>
            <w:vAlign w:val="bottom"/>
          </w:tcPr>
          <w:p>
            <w:pPr>
              <w:spacing w:line="240" w:lineRule="auto"/>
              <w:ind w:firstLine="0" w:firstLineChars="0"/>
              <w:jc w:val="center"/>
              <w:textAlignment w:val="baseline"/>
              <w:rPr>
                <w:spacing w:val="-8"/>
                <w:sz w:val="21"/>
                <w:szCs w:val="21"/>
              </w:rPr>
            </w:pPr>
            <w:r>
              <w:rPr>
                <w:sz w:val="21"/>
                <w:szCs w:val="21"/>
              </w:rPr>
              <w:t>5.24</w:t>
            </w:r>
          </w:p>
        </w:tc>
        <w:tc>
          <w:tcPr>
            <w:tcW w:w="280" w:type="pct"/>
            <w:vAlign w:val="bottom"/>
          </w:tcPr>
          <w:p>
            <w:pPr>
              <w:spacing w:line="240" w:lineRule="auto"/>
              <w:ind w:firstLine="0" w:firstLineChars="0"/>
              <w:jc w:val="center"/>
              <w:textAlignment w:val="baseline"/>
              <w:rPr>
                <w:spacing w:val="-8"/>
                <w:sz w:val="21"/>
                <w:szCs w:val="21"/>
              </w:rPr>
            </w:pPr>
            <w:r>
              <w:rPr>
                <w:sz w:val="21"/>
                <w:szCs w:val="21"/>
              </w:rPr>
              <w:t>9.81</w:t>
            </w:r>
          </w:p>
        </w:tc>
        <w:tc>
          <w:tcPr>
            <w:tcW w:w="288" w:type="pct"/>
            <w:vAlign w:val="bottom"/>
          </w:tcPr>
          <w:p>
            <w:pPr>
              <w:spacing w:line="240" w:lineRule="auto"/>
              <w:ind w:firstLine="0" w:firstLineChars="0"/>
              <w:jc w:val="center"/>
              <w:textAlignment w:val="baseline"/>
              <w:rPr>
                <w:spacing w:val="-8"/>
                <w:sz w:val="21"/>
                <w:szCs w:val="21"/>
              </w:rPr>
            </w:pPr>
            <w:r>
              <w:rPr>
                <w:sz w:val="21"/>
                <w:szCs w:val="21"/>
              </w:rPr>
              <w:t>5.78</w:t>
            </w:r>
          </w:p>
        </w:tc>
        <w:tc>
          <w:tcPr>
            <w:tcW w:w="236" w:type="pct"/>
            <w:vAlign w:val="bottom"/>
          </w:tcPr>
          <w:p>
            <w:pPr>
              <w:spacing w:line="240" w:lineRule="auto"/>
              <w:ind w:firstLine="0" w:firstLineChars="0"/>
              <w:jc w:val="center"/>
              <w:textAlignment w:val="baseline"/>
              <w:rPr>
                <w:spacing w:val="-8"/>
                <w:sz w:val="21"/>
                <w:szCs w:val="21"/>
              </w:rPr>
            </w:pPr>
            <w:r>
              <w:rPr>
                <w:sz w:val="21"/>
                <w:szCs w:val="21"/>
              </w:rPr>
              <w:t>7.26</w:t>
            </w:r>
          </w:p>
        </w:tc>
        <w:tc>
          <w:tcPr>
            <w:tcW w:w="303" w:type="pct"/>
            <w:vAlign w:val="bottom"/>
          </w:tcPr>
          <w:p>
            <w:pPr>
              <w:spacing w:line="240" w:lineRule="auto"/>
              <w:ind w:firstLine="0" w:firstLineChars="0"/>
              <w:jc w:val="center"/>
              <w:textAlignment w:val="baseline"/>
              <w:rPr>
                <w:spacing w:val="-8"/>
                <w:sz w:val="21"/>
                <w:szCs w:val="21"/>
              </w:rPr>
            </w:pPr>
            <w:r>
              <w:rPr>
                <w:sz w:val="21"/>
                <w:szCs w:val="21"/>
              </w:rPr>
              <w:t>2.15</w:t>
            </w:r>
          </w:p>
        </w:tc>
        <w:tc>
          <w:tcPr>
            <w:tcW w:w="236" w:type="pct"/>
            <w:vAlign w:val="bottom"/>
          </w:tcPr>
          <w:p>
            <w:pPr>
              <w:spacing w:line="240" w:lineRule="auto"/>
              <w:ind w:firstLine="0" w:firstLineChars="0"/>
              <w:jc w:val="center"/>
              <w:textAlignment w:val="baseline"/>
              <w:rPr>
                <w:spacing w:val="-8"/>
                <w:sz w:val="21"/>
                <w:szCs w:val="21"/>
              </w:rPr>
            </w:pPr>
            <w:r>
              <w:rPr>
                <w:sz w:val="21"/>
                <w:szCs w:val="21"/>
              </w:rPr>
              <w:t>2.15</w:t>
            </w:r>
          </w:p>
        </w:tc>
        <w:tc>
          <w:tcPr>
            <w:tcW w:w="285" w:type="pct"/>
            <w:vAlign w:val="bottom"/>
          </w:tcPr>
          <w:p>
            <w:pPr>
              <w:spacing w:line="240" w:lineRule="auto"/>
              <w:ind w:firstLine="0" w:firstLineChars="0"/>
              <w:jc w:val="center"/>
              <w:textAlignment w:val="baseline"/>
              <w:rPr>
                <w:spacing w:val="-8"/>
                <w:sz w:val="21"/>
                <w:szCs w:val="21"/>
              </w:rPr>
            </w:pPr>
            <w:r>
              <w:rPr>
                <w:sz w:val="21"/>
                <w:szCs w:val="21"/>
              </w:rPr>
              <w:t>3.23</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八月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2.69</w:t>
            </w:r>
          </w:p>
        </w:tc>
        <w:tc>
          <w:tcPr>
            <w:tcW w:w="255" w:type="pct"/>
            <w:vAlign w:val="bottom"/>
          </w:tcPr>
          <w:p>
            <w:pPr>
              <w:spacing w:line="240" w:lineRule="auto"/>
              <w:ind w:firstLine="0" w:firstLineChars="0"/>
              <w:jc w:val="center"/>
              <w:textAlignment w:val="baseline"/>
              <w:rPr>
                <w:spacing w:val="-8"/>
                <w:sz w:val="21"/>
                <w:szCs w:val="21"/>
              </w:rPr>
            </w:pPr>
            <w:r>
              <w:rPr>
                <w:sz w:val="21"/>
                <w:szCs w:val="21"/>
              </w:rPr>
              <w:t>6.05</w:t>
            </w:r>
          </w:p>
        </w:tc>
        <w:tc>
          <w:tcPr>
            <w:tcW w:w="279" w:type="pct"/>
            <w:vAlign w:val="bottom"/>
          </w:tcPr>
          <w:p>
            <w:pPr>
              <w:spacing w:line="240" w:lineRule="auto"/>
              <w:ind w:firstLine="0" w:firstLineChars="0"/>
              <w:jc w:val="center"/>
              <w:textAlignment w:val="baseline"/>
              <w:rPr>
                <w:spacing w:val="-8"/>
                <w:sz w:val="21"/>
                <w:szCs w:val="21"/>
              </w:rPr>
            </w:pPr>
            <w:r>
              <w:rPr>
                <w:sz w:val="21"/>
                <w:szCs w:val="21"/>
              </w:rPr>
              <w:t>3.36</w:t>
            </w:r>
          </w:p>
        </w:tc>
        <w:tc>
          <w:tcPr>
            <w:tcW w:w="280" w:type="pct"/>
            <w:vAlign w:val="bottom"/>
          </w:tcPr>
          <w:p>
            <w:pPr>
              <w:spacing w:line="240" w:lineRule="auto"/>
              <w:ind w:firstLine="0" w:firstLineChars="0"/>
              <w:jc w:val="center"/>
              <w:textAlignment w:val="baseline"/>
              <w:rPr>
                <w:spacing w:val="-8"/>
                <w:sz w:val="21"/>
                <w:szCs w:val="21"/>
              </w:rPr>
            </w:pPr>
            <w:r>
              <w:rPr>
                <w:sz w:val="21"/>
                <w:szCs w:val="21"/>
              </w:rPr>
              <w:t>5.91</w:t>
            </w:r>
          </w:p>
        </w:tc>
        <w:tc>
          <w:tcPr>
            <w:tcW w:w="280" w:type="pct"/>
            <w:vAlign w:val="bottom"/>
          </w:tcPr>
          <w:p>
            <w:pPr>
              <w:spacing w:line="240" w:lineRule="auto"/>
              <w:ind w:firstLine="0" w:firstLineChars="0"/>
              <w:jc w:val="center"/>
              <w:textAlignment w:val="baseline"/>
              <w:rPr>
                <w:spacing w:val="-8"/>
                <w:sz w:val="21"/>
                <w:szCs w:val="21"/>
              </w:rPr>
            </w:pPr>
            <w:r>
              <w:rPr>
                <w:sz w:val="21"/>
                <w:szCs w:val="21"/>
              </w:rPr>
              <w:t>12.37</w:t>
            </w:r>
          </w:p>
        </w:tc>
        <w:tc>
          <w:tcPr>
            <w:tcW w:w="280" w:type="pct"/>
            <w:vAlign w:val="bottom"/>
          </w:tcPr>
          <w:p>
            <w:pPr>
              <w:spacing w:line="240" w:lineRule="auto"/>
              <w:ind w:firstLine="0" w:firstLineChars="0"/>
              <w:jc w:val="center"/>
              <w:textAlignment w:val="baseline"/>
              <w:rPr>
                <w:spacing w:val="-8"/>
                <w:sz w:val="21"/>
                <w:szCs w:val="21"/>
              </w:rPr>
            </w:pPr>
            <w:r>
              <w:rPr>
                <w:sz w:val="21"/>
                <w:szCs w:val="21"/>
              </w:rPr>
              <w:t>10.35</w:t>
            </w:r>
          </w:p>
        </w:tc>
        <w:tc>
          <w:tcPr>
            <w:tcW w:w="236" w:type="pct"/>
            <w:vAlign w:val="bottom"/>
          </w:tcPr>
          <w:p>
            <w:pPr>
              <w:spacing w:line="240" w:lineRule="auto"/>
              <w:ind w:firstLine="0" w:firstLineChars="0"/>
              <w:jc w:val="center"/>
              <w:textAlignment w:val="baseline"/>
              <w:rPr>
                <w:spacing w:val="-8"/>
                <w:sz w:val="21"/>
                <w:szCs w:val="21"/>
              </w:rPr>
            </w:pPr>
            <w:r>
              <w:rPr>
                <w:sz w:val="21"/>
                <w:szCs w:val="21"/>
              </w:rPr>
              <w:t>12.10</w:t>
            </w:r>
          </w:p>
        </w:tc>
        <w:tc>
          <w:tcPr>
            <w:tcW w:w="236" w:type="pct"/>
            <w:vAlign w:val="bottom"/>
          </w:tcPr>
          <w:p>
            <w:pPr>
              <w:spacing w:line="240" w:lineRule="auto"/>
              <w:ind w:firstLine="0" w:firstLineChars="0"/>
              <w:jc w:val="center"/>
              <w:textAlignment w:val="baseline"/>
              <w:rPr>
                <w:spacing w:val="-8"/>
                <w:sz w:val="21"/>
                <w:szCs w:val="21"/>
              </w:rPr>
            </w:pPr>
            <w:r>
              <w:rPr>
                <w:sz w:val="21"/>
                <w:szCs w:val="21"/>
              </w:rPr>
              <w:t>13.71</w:t>
            </w:r>
          </w:p>
        </w:tc>
        <w:tc>
          <w:tcPr>
            <w:tcW w:w="280" w:type="pct"/>
            <w:vAlign w:val="bottom"/>
          </w:tcPr>
          <w:p>
            <w:pPr>
              <w:spacing w:line="240" w:lineRule="auto"/>
              <w:ind w:firstLine="0" w:firstLineChars="0"/>
              <w:jc w:val="center"/>
              <w:textAlignment w:val="baseline"/>
              <w:rPr>
                <w:spacing w:val="-8"/>
                <w:sz w:val="21"/>
                <w:szCs w:val="21"/>
              </w:rPr>
            </w:pPr>
            <w:r>
              <w:rPr>
                <w:sz w:val="21"/>
                <w:szCs w:val="21"/>
              </w:rPr>
              <w:t>12.50</w:t>
            </w:r>
          </w:p>
        </w:tc>
        <w:tc>
          <w:tcPr>
            <w:tcW w:w="280" w:type="pct"/>
            <w:vAlign w:val="bottom"/>
          </w:tcPr>
          <w:p>
            <w:pPr>
              <w:spacing w:line="240" w:lineRule="auto"/>
              <w:ind w:firstLine="0" w:firstLineChars="0"/>
              <w:jc w:val="center"/>
              <w:textAlignment w:val="baseline"/>
              <w:rPr>
                <w:spacing w:val="-8"/>
                <w:sz w:val="21"/>
                <w:szCs w:val="21"/>
              </w:rPr>
            </w:pPr>
            <w:r>
              <w:rPr>
                <w:sz w:val="21"/>
                <w:szCs w:val="21"/>
              </w:rPr>
              <w:t>5.38</w:t>
            </w:r>
          </w:p>
        </w:tc>
        <w:tc>
          <w:tcPr>
            <w:tcW w:w="280" w:type="pct"/>
            <w:vAlign w:val="bottom"/>
          </w:tcPr>
          <w:p>
            <w:pPr>
              <w:spacing w:line="240" w:lineRule="auto"/>
              <w:ind w:firstLine="0" w:firstLineChars="0"/>
              <w:jc w:val="center"/>
              <w:textAlignment w:val="baseline"/>
              <w:rPr>
                <w:spacing w:val="-8"/>
                <w:sz w:val="21"/>
                <w:szCs w:val="21"/>
              </w:rPr>
            </w:pPr>
            <w:r>
              <w:rPr>
                <w:sz w:val="21"/>
                <w:szCs w:val="21"/>
              </w:rPr>
              <w:t>4.84</w:t>
            </w:r>
          </w:p>
        </w:tc>
        <w:tc>
          <w:tcPr>
            <w:tcW w:w="288" w:type="pct"/>
            <w:vAlign w:val="bottom"/>
          </w:tcPr>
          <w:p>
            <w:pPr>
              <w:spacing w:line="240" w:lineRule="auto"/>
              <w:ind w:firstLine="0" w:firstLineChars="0"/>
              <w:jc w:val="center"/>
              <w:textAlignment w:val="baseline"/>
              <w:rPr>
                <w:spacing w:val="-8"/>
                <w:sz w:val="21"/>
                <w:szCs w:val="21"/>
              </w:rPr>
            </w:pPr>
            <w:r>
              <w:rPr>
                <w:sz w:val="21"/>
                <w:szCs w:val="21"/>
              </w:rPr>
              <w:t>1.88</w:t>
            </w:r>
          </w:p>
        </w:tc>
        <w:tc>
          <w:tcPr>
            <w:tcW w:w="236" w:type="pct"/>
            <w:vAlign w:val="bottom"/>
          </w:tcPr>
          <w:p>
            <w:pPr>
              <w:spacing w:line="240" w:lineRule="auto"/>
              <w:ind w:firstLine="0" w:firstLineChars="0"/>
              <w:jc w:val="center"/>
              <w:textAlignment w:val="baseline"/>
              <w:rPr>
                <w:spacing w:val="-8"/>
                <w:sz w:val="21"/>
                <w:szCs w:val="21"/>
              </w:rPr>
            </w:pPr>
            <w:r>
              <w:rPr>
                <w:sz w:val="21"/>
                <w:szCs w:val="21"/>
              </w:rPr>
              <w:t>1.75</w:t>
            </w:r>
          </w:p>
        </w:tc>
        <w:tc>
          <w:tcPr>
            <w:tcW w:w="303" w:type="pct"/>
            <w:vAlign w:val="bottom"/>
          </w:tcPr>
          <w:p>
            <w:pPr>
              <w:spacing w:line="240" w:lineRule="auto"/>
              <w:ind w:firstLine="0" w:firstLineChars="0"/>
              <w:jc w:val="center"/>
              <w:textAlignment w:val="baseline"/>
              <w:rPr>
                <w:spacing w:val="-8"/>
                <w:sz w:val="21"/>
                <w:szCs w:val="21"/>
              </w:rPr>
            </w:pPr>
            <w:r>
              <w:rPr>
                <w:sz w:val="21"/>
                <w:szCs w:val="21"/>
              </w:rPr>
              <w:t>2.15</w:t>
            </w:r>
          </w:p>
        </w:tc>
        <w:tc>
          <w:tcPr>
            <w:tcW w:w="236" w:type="pct"/>
            <w:vAlign w:val="bottom"/>
          </w:tcPr>
          <w:p>
            <w:pPr>
              <w:spacing w:line="240" w:lineRule="auto"/>
              <w:ind w:firstLine="0" w:firstLineChars="0"/>
              <w:jc w:val="center"/>
              <w:textAlignment w:val="baseline"/>
              <w:rPr>
                <w:spacing w:val="-8"/>
                <w:sz w:val="21"/>
                <w:szCs w:val="21"/>
              </w:rPr>
            </w:pPr>
            <w:r>
              <w:rPr>
                <w:sz w:val="21"/>
                <w:szCs w:val="21"/>
              </w:rPr>
              <w:t>2.42</w:t>
            </w:r>
          </w:p>
        </w:tc>
        <w:tc>
          <w:tcPr>
            <w:tcW w:w="285" w:type="pct"/>
            <w:vAlign w:val="bottom"/>
          </w:tcPr>
          <w:p>
            <w:pPr>
              <w:spacing w:line="240" w:lineRule="auto"/>
              <w:ind w:firstLine="0" w:firstLineChars="0"/>
              <w:jc w:val="center"/>
              <w:textAlignment w:val="baseline"/>
              <w:rPr>
                <w:spacing w:val="-8"/>
                <w:sz w:val="21"/>
                <w:szCs w:val="21"/>
              </w:rPr>
            </w:pPr>
            <w:r>
              <w:rPr>
                <w:sz w:val="21"/>
                <w:szCs w:val="21"/>
              </w:rPr>
              <w:t>2.55</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九月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13.75</w:t>
            </w:r>
          </w:p>
        </w:tc>
        <w:tc>
          <w:tcPr>
            <w:tcW w:w="255" w:type="pct"/>
            <w:vAlign w:val="bottom"/>
          </w:tcPr>
          <w:p>
            <w:pPr>
              <w:spacing w:line="240" w:lineRule="auto"/>
              <w:ind w:firstLine="0" w:firstLineChars="0"/>
              <w:jc w:val="center"/>
              <w:textAlignment w:val="baseline"/>
              <w:rPr>
                <w:spacing w:val="-8"/>
                <w:sz w:val="21"/>
                <w:szCs w:val="21"/>
              </w:rPr>
            </w:pPr>
            <w:r>
              <w:rPr>
                <w:sz w:val="21"/>
                <w:szCs w:val="21"/>
              </w:rPr>
              <w:t>13.19</w:t>
            </w:r>
          </w:p>
        </w:tc>
        <w:tc>
          <w:tcPr>
            <w:tcW w:w="279" w:type="pct"/>
            <w:vAlign w:val="bottom"/>
          </w:tcPr>
          <w:p>
            <w:pPr>
              <w:spacing w:line="240" w:lineRule="auto"/>
              <w:ind w:firstLine="0" w:firstLineChars="0"/>
              <w:jc w:val="center"/>
              <w:textAlignment w:val="baseline"/>
              <w:rPr>
                <w:spacing w:val="-8"/>
                <w:sz w:val="21"/>
                <w:szCs w:val="21"/>
              </w:rPr>
            </w:pPr>
            <w:r>
              <w:rPr>
                <w:sz w:val="21"/>
                <w:szCs w:val="21"/>
              </w:rPr>
              <w:t>5.97</w:t>
            </w:r>
          </w:p>
        </w:tc>
        <w:tc>
          <w:tcPr>
            <w:tcW w:w="280" w:type="pct"/>
            <w:vAlign w:val="bottom"/>
          </w:tcPr>
          <w:p>
            <w:pPr>
              <w:spacing w:line="240" w:lineRule="auto"/>
              <w:ind w:firstLine="0" w:firstLineChars="0"/>
              <w:jc w:val="center"/>
              <w:textAlignment w:val="baseline"/>
              <w:rPr>
                <w:spacing w:val="-8"/>
                <w:sz w:val="21"/>
                <w:szCs w:val="21"/>
              </w:rPr>
            </w:pPr>
            <w:r>
              <w:rPr>
                <w:sz w:val="21"/>
                <w:szCs w:val="21"/>
              </w:rPr>
              <w:t>4.86</w:t>
            </w:r>
          </w:p>
        </w:tc>
        <w:tc>
          <w:tcPr>
            <w:tcW w:w="280" w:type="pct"/>
            <w:vAlign w:val="bottom"/>
          </w:tcPr>
          <w:p>
            <w:pPr>
              <w:spacing w:line="240" w:lineRule="auto"/>
              <w:ind w:firstLine="0" w:firstLineChars="0"/>
              <w:jc w:val="center"/>
              <w:textAlignment w:val="baseline"/>
              <w:rPr>
                <w:spacing w:val="-8"/>
                <w:sz w:val="21"/>
                <w:szCs w:val="21"/>
              </w:rPr>
            </w:pPr>
            <w:r>
              <w:rPr>
                <w:sz w:val="21"/>
                <w:szCs w:val="21"/>
              </w:rPr>
              <w:t>8.33</w:t>
            </w:r>
          </w:p>
        </w:tc>
        <w:tc>
          <w:tcPr>
            <w:tcW w:w="280" w:type="pct"/>
            <w:vAlign w:val="bottom"/>
          </w:tcPr>
          <w:p>
            <w:pPr>
              <w:spacing w:line="240" w:lineRule="auto"/>
              <w:ind w:firstLine="0" w:firstLineChars="0"/>
              <w:jc w:val="center"/>
              <w:textAlignment w:val="baseline"/>
              <w:rPr>
                <w:spacing w:val="-8"/>
                <w:sz w:val="21"/>
                <w:szCs w:val="21"/>
              </w:rPr>
            </w:pPr>
            <w:r>
              <w:rPr>
                <w:sz w:val="21"/>
                <w:szCs w:val="21"/>
              </w:rPr>
              <w:t>2.36</w:t>
            </w:r>
          </w:p>
        </w:tc>
        <w:tc>
          <w:tcPr>
            <w:tcW w:w="236" w:type="pct"/>
            <w:vAlign w:val="bottom"/>
          </w:tcPr>
          <w:p>
            <w:pPr>
              <w:spacing w:line="240" w:lineRule="auto"/>
              <w:ind w:firstLine="0" w:firstLineChars="0"/>
              <w:jc w:val="center"/>
              <w:textAlignment w:val="baseline"/>
              <w:rPr>
                <w:spacing w:val="-8"/>
                <w:sz w:val="21"/>
                <w:szCs w:val="21"/>
              </w:rPr>
            </w:pPr>
            <w:r>
              <w:rPr>
                <w:sz w:val="21"/>
                <w:szCs w:val="21"/>
              </w:rPr>
              <w:t>1.39</w:t>
            </w:r>
          </w:p>
        </w:tc>
        <w:tc>
          <w:tcPr>
            <w:tcW w:w="236" w:type="pct"/>
            <w:vAlign w:val="bottom"/>
          </w:tcPr>
          <w:p>
            <w:pPr>
              <w:spacing w:line="240" w:lineRule="auto"/>
              <w:ind w:firstLine="0" w:firstLineChars="0"/>
              <w:jc w:val="center"/>
              <w:textAlignment w:val="baseline"/>
              <w:rPr>
                <w:spacing w:val="-8"/>
                <w:sz w:val="21"/>
                <w:szCs w:val="21"/>
              </w:rPr>
            </w:pPr>
            <w:r>
              <w:rPr>
                <w:sz w:val="21"/>
                <w:szCs w:val="21"/>
              </w:rPr>
              <w:t>0.97</w:t>
            </w:r>
          </w:p>
        </w:tc>
        <w:tc>
          <w:tcPr>
            <w:tcW w:w="280" w:type="pct"/>
            <w:vAlign w:val="bottom"/>
          </w:tcPr>
          <w:p>
            <w:pPr>
              <w:spacing w:line="240" w:lineRule="auto"/>
              <w:ind w:firstLine="0" w:firstLineChars="0"/>
              <w:jc w:val="center"/>
              <w:textAlignment w:val="baseline"/>
              <w:rPr>
                <w:spacing w:val="-8"/>
                <w:sz w:val="21"/>
                <w:szCs w:val="21"/>
              </w:rPr>
            </w:pPr>
            <w:r>
              <w:rPr>
                <w:sz w:val="21"/>
                <w:szCs w:val="21"/>
              </w:rPr>
              <w:t>1.25</w:t>
            </w:r>
          </w:p>
        </w:tc>
        <w:tc>
          <w:tcPr>
            <w:tcW w:w="280" w:type="pct"/>
            <w:vAlign w:val="bottom"/>
          </w:tcPr>
          <w:p>
            <w:pPr>
              <w:spacing w:line="240" w:lineRule="auto"/>
              <w:ind w:firstLine="0" w:firstLineChars="0"/>
              <w:jc w:val="center"/>
              <w:textAlignment w:val="baseline"/>
              <w:rPr>
                <w:spacing w:val="-8"/>
                <w:sz w:val="21"/>
                <w:szCs w:val="21"/>
              </w:rPr>
            </w:pPr>
            <w:r>
              <w:rPr>
                <w:sz w:val="21"/>
                <w:szCs w:val="21"/>
              </w:rPr>
              <w:t>4.72</w:t>
            </w:r>
          </w:p>
        </w:tc>
        <w:tc>
          <w:tcPr>
            <w:tcW w:w="280" w:type="pct"/>
            <w:vAlign w:val="bottom"/>
          </w:tcPr>
          <w:p>
            <w:pPr>
              <w:spacing w:line="240" w:lineRule="auto"/>
              <w:ind w:firstLine="0" w:firstLineChars="0"/>
              <w:jc w:val="center"/>
              <w:textAlignment w:val="baseline"/>
              <w:rPr>
                <w:spacing w:val="-8"/>
                <w:sz w:val="21"/>
                <w:szCs w:val="21"/>
              </w:rPr>
            </w:pPr>
            <w:r>
              <w:rPr>
                <w:sz w:val="21"/>
                <w:szCs w:val="21"/>
              </w:rPr>
              <w:t>14.58</w:t>
            </w:r>
          </w:p>
        </w:tc>
        <w:tc>
          <w:tcPr>
            <w:tcW w:w="288" w:type="pct"/>
            <w:vAlign w:val="bottom"/>
          </w:tcPr>
          <w:p>
            <w:pPr>
              <w:spacing w:line="240" w:lineRule="auto"/>
              <w:ind w:firstLine="0" w:firstLineChars="0"/>
              <w:jc w:val="center"/>
              <w:textAlignment w:val="baseline"/>
              <w:rPr>
                <w:spacing w:val="-8"/>
                <w:sz w:val="21"/>
                <w:szCs w:val="21"/>
              </w:rPr>
            </w:pPr>
            <w:r>
              <w:rPr>
                <w:sz w:val="21"/>
                <w:szCs w:val="21"/>
              </w:rPr>
              <w:t>9.58</w:t>
            </w:r>
          </w:p>
        </w:tc>
        <w:tc>
          <w:tcPr>
            <w:tcW w:w="236" w:type="pct"/>
            <w:vAlign w:val="bottom"/>
          </w:tcPr>
          <w:p>
            <w:pPr>
              <w:spacing w:line="240" w:lineRule="auto"/>
              <w:ind w:firstLine="0" w:firstLineChars="0"/>
              <w:jc w:val="center"/>
              <w:textAlignment w:val="baseline"/>
              <w:rPr>
                <w:spacing w:val="-8"/>
                <w:sz w:val="21"/>
                <w:szCs w:val="21"/>
              </w:rPr>
            </w:pPr>
            <w:r>
              <w:rPr>
                <w:sz w:val="21"/>
                <w:szCs w:val="21"/>
              </w:rPr>
              <w:t>7.08</w:t>
            </w:r>
          </w:p>
        </w:tc>
        <w:tc>
          <w:tcPr>
            <w:tcW w:w="303" w:type="pct"/>
            <w:vAlign w:val="bottom"/>
          </w:tcPr>
          <w:p>
            <w:pPr>
              <w:spacing w:line="240" w:lineRule="auto"/>
              <w:ind w:firstLine="0" w:firstLineChars="0"/>
              <w:jc w:val="center"/>
              <w:textAlignment w:val="baseline"/>
              <w:rPr>
                <w:spacing w:val="-8"/>
                <w:sz w:val="21"/>
                <w:szCs w:val="21"/>
              </w:rPr>
            </w:pPr>
            <w:r>
              <w:rPr>
                <w:sz w:val="21"/>
                <w:szCs w:val="21"/>
              </w:rPr>
              <w:t>2.22</w:t>
            </w:r>
          </w:p>
        </w:tc>
        <w:tc>
          <w:tcPr>
            <w:tcW w:w="236" w:type="pct"/>
            <w:vAlign w:val="bottom"/>
          </w:tcPr>
          <w:p>
            <w:pPr>
              <w:spacing w:line="240" w:lineRule="auto"/>
              <w:ind w:firstLine="0" w:firstLineChars="0"/>
              <w:jc w:val="center"/>
              <w:textAlignment w:val="baseline"/>
              <w:rPr>
                <w:spacing w:val="-8"/>
                <w:sz w:val="21"/>
                <w:szCs w:val="21"/>
              </w:rPr>
            </w:pPr>
            <w:r>
              <w:rPr>
                <w:sz w:val="21"/>
                <w:szCs w:val="21"/>
              </w:rPr>
              <w:t>3.89</w:t>
            </w:r>
          </w:p>
        </w:tc>
        <w:tc>
          <w:tcPr>
            <w:tcW w:w="285" w:type="pct"/>
            <w:vAlign w:val="bottom"/>
          </w:tcPr>
          <w:p>
            <w:pPr>
              <w:spacing w:line="240" w:lineRule="auto"/>
              <w:ind w:firstLine="0" w:firstLineChars="0"/>
              <w:jc w:val="center"/>
              <w:textAlignment w:val="baseline"/>
              <w:rPr>
                <w:spacing w:val="-8"/>
                <w:sz w:val="21"/>
                <w:szCs w:val="21"/>
              </w:rPr>
            </w:pPr>
            <w:r>
              <w:rPr>
                <w:sz w:val="21"/>
                <w:szCs w:val="21"/>
              </w:rPr>
              <w:t>5.69</w:t>
            </w:r>
          </w:p>
        </w:tc>
        <w:tc>
          <w:tcPr>
            <w:tcW w:w="234" w:type="pct"/>
            <w:vAlign w:val="bottom"/>
          </w:tcPr>
          <w:p>
            <w:pPr>
              <w:spacing w:line="240" w:lineRule="auto"/>
              <w:ind w:firstLine="0" w:firstLineChars="0"/>
              <w:jc w:val="center"/>
              <w:textAlignment w:val="baseline"/>
              <w:rPr>
                <w:spacing w:val="-8"/>
                <w:sz w:val="21"/>
                <w:szCs w:val="21"/>
              </w:rPr>
            </w:pPr>
            <w:r>
              <w:rPr>
                <w:sz w:val="21"/>
                <w:szCs w:val="21"/>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十月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11.02</w:t>
            </w:r>
          </w:p>
        </w:tc>
        <w:tc>
          <w:tcPr>
            <w:tcW w:w="255" w:type="pct"/>
            <w:vAlign w:val="bottom"/>
          </w:tcPr>
          <w:p>
            <w:pPr>
              <w:spacing w:line="240" w:lineRule="auto"/>
              <w:ind w:firstLine="0" w:firstLineChars="0"/>
              <w:jc w:val="center"/>
              <w:textAlignment w:val="baseline"/>
              <w:rPr>
                <w:spacing w:val="-8"/>
                <w:sz w:val="21"/>
                <w:szCs w:val="21"/>
              </w:rPr>
            </w:pPr>
            <w:r>
              <w:rPr>
                <w:sz w:val="21"/>
                <w:szCs w:val="21"/>
              </w:rPr>
              <w:t>17.20</w:t>
            </w:r>
          </w:p>
        </w:tc>
        <w:tc>
          <w:tcPr>
            <w:tcW w:w="279" w:type="pct"/>
            <w:vAlign w:val="bottom"/>
          </w:tcPr>
          <w:p>
            <w:pPr>
              <w:spacing w:line="240" w:lineRule="auto"/>
              <w:ind w:firstLine="0" w:firstLineChars="0"/>
              <w:jc w:val="center"/>
              <w:textAlignment w:val="baseline"/>
              <w:rPr>
                <w:spacing w:val="-8"/>
                <w:sz w:val="21"/>
                <w:szCs w:val="21"/>
              </w:rPr>
            </w:pPr>
            <w:r>
              <w:rPr>
                <w:sz w:val="21"/>
                <w:szCs w:val="21"/>
              </w:rPr>
              <w:t>11.02</w:t>
            </w:r>
          </w:p>
        </w:tc>
        <w:tc>
          <w:tcPr>
            <w:tcW w:w="280" w:type="pct"/>
            <w:vAlign w:val="bottom"/>
          </w:tcPr>
          <w:p>
            <w:pPr>
              <w:spacing w:line="240" w:lineRule="auto"/>
              <w:ind w:firstLine="0" w:firstLineChars="0"/>
              <w:jc w:val="center"/>
              <w:textAlignment w:val="baseline"/>
              <w:rPr>
                <w:spacing w:val="-8"/>
                <w:sz w:val="21"/>
                <w:szCs w:val="21"/>
              </w:rPr>
            </w:pPr>
            <w:r>
              <w:rPr>
                <w:sz w:val="21"/>
                <w:szCs w:val="21"/>
              </w:rPr>
              <w:t>6.72</w:t>
            </w:r>
          </w:p>
        </w:tc>
        <w:tc>
          <w:tcPr>
            <w:tcW w:w="280" w:type="pct"/>
            <w:vAlign w:val="bottom"/>
          </w:tcPr>
          <w:p>
            <w:pPr>
              <w:spacing w:line="240" w:lineRule="auto"/>
              <w:ind w:firstLine="0" w:firstLineChars="0"/>
              <w:jc w:val="center"/>
              <w:textAlignment w:val="baseline"/>
              <w:rPr>
                <w:spacing w:val="-8"/>
                <w:sz w:val="21"/>
                <w:szCs w:val="21"/>
              </w:rPr>
            </w:pPr>
            <w:r>
              <w:rPr>
                <w:sz w:val="21"/>
                <w:szCs w:val="21"/>
              </w:rPr>
              <w:t>5.65</w:t>
            </w:r>
          </w:p>
        </w:tc>
        <w:tc>
          <w:tcPr>
            <w:tcW w:w="280" w:type="pct"/>
            <w:vAlign w:val="bottom"/>
          </w:tcPr>
          <w:p>
            <w:pPr>
              <w:spacing w:line="240" w:lineRule="auto"/>
              <w:ind w:firstLine="0" w:firstLineChars="0"/>
              <w:jc w:val="center"/>
              <w:textAlignment w:val="baseline"/>
              <w:rPr>
                <w:spacing w:val="-8"/>
                <w:sz w:val="21"/>
                <w:szCs w:val="21"/>
              </w:rPr>
            </w:pPr>
            <w:r>
              <w:rPr>
                <w:sz w:val="21"/>
                <w:szCs w:val="21"/>
              </w:rPr>
              <w:t>3.36</w:t>
            </w:r>
          </w:p>
        </w:tc>
        <w:tc>
          <w:tcPr>
            <w:tcW w:w="236" w:type="pct"/>
            <w:vAlign w:val="bottom"/>
          </w:tcPr>
          <w:p>
            <w:pPr>
              <w:spacing w:line="240" w:lineRule="auto"/>
              <w:ind w:firstLine="0" w:firstLineChars="0"/>
              <w:jc w:val="center"/>
              <w:textAlignment w:val="baseline"/>
              <w:rPr>
                <w:spacing w:val="-8"/>
                <w:sz w:val="21"/>
                <w:szCs w:val="21"/>
              </w:rPr>
            </w:pPr>
            <w:r>
              <w:rPr>
                <w:sz w:val="21"/>
                <w:szCs w:val="21"/>
              </w:rPr>
              <w:t>2.55</w:t>
            </w:r>
          </w:p>
        </w:tc>
        <w:tc>
          <w:tcPr>
            <w:tcW w:w="236" w:type="pct"/>
            <w:vAlign w:val="bottom"/>
          </w:tcPr>
          <w:p>
            <w:pPr>
              <w:spacing w:line="240" w:lineRule="auto"/>
              <w:ind w:firstLine="0" w:firstLineChars="0"/>
              <w:jc w:val="center"/>
              <w:textAlignment w:val="baseline"/>
              <w:rPr>
                <w:spacing w:val="-8"/>
                <w:sz w:val="21"/>
                <w:szCs w:val="21"/>
              </w:rPr>
            </w:pPr>
            <w:r>
              <w:rPr>
                <w:sz w:val="21"/>
                <w:szCs w:val="21"/>
              </w:rPr>
              <w:t>2.02</w:t>
            </w:r>
          </w:p>
        </w:tc>
        <w:tc>
          <w:tcPr>
            <w:tcW w:w="280" w:type="pct"/>
            <w:vAlign w:val="bottom"/>
          </w:tcPr>
          <w:p>
            <w:pPr>
              <w:spacing w:line="240" w:lineRule="auto"/>
              <w:ind w:firstLine="0" w:firstLineChars="0"/>
              <w:jc w:val="center"/>
              <w:textAlignment w:val="baseline"/>
              <w:rPr>
                <w:spacing w:val="-8"/>
                <w:sz w:val="21"/>
                <w:szCs w:val="21"/>
              </w:rPr>
            </w:pPr>
            <w:r>
              <w:rPr>
                <w:sz w:val="21"/>
                <w:szCs w:val="21"/>
              </w:rPr>
              <w:t>2.02</w:t>
            </w:r>
          </w:p>
        </w:tc>
        <w:tc>
          <w:tcPr>
            <w:tcW w:w="280" w:type="pct"/>
            <w:vAlign w:val="bottom"/>
          </w:tcPr>
          <w:p>
            <w:pPr>
              <w:spacing w:line="240" w:lineRule="auto"/>
              <w:ind w:firstLine="0" w:firstLineChars="0"/>
              <w:jc w:val="center"/>
              <w:textAlignment w:val="baseline"/>
              <w:rPr>
                <w:spacing w:val="-8"/>
                <w:sz w:val="21"/>
                <w:szCs w:val="21"/>
              </w:rPr>
            </w:pPr>
            <w:r>
              <w:rPr>
                <w:sz w:val="21"/>
                <w:szCs w:val="21"/>
              </w:rPr>
              <w:t>5.11</w:t>
            </w:r>
          </w:p>
        </w:tc>
        <w:tc>
          <w:tcPr>
            <w:tcW w:w="280" w:type="pct"/>
            <w:vAlign w:val="bottom"/>
          </w:tcPr>
          <w:p>
            <w:pPr>
              <w:spacing w:line="240" w:lineRule="auto"/>
              <w:ind w:firstLine="0" w:firstLineChars="0"/>
              <w:jc w:val="center"/>
              <w:textAlignment w:val="baseline"/>
              <w:rPr>
                <w:spacing w:val="-8"/>
                <w:sz w:val="21"/>
                <w:szCs w:val="21"/>
              </w:rPr>
            </w:pPr>
            <w:r>
              <w:rPr>
                <w:sz w:val="21"/>
                <w:szCs w:val="21"/>
              </w:rPr>
              <w:t>12.10</w:t>
            </w:r>
          </w:p>
        </w:tc>
        <w:tc>
          <w:tcPr>
            <w:tcW w:w="288" w:type="pct"/>
            <w:vAlign w:val="bottom"/>
          </w:tcPr>
          <w:p>
            <w:pPr>
              <w:spacing w:line="240" w:lineRule="auto"/>
              <w:ind w:firstLine="0" w:firstLineChars="0"/>
              <w:jc w:val="center"/>
              <w:textAlignment w:val="baseline"/>
              <w:rPr>
                <w:spacing w:val="-8"/>
                <w:sz w:val="21"/>
                <w:szCs w:val="21"/>
              </w:rPr>
            </w:pPr>
            <w:r>
              <w:rPr>
                <w:sz w:val="21"/>
                <w:szCs w:val="21"/>
              </w:rPr>
              <w:t>4.57</w:t>
            </w:r>
          </w:p>
        </w:tc>
        <w:tc>
          <w:tcPr>
            <w:tcW w:w="236" w:type="pct"/>
            <w:vAlign w:val="bottom"/>
          </w:tcPr>
          <w:p>
            <w:pPr>
              <w:spacing w:line="240" w:lineRule="auto"/>
              <w:ind w:firstLine="0" w:firstLineChars="0"/>
              <w:jc w:val="center"/>
              <w:textAlignment w:val="baseline"/>
              <w:rPr>
                <w:spacing w:val="-8"/>
                <w:sz w:val="21"/>
                <w:szCs w:val="21"/>
              </w:rPr>
            </w:pPr>
            <w:r>
              <w:rPr>
                <w:sz w:val="21"/>
                <w:szCs w:val="21"/>
              </w:rPr>
              <w:t>4.30</w:t>
            </w:r>
          </w:p>
        </w:tc>
        <w:tc>
          <w:tcPr>
            <w:tcW w:w="303" w:type="pct"/>
            <w:vAlign w:val="bottom"/>
          </w:tcPr>
          <w:p>
            <w:pPr>
              <w:spacing w:line="240" w:lineRule="auto"/>
              <w:ind w:firstLine="0" w:firstLineChars="0"/>
              <w:jc w:val="center"/>
              <w:textAlignment w:val="baseline"/>
              <w:rPr>
                <w:spacing w:val="-8"/>
                <w:sz w:val="21"/>
                <w:szCs w:val="21"/>
              </w:rPr>
            </w:pPr>
            <w:r>
              <w:rPr>
                <w:sz w:val="21"/>
                <w:szCs w:val="21"/>
              </w:rPr>
              <w:t>2.15</w:t>
            </w:r>
          </w:p>
        </w:tc>
        <w:tc>
          <w:tcPr>
            <w:tcW w:w="236" w:type="pct"/>
            <w:vAlign w:val="bottom"/>
          </w:tcPr>
          <w:p>
            <w:pPr>
              <w:spacing w:line="240" w:lineRule="auto"/>
              <w:ind w:firstLine="0" w:firstLineChars="0"/>
              <w:jc w:val="center"/>
              <w:textAlignment w:val="baseline"/>
              <w:rPr>
                <w:spacing w:val="-8"/>
                <w:sz w:val="21"/>
                <w:szCs w:val="21"/>
              </w:rPr>
            </w:pPr>
            <w:r>
              <w:rPr>
                <w:sz w:val="21"/>
                <w:szCs w:val="21"/>
              </w:rPr>
              <w:t>3.09</w:t>
            </w:r>
          </w:p>
        </w:tc>
        <w:tc>
          <w:tcPr>
            <w:tcW w:w="285" w:type="pct"/>
            <w:vAlign w:val="bottom"/>
          </w:tcPr>
          <w:p>
            <w:pPr>
              <w:spacing w:line="240" w:lineRule="auto"/>
              <w:ind w:firstLine="0" w:firstLineChars="0"/>
              <w:jc w:val="center"/>
              <w:textAlignment w:val="baseline"/>
              <w:rPr>
                <w:spacing w:val="-8"/>
                <w:sz w:val="21"/>
                <w:szCs w:val="21"/>
              </w:rPr>
            </w:pPr>
            <w:r>
              <w:rPr>
                <w:sz w:val="21"/>
                <w:szCs w:val="21"/>
              </w:rPr>
              <w:t>7.12</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十一月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19.58</w:t>
            </w:r>
          </w:p>
        </w:tc>
        <w:tc>
          <w:tcPr>
            <w:tcW w:w="255" w:type="pct"/>
            <w:vAlign w:val="bottom"/>
          </w:tcPr>
          <w:p>
            <w:pPr>
              <w:spacing w:line="240" w:lineRule="auto"/>
              <w:ind w:firstLine="0" w:firstLineChars="0"/>
              <w:jc w:val="center"/>
              <w:textAlignment w:val="baseline"/>
              <w:rPr>
                <w:spacing w:val="-8"/>
                <w:sz w:val="21"/>
                <w:szCs w:val="21"/>
              </w:rPr>
            </w:pPr>
            <w:r>
              <w:rPr>
                <w:sz w:val="21"/>
                <w:szCs w:val="21"/>
              </w:rPr>
              <w:t>17.50</w:t>
            </w:r>
          </w:p>
        </w:tc>
        <w:tc>
          <w:tcPr>
            <w:tcW w:w="279" w:type="pct"/>
            <w:vAlign w:val="bottom"/>
          </w:tcPr>
          <w:p>
            <w:pPr>
              <w:spacing w:line="240" w:lineRule="auto"/>
              <w:ind w:firstLine="0" w:firstLineChars="0"/>
              <w:jc w:val="center"/>
              <w:textAlignment w:val="baseline"/>
              <w:rPr>
                <w:spacing w:val="-8"/>
                <w:sz w:val="21"/>
                <w:szCs w:val="21"/>
              </w:rPr>
            </w:pPr>
            <w:r>
              <w:rPr>
                <w:sz w:val="21"/>
                <w:szCs w:val="21"/>
              </w:rPr>
              <w:t>8.19</w:t>
            </w:r>
          </w:p>
        </w:tc>
        <w:tc>
          <w:tcPr>
            <w:tcW w:w="280" w:type="pct"/>
            <w:vAlign w:val="bottom"/>
          </w:tcPr>
          <w:p>
            <w:pPr>
              <w:spacing w:line="240" w:lineRule="auto"/>
              <w:ind w:firstLine="0" w:firstLineChars="0"/>
              <w:jc w:val="center"/>
              <w:textAlignment w:val="baseline"/>
              <w:rPr>
                <w:spacing w:val="-8"/>
                <w:sz w:val="21"/>
                <w:szCs w:val="21"/>
              </w:rPr>
            </w:pPr>
            <w:r>
              <w:rPr>
                <w:sz w:val="21"/>
                <w:szCs w:val="21"/>
              </w:rPr>
              <w:t>3.89</w:t>
            </w:r>
          </w:p>
        </w:tc>
        <w:tc>
          <w:tcPr>
            <w:tcW w:w="280" w:type="pct"/>
            <w:vAlign w:val="bottom"/>
          </w:tcPr>
          <w:p>
            <w:pPr>
              <w:spacing w:line="240" w:lineRule="auto"/>
              <w:ind w:firstLine="0" w:firstLineChars="0"/>
              <w:jc w:val="center"/>
              <w:textAlignment w:val="baseline"/>
              <w:rPr>
                <w:spacing w:val="-8"/>
                <w:sz w:val="21"/>
                <w:szCs w:val="21"/>
              </w:rPr>
            </w:pPr>
            <w:r>
              <w:rPr>
                <w:sz w:val="21"/>
                <w:szCs w:val="21"/>
              </w:rPr>
              <w:t>3.61</w:t>
            </w:r>
          </w:p>
        </w:tc>
        <w:tc>
          <w:tcPr>
            <w:tcW w:w="280" w:type="pct"/>
            <w:vAlign w:val="bottom"/>
          </w:tcPr>
          <w:p>
            <w:pPr>
              <w:spacing w:line="240" w:lineRule="auto"/>
              <w:ind w:firstLine="0" w:firstLineChars="0"/>
              <w:jc w:val="center"/>
              <w:textAlignment w:val="baseline"/>
              <w:rPr>
                <w:spacing w:val="-8"/>
                <w:sz w:val="21"/>
                <w:szCs w:val="21"/>
              </w:rPr>
            </w:pPr>
            <w:r>
              <w:rPr>
                <w:sz w:val="21"/>
                <w:szCs w:val="21"/>
              </w:rPr>
              <w:t>1.67</w:t>
            </w:r>
          </w:p>
        </w:tc>
        <w:tc>
          <w:tcPr>
            <w:tcW w:w="236" w:type="pct"/>
            <w:vAlign w:val="bottom"/>
          </w:tcPr>
          <w:p>
            <w:pPr>
              <w:spacing w:line="240" w:lineRule="auto"/>
              <w:ind w:firstLine="0" w:firstLineChars="0"/>
              <w:jc w:val="center"/>
              <w:textAlignment w:val="baseline"/>
              <w:rPr>
                <w:spacing w:val="-8"/>
                <w:sz w:val="21"/>
                <w:szCs w:val="21"/>
              </w:rPr>
            </w:pPr>
            <w:r>
              <w:rPr>
                <w:sz w:val="21"/>
                <w:szCs w:val="21"/>
              </w:rPr>
              <w:t>1.25</w:t>
            </w:r>
          </w:p>
        </w:tc>
        <w:tc>
          <w:tcPr>
            <w:tcW w:w="236" w:type="pct"/>
            <w:vAlign w:val="bottom"/>
          </w:tcPr>
          <w:p>
            <w:pPr>
              <w:spacing w:line="240" w:lineRule="auto"/>
              <w:ind w:firstLine="0" w:firstLineChars="0"/>
              <w:jc w:val="center"/>
              <w:textAlignment w:val="baseline"/>
              <w:rPr>
                <w:spacing w:val="-8"/>
                <w:sz w:val="21"/>
                <w:szCs w:val="21"/>
              </w:rPr>
            </w:pPr>
            <w:r>
              <w:rPr>
                <w:sz w:val="21"/>
                <w:szCs w:val="21"/>
              </w:rPr>
              <w:t>0.56</w:t>
            </w:r>
          </w:p>
        </w:tc>
        <w:tc>
          <w:tcPr>
            <w:tcW w:w="280" w:type="pct"/>
            <w:vAlign w:val="bottom"/>
          </w:tcPr>
          <w:p>
            <w:pPr>
              <w:spacing w:line="240" w:lineRule="auto"/>
              <w:ind w:firstLine="0" w:firstLineChars="0"/>
              <w:jc w:val="center"/>
              <w:textAlignment w:val="baseline"/>
              <w:rPr>
                <w:spacing w:val="-8"/>
                <w:sz w:val="21"/>
                <w:szCs w:val="21"/>
              </w:rPr>
            </w:pPr>
            <w:r>
              <w:rPr>
                <w:sz w:val="21"/>
                <w:szCs w:val="21"/>
              </w:rPr>
              <w:t>1.81</w:t>
            </w:r>
          </w:p>
        </w:tc>
        <w:tc>
          <w:tcPr>
            <w:tcW w:w="280" w:type="pct"/>
            <w:vAlign w:val="bottom"/>
          </w:tcPr>
          <w:p>
            <w:pPr>
              <w:spacing w:line="240" w:lineRule="auto"/>
              <w:ind w:firstLine="0" w:firstLineChars="0"/>
              <w:jc w:val="center"/>
              <w:textAlignment w:val="baseline"/>
              <w:rPr>
                <w:spacing w:val="-8"/>
                <w:sz w:val="21"/>
                <w:szCs w:val="21"/>
              </w:rPr>
            </w:pPr>
            <w:r>
              <w:rPr>
                <w:sz w:val="21"/>
                <w:szCs w:val="21"/>
              </w:rPr>
              <w:t>3.61</w:t>
            </w:r>
          </w:p>
        </w:tc>
        <w:tc>
          <w:tcPr>
            <w:tcW w:w="280" w:type="pct"/>
            <w:vAlign w:val="bottom"/>
          </w:tcPr>
          <w:p>
            <w:pPr>
              <w:spacing w:line="240" w:lineRule="auto"/>
              <w:ind w:firstLine="0" w:firstLineChars="0"/>
              <w:jc w:val="center"/>
              <w:textAlignment w:val="baseline"/>
              <w:rPr>
                <w:spacing w:val="-8"/>
                <w:sz w:val="21"/>
                <w:szCs w:val="21"/>
              </w:rPr>
            </w:pPr>
            <w:r>
              <w:rPr>
                <w:sz w:val="21"/>
                <w:szCs w:val="21"/>
              </w:rPr>
              <w:t>14.44</w:t>
            </w:r>
          </w:p>
        </w:tc>
        <w:tc>
          <w:tcPr>
            <w:tcW w:w="288" w:type="pct"/>
            <w:vAlign w:val="bottom"/>
          </w:tcPr>
          <w:p>
            <w:pPr>
              <w:spacing w:line="240" w:lineRule="auto"/>
              <w:ind w:firstLine="0" w:firstLineChars="0"/>
              <w:jc w:val="center"/>
              <w:textAlignment w:val="baseline"/>
              <w:rPr>
                <w:spacing w:val="-8"/>
                <w:sz w:val="21"/>
                <w:szCs w:val="21"/>
              </w:rPr>
            </w:pPr>
            <w:r>
              <w:rPr>
                <w:sz w:val="21"/>
                <w:szCs w:val="21"/>
              </w:rPr>
              <w:t>5.42</w:t>
            </w:r>
          </w:p>
        </w:tc>
        <w:tc>
          <w:tcPr>
            <w:tcW w:w="236" w:type="pct"/>
            <w:vAlign w:val="bottom"/>
          </w:tcPr>
          <w:p>
            <w:pPr>
              <w:spacing w:line="240" w:lineRule="auto"/>
              <w:ind w:firstLine="0" w:firstLineChars="0"/>
              <w:jc w:val="center"/>
              <w:textAlignment w:val="baseline"/>
              <w:rPr>
                <w:spacing w:val="-8"/>
                <w:sz w:val="21"/>
                <w:szCs w:val="21"/>
              </w:rPr>
            </w:pPr>
            <w:r>
              <w:rPr>
                <w:sz w:val="21"/>
                <w:szCs w:val="21"/>
              </w:rPr>
              <w:t>5.00</w:t>
            </w:r>
          </w:p>
        </w:tc>
        <w:tc>
          <w:tcPr>
            <w:tcW w:w="303" w:type="pct"/>
            <w:vAlign w:val="bottom"/>
          </w:tcPr>
          <w:p>
            <w:pPr>
              <w:spacing w:line="240" w:lineRule="auto"/>
              <w:ind w:firstLine="0" w:firstLineChars="0"/>
              <w:jc w:val="center"/>
              <w:textAlignment w:val="baseline"/>
              <w:rPr>
                <w:spacing w:val="-8"/>
                <w:sz w:val="21"/>
                <w:szCs w:val="21"/>
              </w:rPr>
            </w:pPr>
            <w:r>
              <w:rPr>
                <w:sz w:val="21"/>
                <w:szCs w:val="21"/>
              </w:rPr>
              <w:t>2.78</w:t>
            </w:r>
          </w:p>
        </w:tc>
        <w:tc>
          <w:tcPr>
            <w:tcW w:w="236" w:type="pct"/>
            <w:vAlign w:val="bottom"/>
          </w:tcPr>
          <w:p>
            <w:pPr>
              <w:spacing w:line="240" w:lineRule="auto"/>
              <w:ind w:firstLine="0" w:firstLineChars="0"/>
              <w:jc w:val="center"/>
              <w:textAlignment w:val="baseline"/>
              <w:rPr>
                <w:spacing w:val="-8"/>
                <w:sz w:val="21"/>
                <w:szCs w:val="21"/>
              </w:rPr>
            </w:pPr>
            <w:r>
              <w:rPr>
                <w:sz w:val="21"/>
                <w:szCs w:val="21"/>
              </w:rPr>
              <w:t>4.72</w:t>
            </w:r>
          </w:p>
        </w:tc>
        <w:tc>
          <w:tcPr>
            <w:tcW w:w="285" w:type="pct"/>
            <w:vAlign w:val="bottom"/>
          </w:tcPr>
          <w:p>
            <w:pPr>
              <w:spacing w:line="240" w:lineRule="auto"/>
              <w:ind w:firstLine="0" w:firstLineChars="0"/>
              <w:jc w:val="center"/>
              <w:textAlignment w:val="baseline"/>
              <w:rPr>
                <w:spacing w:val="-8"/>
                <w:sz w:val="21"/>
                <w:szCs w:val="21"/>
              </w:rPr>
            </w:pPr>
            <w:r>
              <w:rPr>
                <w:sz w:val="21"/>
                <w:szCs w:val="21"/>
              </w:rPr>
              <w:t>5.97</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91" w:type="pct"/>
            <w:vAlign w:val="center"/>
          </w:tcPr>
          <w:p>
            <w:pPr>
              <w:spacing w:line="240" w:lineRule="auto"/>
              <w:ind w:firstLine="0" w:firstLineChars="0"/>
              <w:jc w:val="center"/>
              <w:textAlignment w:val="baseline"/>
              <w:rPr>
                <w:spacing w:val="-4"/>
                <w:sz w:val="21"/>
                <w:szCs w:val="21"/>
              </w:rPr>
            </w:pPr>
            <w:r>
              <w:rPr>
                <w:spacing w:val="-4"/>
                <w:sz w:val="21"/>
                <w:szCs w:val="21"/>
              </w:rPr>
              <w:t>十二月</w:t>
            </w:r>
          </w:p>
        </w:tc>
        <w:tc>
          <w:tcPr>
            <w:tcW w:w="235" w:type="pct"/>
            <w:vAlign w:val="bottom"/>
          </w:tcPr>
          <w:p>
            <w:pPr>
              <w:spacing w:line="240" w:lineRule="auto"/>
              <w:ind w:firstLine="0" w:firstLineChars="0"/>
              <w:jc w:val="center"/>
              <w:textAlignment w:val="baseline"/>
              <w:rPr>
                <w:spacing w:val="-8"/>
                <w:sz w:val="21"/>
                <w:szCs w:val="21"/>
              </w:rPr>
            </w:pPr>
            <w:r>
              <w:rPr>
                <w:sz w:val="21"/>
                <w:szCs w:val="21"/>
              </w:rPr>
              <w:t>13.84</w:t>
            </w:r>
          </w:p>
        </w:tc>
        <w:tc>
          <w:tcPr>
            <w:tcW w:w="255" w:type="pct"/>
            <w:vAlign w:val="bottom"/>
          </w:tcPr>
          <w:p>
            <w:pPr>
              <w:spacing w:line="240" w:lineRule="auto"/>
              <w:ind w:firstLine="0" w:firstLineChars="0"/>
              <w:jc w:val="center"/>
              <w:textAlignment w:val="baseline"/>
              <w:rPr>
                <w:spacing w:val="-8"/>
                <w:sz w:val="21"/>
                <w:szCs w:val="21"/>
              </w:rPr>
            </w:pPr>
            <w:r>
              <w:rPr>
                <w:sz w:val="21"/>
                <w:szCs w:val="21"/>
              </w:rPr>
              <w:t>16.40</w:t>
            </w:r>
          </w:p>
        </w:tc>
        <w:tc>
          <w:tcPr>
            <w:tcW w:w="279" w:type="pct"/>
            <w:vAlign w:val="bottom"/>
          </w:tcPr>
          <w:p>
            <w:pPr>
              <w:spacing w:line="240" w:lineRule="auto"/>
              <w:ind w:firstLine="0" w:firstLineChars="0"/>
              <w:jc w:val="center"/>
              <w:textAlignment w:val="baseline"/>
              <w:rPr>
                <w:spacing w:val="-8"/>
                <w:sz w:val="21"/>
                <w:szCs w:val="21"/>
              </w:rPr>
            </w:pPr>
            <w:r>
              <w:rPr>
                <w:sz w:val="21"/>
                <w:szCs w:val="21"/>
              </w:rPr>
              <w:t>6.59</w:t>
            </w:r>
          </w:p>
        </w:tc>
        <w:tc>
          <w:tcPr>
            <w:tcW w:w="280" w:type="pct"/>
            <w:vAlign w:val="bottom"/>
          </w:tcPr>
          <w:p>
            <w:pPr>
              <w:spacing w:line="240" w:lineRule="auto"/>
              <w:ind w:firstLine="0" w:firstLineChars="0"/>
              <w:jc w:val="center"/>
              <w:textAlignment w:val="baseline"/>
              <w:rPr>
                <w:spacing w:val="-8"/>
                <w:sz w:val="21"/>
                <w:szCs w:val="21"/>
              </w:rPr>
            </w:pPr>
            <w:r>
              <w:rPr>
                <w:sz w:val="21"/>
                <w:szCs w:val="21"/>
              </w:rPr>
              <w:t>3.23</w:t>
            </w:r>
          </w:p>
        </w:tc>
        <w:tc>
          <w:tcPr>
            <w:tcW w:w="280" w:type="pct"/>
            <w:vAlign w:val="bottom"/>
          </w:tcPr>
          <w:p>
            <w:pPr>
              <w:spacing w:line="240" w:lineRule="auto"/>
              <w:ind w:firstLine="0" w:firstLineChars="0"/>
              <w:jc w:val="center"/>
              <w:textAlignment w:val="baseline"/>
              <w:rPr>
                <w:spacing w:val="-8"/>
                <w:sz w:val="21"/>
                <w:szCs w:val="21"/>
              </w:rPr>
            </w:pPr>
            <w:r>
              <w:rPr>
                <w:sz w:val="21"/>
                <w:szCs w:val="21"/>
              </w:rPr>
              <w:t>6.32</w:t>
            </w:r>
          </w:p>
        </w:tc>
        <w:tc>
          <w:tcPr>
            <w:tcW w:w="280" w:type="pct"/>
            <w:vAlign w:val="bottom"/>
          </w:tcPr>
          <w:p>
            <w:pPr>
              <w:spacing w:line="240" w:lineRule="auto"/>
              <w:ind w:firstLine="0" w:firstLineChars="0"/>
              <w:jc w:val="center"/>
              <w:textAlignment w:val="baseline"/>
              <w:rPr>
                <w:spacing w:val="-8"/>
                <w:sz w:val="21"/>
                <w:szCs w:val="21"/>
              </w:rPr>
            </w:pPr>
            <w:r>
              <w:rPr>
                <w:sz w:val="21"/>
                <w:szCs w:val="21"/>
              </w:rPr>
              <w:t>1.61</w:t>
            </w:r>
          </w:p>
        </w:tc>
        <w:tc>
          <w:tcPr>
            <w:tcW w:w="236" w:type="pct"/>
            <w:vAlign w:val="bottom"/>
          </w:tcPr>
          <w:p>
            <w:pPr>
              <w:spacing w:line="240" w:lineRule="auto"/>
              <w:ind w:firstLine="0" w:firstLineChars="0"/>
              <w:jc w:val="center"/>
              <w:textAlignment w:val="baseline"/>
              <w:rPr>
                <w:spacing w:val="-8"/>
                <w:sz w:val="21"/>
                <w:szCs w:val="21"/>
              </w:rPr>
            </w:pPr>
            <w:r>
              <w:rPr>
                <w:sz w:val="21"/>
                <w:szCs w:val="21"/>
              </w:rPr>
              <w:t>2.15</w:t>
            </w:r>
          </w:p>
        </w:tc>
        <w:tc>
          <w:tcPr>
            <w:tcW w:w="236" w:type="pct"/>
            <w:vAlign w:val="bottom"/>
          </w:tcPr>
          <w:p>
            <w:pPr>
              <w:spacing w:line="240" w:lineRule="auto"/>
              <w:ind w:firstLine="0" w:firstLineChars="0"/>
              <w:jc w:val="center"/>
              <w:textAlignment w:val="baseline"/>
              <w:rPr>
                <w:spacing w:val="-8"/>
                <w:sz w:val="21"/>
                <w:szCs w:val="21"/>
              </w:rPr>
            </w:pPr>
            <w:r>
              <w:rPr>
                <w:sz w:val="21"/>
                <w:szCs w:val="21"/>
              </w:rPr>
              <w:t>0.67</w:t>
            </w:r>
          </w:p>
        </w:tc>
        <w:tc>
          <w:tcPr>
            <w:tcW w:w="280" w:type="pct"/>
            <w:vAlign w:val="bottom"/>
          </w:tcPr>
          <w:p>
            <w:pPr>
              <w:spacing w:line="240" w:lineRule="auto"/>
              <w:ind w:firstLine="0" w:firstLineChars="0"/>
              <w:jc w:val="center"/>
              <w:textAlignment w:val="baseline"/>
              <w:rPr>
                <w:spacing w:val="-8"/>
                <w:sz w:val="21"/>
                <w:szCs w:val="21"/>
              </w:rPr>
            </w:pPr>
            <w:r>
              <w:rPr>
                <w:sz w:val="21"/>
                <w:szCs w:val="21"/>
              </w:rPr>
              <w:t>2.28</w:t>
            </w:r>
          </w:p>
        </w:tc>
        <w:tc>
          <w:tcPr>
            <w:tcW w:w="280" w:type="pct"/>
            <w:vAlign w:val="bottom"/>
          </w:tcPr>
          <w:p>
            <w:pPr>
              <w:spacing w:line="240" w:lineRule="auto"/>
              <w:ind w:firstLine="0" w:firstLineChars="0"/>
              <w:jc w:val="center"/>
              <w:textAlignment w:val="baseline"/>
              <w:rPr>
                <w:spacing w:val="-8"/>
                <w:sz w:val="21"/>
                <w:szCs w:val="21"/>
              </w:rPr>
            </w:pPr>
            <w:r>
              <w:rPr>
                <w:sz w:val="21"/>
                <w:szCs w:val="21"/>
              </w:rPr>
              <w:t>6.05</w:t>
            </w:r>
          </w:p>
        </w:tc>
        <w:tc>
          <w:tcPr>
            <w:tcW w:w="280" w:type="pct"/>
            <w:vAlign w:val="bottom"/>
          </w:tcPr>
          <w:p>
            <w:pPr>
              <w:spacing w:line="240" w:lineRule="auto"/>
              <w:ind w:firstLine="0" w:firstLineChars="0"/>
              <w:jc w:val="center"/>
              <w:textAlignment w:val="baseline"/>
              <w:rPr>
                <w:spacing w:val="-8"/>
                <w:sz w:val="21"/>
                <w:szCs w:val="21"/>
              </w:rPr>
            </w:pPr>
            <w:r>
              <w:rPr>
                <w:sz w:val="21"/>
                <w:szCs w:val="21"/>
              </w:rPr>
              <w:t>20.03</w:t>
            </w:r>
          </w:p>
        </w:tc>
        <w:tc>
          <w:tcPr>
            <w:tcW w:w="288" w:type="pct"/>
            <w:vAlign w:val="bottom"/>
          </w:tcPr>
          <w:p>
            <w:pPr>
              <w:spacing w:line="240" w:lineRule="auto"/>
              <w:ind w:firstLine="0" w:firstLineChars="0"/>
              <w:jc w:val="center"/>
              <w:textAlignment w:val="baseline"/>
              <w:rPr>
                <w:spacing w:val="-8"/>
                <w:sz w:val="21"/>
                <w:szCs w:val="21"/>
              </w:rPr>
            </w:pPr>
            <w:r>
              <w:rPr>
                <w:sz w:val="21"/>
                <w:szCs w:val="21"/>
              </w:rPr>
              <w:t>6.59</w:t>
            </w:r>
          </w:p>
        </w:tc>
        <w:tc>
          <w:tcPr>
            <w:tcW w:w="236" w:type="pct"/>
            <w:vAlign w:val="bottom"/>
          </w:tcPr>
          <w:p>
            <w:pPr>
              <w:spacing w:line="240" w:lineRule="auto"/>
              <w:ind w:firstLine="0" w:firstLineChars="0"/>
              <w:jc w:val="center"/>
              <w:textAlignment w:val="baseline"/>
              <w:rPr>
                <w:spacing w:val="-8"/>
                <w:sz w:val="21"/>
                <w:szCs w:val="21"/>
              </w:rPr>
            </w:pPr>
            <w:r>
              <w:rPr>
                <w:sz w:val="21"/>
                <w:szCs w:val="21"/>
              </w:rPr>
              <w:t>4.17</w:t>
            </w:r>
          </w:p>
        </w:tc>
        <w:tc>
          <w:tcPr>
            <w:tcW w:w="303" w:type="pct"/>
            <w:vAlign w:val="bottom"/>
          </w:tcPr>
          <w:p>
            <w:pPr>
              <w:spacing w:line="240" w:lineRule="auto"/>
              <w:ind w:firstLine="0" w:firstLineChars="0"/>
              <w:jc w:val="center"/>
              <w:textAlignment w:val="baseline"/>
              <w:rPr>
                <w:spacing w:val="-8"/>
                <w:sz w:val="21"/>
                <w:szCs w:val="21"/>
              </w:rPr>
            </w:pPr>
            <w:r>
              <w:rPr>
                <w:sz w:val="21"/>
                <w:szCs w:val="21"/>
              </w:rPr>
              <w:t>2.28</w:t>
            </w:r>
          </w:p>
        </w:tc>
        <w:tc>
          <w:tcPr>
            <w:tcW w:w="236" w:type="pct"/>
            <w:vAlign w:val="bottom"/>
          </w:tcPr>
          <w:p>
            <w:pPr>
              <w:spacing w:line="240" w:lineRule="auto"/>
              <w:ind w:firstLine="0" w:firstLineChars="0"/>
              <w:jc w:val="center"/>
              <w:textAlignment w:val="baseline"/>
              <w:rPr>
                <w:spacing w:val="-8"/>
                <w:sz w:val="21"/>
                <w:szCs w:val="21"/>
              </w:rPr>
            </w:pPr>
            <w:r>
              <w:rPr>
                <w:sz w:val="21"/>
                <w:szCs w:val="21"/>
              </w:rPr>
              <w:t>3.09</w:t>
            </w:r>
          </w:p>
        </w:tc>
        <w:tc>
          <w:tcPr>
            <w:tcW w:w="285" w:type="pct"/>
            <w:vAlign w:val="bottom"/>
          </w:tcPr>
          <w:p>
            <w:pPr>
              <w:spacing w:line="240" w:lineRule="auto"/>
              <w:ind w:firstLine="0" w:firstLineChars="0"/>
              <w:jc w:val="center"/>
              <w:textAlignment w:val="baseline"/>
              <w:rPr>
                <w:spacing w:val="-8"/>
                <w:sz w:val="21"/>
                <w:szCs w:val="21"/>
              </w:rPr>
            </w:pPr>
            <w:r>
              <w:rPr>
                <w:sz w:val="21"/>
                <w:szCs w:val="21"/>
              </w:rPr>
              <w:t>4.70</w:t>
            </w:r>
          </w:p>
        </w:tc>
        <w:tc>
          <w:tcPr>
            <w:tcW w:w="234" w:type="pct"/>
            <w:vAlign w:val="bottom"/>
          </w:tcPr>
          <w:p>
            <w:pPr>
              <w:spacing w:line="240" w:lineRule="auto"/>
              <w:ind w:firstLine="0" w:firstLineChars="0"/>
              <w:jc w:val="center"/>
              <w:textAlignment w:val="baseline"/>
              <w:rPr>
                <w:spacing w:val="-8"/>
                <w:sz w:val="21"/>
                <w:szCs w:val="21"/>
              </w:rPr>
            </w:pPr>
            <w:r>
              <w:rPr>
                <w:sz w:val="21"/>
                <w:szCs w:val="21"/>
              </w:rPr>
              <w:t>0.00</w:t>
            </w:r>
          </w:p>
        </w:tc>
      </w:tr>
    </w:tbl>
    <w:p>
      <w:pPr>
        <w:spacing w:line="450" w:lineRule="exact"/>
        <w:ind w:firstLine="0" w:firstLineChars="0"/>
        <w:jc w:val="center"/>
        <w:rPr>
          <w:b/>
          <w:bCs/>
        </w:rPr>
      </w:pPr>
      <w:r>
        <w:rPr>
          <w:b/>
          <w:bCs/>
          <w:snapToGrid w:val="0"/>
          <w:spacing w:val="8"/>
          <w:kern w:val="0"/>
          <w:sz w:val="24"/>
          <w:szCs w:val="24"/>
        </w:rPr>
        <w:t>表6.2-5</w:t>
      </w:r>
      <w:r>
        <w:rPr>
          <w:b/>
          <w:bCs/>
          <w:sz w:val="24"/>
          <w:szCs w:val="24"/>
        </w:rPr>
        <w:t xml:space="preserve">     2022年平均风频的季变化及年均风频</w:t>
      </w:r>
    </w:p>
    <w:tbl>
      <w:tblPr>
        <w:tblStyle w:val="8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818"/>
        <w:gridCol w:w="818"/>
        <w:gridCol w:w="818"/>
        <w:gridCol w:w="733"/>
        <w:gridCol w:w="818"/>
        <w:gridCol w:w="684"/>
        <w:gridCol w:w="684"/>
        <w:gridCol w:w="684"/>
        <w:gridCol w:w="733"/>
        <w:gridCol w:w="733"/>
        <w:gridCol w:w="818"/>
        <w:gridCol w:w="807"/>
        <w:gridCol w:w="690"/>
        <w:gridCol w:w="832"/>
        <w:gridCol w:w="684"/>
        <w:gridCol w:w="776"/>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77"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风向风频（%）</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N</w:t>
            </w:r>
          </w:p>
        </w:tc>
        <w:tc>
          <w:tcPr>
            <w:tcW w:w="256"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NNE</w:t>
            </w:r>
          </w:p>
        </w:tc>
        <w:tc>
          <w:tcPr>
            <w:tcW w:w="283"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NE</w:t>
            </w:r>
          </w:p>
        </w:tc>
        <w:tc>
          <w:tcPr>
            <w:tcW w:w="283"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ENE</w:t>
            </w:r>
          </w:p>
        </w:tc>
        <w:tc>
          <w:tcPr>
            <w:tcW w:w="283"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E</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ESE</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SE</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SSE</w:t>
            </w:r>
          </w:p>
        </w:tc>
        <w:tc>
          <w:tcPr>
            <w:tcW w:w="283"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S</w:t>
            </w:r>
          </w:p>
        </w:tc>
        <w:tc>
          <w:tcPr>
            <w:tcW w:w="283"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SSW</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SW</w:t>
            </w:r>
          </w:p>
        </w:tc>
        <w:tc>
          <w:tcPr>
            <w:tcW w:w="29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WSW</w:t>
            </w:r>
          </w:p>
        </w:tc>
        <w:tc>
          <w:tcPr>
            <w:tcW w:w="283"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W</w:t>
            </w:r>
          </w:p>
        </w:tc>
        <w:tc>
          <w:tcPr>
            <w:tcW w:w="304"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WNW</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NW</w:t>
            </w:r>
          </w:p>
        </w:tc>
        <w:tc>
          <w:tcPr>
            <w:tcW w:w="285"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NNW</w:t>
            </w:r>
          </w:p>
        </w:tc>
        <w:tc>
          <w:tcPr>
            <w:tcW w:w="240" w:type="pct"/>
            <w:shd w:val="clear" w:color="auto" w:fill="D9D9D9"/>
            <w:vAlign w:val="center"/>
          </w:tcPr>
          <w:p>
            <w:pPr>
              <w:spacing w:line="240" w:lineRule="auto"/>
              <w:ind w:firstLine="0" w:firstLineChars="0"/>
              <w:jc w:val="center"/>
              <w:textAlignment w:val="baseline"/>
              <w:rPr>
                <w:b/>
                <w:spacing w:val="-8"/>
                <w:sz w:val="21"/>
                <w:szCs w:val="21"/>
              </w:rPr>
            </w:pPr>
            <w:r>
              <w:rPr>
                <w:b/>
                <w:spacing w:val="-8"/>
                <w:sz w:val="21"/>
                <w:szCs w:val="21"/>
              </w:rPr>
              <w:t xml:space="preserve"> C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7" w:type="pct"/>
            <w:vAlign w:val="center"/>
          </w:tcPr>
          <w:p>
            <w:pPr>
              <w:spacing w:line="240" w:lineRule="auto"/>
              <w:ind w:firstLine="0" w:firstLineChars="0"/>
              <w:jc w:val="center"/>
              <w:textAlignment w:val="baseline"/>
              <w:rPr>
                <w:spacing w:val="-8"/>
                <w:sz w:val="21"/>
                <w:szCs w:val="21"/>
              </w:rPr>
            </w:pPr>
            <w:r>
              <w:rPr>
                <w:spacing w:val="-8"/>
                <w:sz w:val="21"/>
                <w:szCs w:val="21"/>
              </w:rPr>
              <w:t>春季</w:t>
            </w:r>
          </w:p>
        </w:tc>
        <w:tc>
          <w:tcPr>
            <w:tcW w:w="681" w:type="dxa"/>
            <w:vAlign w:val="bottom"/>
          </w:tcPr>
          <w:p>
            <w:pPr>
              <w:spacing w:line="240" w:lineRule="auto"/>
              <w:ind w:firstLine="0" w:firstLineChars="0"/>
              <w:jc w:val="center"/>
              <w:textAlignment w:val="baseline"/>
              <w:rPr>
                <w:spacing w:val="-8"/>
                <w:sz w:val="21"/>
                <w:szCs w:val="21"/>
              </w:rPr>
            </w:pPr>
            <w:r>
              <w:rPr>
                <w:sz w:val="21"/>
                <w:szCs w:val="21"/>
              </w:rPr>
              <w:t>9.01</w:t>
            </w:r>
          </w:p>
        </w:tc>
        <w:tc>
          <w:tcPr>
            <w:tcW w:w="727" w:type="dxa"/>
            <w:vAlign w:val="bottom"/>
          </w:tcPr>
          <w:p>
            <w:pPr>
              <w:spacing w:line="240" w:lineRule="auto"/>
              <w:ind w:firstLine="0" w:firstLineChars="0"/>
              <w:jc w:val="center"/>
              <w:textAlignment w:val="baseline"/>
              <w:rPr>
                <w:spacing w:val="-8"/>
                <w:sz w:val="21"/>
                <w:szCs w:val="21"/>
              </w:rPr>
            </w:pPr>
            <w:r>
              <w:rPr>
                <w:sz w:val="21"/>
                <w:szCs w:val="21"/>
              </w:rPr>
              <w:t>17.98</w:t>
            </w:r>
          </w:p>
        </w:tc>
        <w:tc>
          <w:tcPr>
            <w:tcW w:w="803" w:type="dxa"/>
            <w:vAlign w:val="bottom"/>
          </w:tcPr>
          <w:p>
            <w:pPr>
              <w:spacing w:line="240" w:lineRule="auto"/>
              <w:ind w:firstLine="0" w:firstLineChars="0"/>
              <w:jc w:val="center"/>
              <w:textAlignment w:val="baseline"/>
              <w:rPr>
                <w:spacing w:val="-8"/>
                <w:sz w:val="21"/>
                <w:szCs w:val="21"/>
              </w:rPr>
            </w:pPr>
            <w:r>
              <w:rPr>
                <w:sz w:val="21"/>
                <w:szCs w:val="21"/>
              </w:rPr>
              <w:t>10.69</w:t>
            </w:r>
          </w:p>
        </w:tc>
        <w:tc>
          <w:tcPr>
            <w:tcW w:w="803" w:type="dxa"/>
            <w:vAlign w:val="bottom"/>
          </w:tcPr>
          <w:p>
            <w:pPr>
              <w:spacing w:line="240" w:lineRule="auto"/>
              <w:ind w:firstLine="0" w:firstLineChars="0"/>
              <w:jc w:val="center"/>
              <w:textAlignment w:val="baseline"/>
              <w:rPr>
                <w:spacing w:val="-8"/>
                <w:sz w:val="21"/>
                <w:szCs w:val="21"/>
              </w:rPr>
            </w:pPr>
            <w:r>
              <w:rPr>
                <w:sz w:val="21"/>
                <w:szCs w:val="21"/>
              </w:rPr>
              <w:t>7.16</w:t>
            </w:r>
          </w:p>
        </w:tc>
        <w:tc>
          <w:tcPr>
            <w:tcW w:w="803" w:type="dxa"/>
            <w:vAlign w:val="bottom"/>
          </w:tcPr>
          <w:p>
            <w:pPr>
              <w:spacing w:line="240" w:lineRule="auto"/>
              <w:ind w:firstLine="0" w:firstLineChars="0"/>
              <w:jc w:val="center"/>
              <w:textAlignment w:val="baseline"/>
              <w:rPr>
                <w:spacing w:val="-8"/>
                <w:sz w:val="21"/>
                <w:szCs w:val="21"/>
              </w:rPr>
            </w:pPr>
            <w:r>
              <w:rPr>
                <w:sz w:val="21"/>
                <w:szCs w:val="21"/>
              </w:rPr>
              <w:t>10.24</w:t>
            </w:r>
          </w:p>
        </w:tc>
        <w:tc>
          <w:tcPr>
            <w:tcW w:w="681" w:type="dxa"/>
            <w:vAlign w:val="bottom"/>
          </w:tcPr>
          <w:p>
            <w:pPr>
              <w:spacing w:line="240" w:lineRule="auto"/>
              <w:ind w:firstLine="0" w:firstLineChars="0"/>
              <w:jc w:val="center"/>
              <w:textAlignment w:val="baseline"/>
              <w:rPr>
                <w:spacing w:val="-8"/>
                <w:sz w:val="21"/>
                <w:szCs w:val="21"/>
              </w:rPr>
            </w:pPr>
            <w:r>
              <w:rPr>
                <w:sz w:val="21"/>
                <w:szCs w:val="21"/>
              </w:rPr>
              <w:t>4.66</w:t>
            </w:r>
          </w:p>
        </w:tc>
        <w:tc>
          <w:tcPr>
            <w:tcW w:w="681" w:type="dxa"/>
            <w:vAlign w:val="bottom"/>
          </w:tcPr>
          <w:p>
            <w:pPr>
              <w:spacing w:line="240" w:lineRule="auto"/>
              <w:ind w:firstLine="0" w:firstLineChars="0"/>
              <w:jc w:val="center"/>
              <w:textAlignment w:val="baseline"/>
              <w:rPr>
                <w:spacing w:val="-8"/>
                <w:sz w:val="21"/>
                <w:szCs w:val="21"/>
              </w:rPr>
            </w:pPr>
            <w:r>
              <w:rPr>
                <w:sz w:val="21"/>
                <w:szCs w:val="21"/>
              </w:rPr>
              <w:t>3.26</w:t>
            </w:r>
          </w:p>
        </w:tc>
        <w:tc>
          <w:tcPr>
            <w:tcW w:w="681" w:type="dxa"/>
            <w:vAlign w:val="bottom"/>
          </w:tcPr>
          <w:p>
            <w:pPr>
              <w:spacing w:line="240" w:lineRule="auto"/>
              <w:ind w:firstLine="0" w:firstLineChars="0"/>
              <w:jc w:val="center"/>
              <w:textAlignment w:val="baseline"/>
              <w:rPr>
                <w:spacing w:val="-8"/>
                <w:sz w:val="21"/>
                <w:szCs w:val="21"/>
              </w:rPr>
            </w:pPr>
            <w:r>
              <w:rPr>
                <w:sz w:val="21"/>
                <w:szCs w:val="21"/>
              </w:rPr>
              <w:t>1.95</w:t>
            </w:r>
          </w:p>
        </w:tc>
        <w:tc>
          <w:tcPr>
            <w:tcW w:w="803" w:type="dxa"/>
            <w:vAlign w:val="bottom"/>
          </w:tcPr>
          <w:p>
            <w:pPr>
              <w:spacing w:line="240" w:lineRule="auto"/>
              <w:ind w:firstLine="0" w:firstLineChars="0"/>
              <w:jc w:val="center"/>
              <w:textAlignment w:val="baseline"/>
              <w:rPr>
                <w:spacing w:val="-8"/>
                <w:sz w:val="21"/>
                <w:szCs w:val="21"/>
              </w:rPr>
            </w:pPr>
            <w:r>
              <w:rPr>
                <w:sz w:val="21"/>
                <w:szCs w:val="21"/>
              </w:rPr>
              <w:t>3.76</w:t>
            </w:r>
          </w:p>
        </w:tc>
        <w:tc>
          <w:tcPr>
            <w:tcW w:w="803" w:type="dxa"/>
            <w:vAlign w:val="bottom"/>
          </w:tcPr>
          <w:p>
            <w:pPr>
              <w:spacing w:line="240" w:lineRule="auto"/>
              <w:ind w:firstLine="0" w:firstLineChars="0"/>
              <w:jc w:val="center"/>
              <w:textAlignment w:val="baseline"/>
              <w:rPr>
                <w:spacing w:val="-8"/>
                <w:sz w:val="21"/>
                <w:szCs w:val="21"/>
              </w:rPr>
            </w:pPr>
            <w:r>
              <w:rPr>
                <w:sz w:val="21"/>
                <w:szCs w:val="21"/>
              </w:rPr>
              <w:t>6.61</w:t>
            </w:r>
          </w:p>
        </w:tc>
        <w:tc>
          <w:tcPr>
            <w:tcW w:w="681" w:type="dxa"/>
            <w:vAlign w:val="bottom"/>
          </w:tcPr>
          <w:p>
            <w:pPr>
              <w:spacing w:line="240" w:lineRule="auto"/>
              <w:ind w:firstLine="0" w:firstLineChars="0"/>
              <w:jc w:val="center"/>
              <w:textAlignment w:val="baseline"/>
              <w:rPr>
                <w:spacing w:val="-8"/>
                <w:sz w:val="21"/>
                <w:szCs w:val="21"/>
              </w:rPr>
            </w:pPr>
            <w:r>
              <w:rPr>
                <w:sz w:val="21"/>
                <w:szCs w:val="21"/>
              </w:rPr>
              <w:t>10.60</w:t>
            </w:r>
          </w:p>
        </w:tc>
        <w:tc>
          <w:tcPr>
            <w:tcW w:w="823" w:type="dxa"/>
            <w:vAlign w:val="bottom"/>
          </w:tcPr>
          <w:p>
            <w:pPr>
              <w:spacing w:line="240" w:lineRule="auto"/>
              <w:ind w:firstLine="0" w:firstLineChars="0"/>
              <w:jc w:val="center"/>
              <w:textAlignment w:val="baseline"/>
              <w:rPr>
                <w:spacing w:val="-8"/>
                <w:sz w:val="21"/>
                <w:szCs w:val="21"/>
              </w:rPr>
            </w:pPr>
            <w:r>
              <w:rPr>
                <w:sz w:val="21"/>
                <w:szCs w:val="21"/>
              </w:rPr>
              <w:t>3.40</w:t>
            </w:r>
          </w:p>
        </w:tc>
        <w:tc>
          <w:tcPr>
            <w:tcW w:w="803" w:type="dxa"/>
            <w:vAlign w:val="bottom"/>
          </w:tcPr>
          <w:p>
            <w:pPr>
              <w:spacing w:line="240" w:lineRule="auto"/>
              <w:ind w:firstLine="0" w:firstLineChars="0"/>
              <w:jc w:val="center"/>
              <w:textAlignment w:val="baseline"/>
              <w:rPr>
                <w:spacing w:val="-8"/>
                <w:sz w:val="21"/>
                <w:szCs w:val="21"/>
              </w:rPr>
            </w:pPr>
            <w:r>
              <w:rPr>
                <w:sz w:val="21"/>
                <w:szCs w:val="21"/>
              </w:rPr>
              <w:t>3.03</w:t>
            </w:r>
          </w:p>
        </w:tc>
        <w:tc>
          <w:tcPr>
            <w:tcW w:w="864" w:type="dxa"/>
            <w:vAlign w:val="bottom"/>
          </w:tcPr>
          <w:p>
            <w:pPr>
              <w:spacing w:line="240" w:lineRule="auto"/>
              <w:ind w:firstLine="0" w:firstLineChars="0"/>
              <w:jc w:val="center"/>
              <w:textAlignment w:val="baseline"/>
              <w:rPr>
                <w:spacing w:val="-8"/>
                <w:sz w:val="21"/>
                <w:szCs w:val="21"/>
              </w:rPr>
            </w:pPr>
            <w:r>
              <w:rPr>
                <w:sz w:val="21"/>
                <w:szCs w:val="21"/>
              </w:rPr>
              <w:t>1.31</w:t>
            </w:r>
          </w:p>
        </w:tc>
        <w:tc>
          <w:tcPr>
            <w:tcW w:w="682" w:type="dxa"/>
            <w:vAlign w:val="bottom"/>
          </w:tcPr>
          <w:p>
            <w:pPr>
              <w:spacing w:line="240" w:lineRule="auto"/>
              <w:ind w:firstLine="0" w:firstLineChars="0"/>
              <w:jc w:val="center"/>
              <w:textAlignment w:val="baseline"/>
              <w:rPr>
                <w:spacing w:val="-8"/>
                <w:sz w:val="21"/>
                <w:szCs w:val="21"/>
              </w:rPr>
            </w:pPr>
            <w:r>
              <w:rPr>
                <w:sz w:val="21"/>
                <w:szCs w:val="21"/>
              </w:rPr>
              <w:t>2.08</w:t>
            </w:r>
          </w:p>
        </w:tc>
        <w:tc>
          <w:tcPr>
            <w:tcW w:w="810" w:type="dxa"/>
            <w:vAlign w:val="bottom"/>
          </w:tcPr>
          <w:p>
            <w:pPr>
              <w:spacing w:line="240" w:lineRule="auto"/>
              <w:ind w:firstLine="0" w:firstLineChars="0"/>
              <w:jc w:val="center"/>
              <w:textAlignment w:val="baseline"/>
              <w:rPr>
                <w:spacing w:val="-8"/>
                <w:sz w:val="21"/>
                <w:szCs w:val="21"/>
              </w:rPr>
            </w:pPr>
            <w:r>
              <w:rPr>
                <w:sz w:val="21"/>
                <w:szCs w:val="21"/>
              </w:rPr>
              <w:t>3.89</w:t>
            </w:r>
          </w:p>
        </w:tc>
        <w:tc>
          <w:tcPr>
            <w:tcW w:w="682" w:type="dxa"/>
            <w:vAlign w:val="bottom"/>
          </w:tcPr>
          <w:p>
            <w:pPr>
              <w:spacing w:line="240" w:lineRule="auto"/>
              <w:ind w:firstLine="0" w:firstLineChars="0"/>
              <w:jc w:val="center"/>
              <w:textAlignment w:val="baseline"/>
              <w:rPr>
                <w:spacing w:val="-8"/>
                <w:sz w:val="21"/>
                <w:szCs w:val="21"/>
              </w:rPr>
            </w:pPr>
            <w:r>
              <w:rPr>
                <w:sz w:val="21"/>
                <w:szCs w:val="21"/>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7" w:type="pct"/>
            <w:vAlign w:val="center"/>
          </w:tcPr>
          <w:p>
            <w:pPr>
              <w:spacing w:line="240" w:lineRule="auto"/>
              <w:ind w:firstLine="0" w:firstLineChars="0"/>
              <w:jc w:val="center"/>
              <w:textAlignment w:val="baseline"/>
              <w:rPr>
                <w:spacing w:val="-8"/>
                <w:sz w:val="21"/>
                <w:szCs w:val="21"/>
              </w:rPr>
            </w:pPr>
            <w:r>
              <w:rPr>
                <w:spacing w:val="-8"/>
                <w:sz w:val="21"/>
                <w:szCs w:val="21"/>
              </w:rPr>
              <w:t>夏季</w:t>
            </w:r>
          </w:p>
        </w:tc>
        <w:tc>
          <w:tcPr>
            <w:tcW w:w="681" w:type="dxa"/>
            <w:vAlign w:val="bottom"/>
          </w:tcPr>
          <w:p>
            <w:pPr>
              <w:spacing w:line="240" w:lineRule="auto"/>
              <w:ind w:firstLine="0" w:firstLineChars="0"/>
              <w:jc w:val="center"/>
              <w:textAlignment w:val="baseline"/>
              <w:rPr>
                <w:spacing w:val="-8"/>
                <w:sz w:val="21"/>
                <w:szCs w:val="21"/>
              </w:rPr>
            </w:pPr>
            <w:r>
              <w:rPr>
                <w:sz w:val="21"/>
                <w:szCs w:val="21"/>
              </w:rPr>
              <w:t>4.98</w:t>
            </w:r>
          </w:p>
        </w:tc>
        <w:tc>
          <w:tcPr>
            <w:tcW w:w="727" w:type="dxa"/>
            <w:vAlign w:val="bottom"/>
          </w:tcPr>
          <w:p>
            <w:pPr>
              <w:spacing w:line="240" w:lineRule="auto"/>
              <w:ind w:firstLine="0" w:firstLineChars="0"/>
              <w:jc w:val="center"/>
              <w:textAlignment w:val="baseline"/>
              <w:rPr>
                <w:spacing w:val="-8"/>
                <w:sz w:val="21"/>
                <w:szCs w:val="21"/>
              </w:rPr>
            </w:pPr>
            <w:r>
              <w:rPr>
                <w:sz w:val="21"/>
                <w:szCs w:val="21"/>
              </w:rPr>
              <w:t>8.33</w:t>
            </w:r>
          </w:p>
        </w:tc>
        <w:tc>
          <w:tcPr>
            <w:tcW w:w="803" w:type="dxa"/>
            <w:vAlign w:val="bottom"/>
          </w:tcPr>
          <w:p>
            <w:pPr>
              <w:spacing w:line="240" w:lineRule="auto"/>
              <w:ind w:firstLine="0" w:firstLineChars="0"/>
              <w:jc w:val="center"/>
              <w:textAlignment w:val="baseline"/>
              <w:rPr>
                <w:spacing w:val="-8"/>
                <w:sz w:val="21"/>
                <w:szCs w:val="21"/>
              </w:rPr>
            </w:pPr>
            <w:r>
              <w:rPr>
                <w:sz w:val="21"/>
                <w:szCs w:val="21"/>
              </w:rPr>
              <w:t>5.30</w:t>
            </w:r>
          </w:p>
        </w:tc>
        <w:tc>
          <w:tcPr>
            <w:tcW w:w="803" w:type="dxa"/>
            <w:vAlign w:val="bottom"/>
          </w:tcPr>
          <w:p>
            <w:pPr>
              <w:spacing w:line="240" w:lineRule="auto"/>
              <w:ind w:firstLine="0" w:firstLineChars="0"/>
              <w:jc w:val="center"/>
              <w:textAlignment w:val="baseline"/>
              <w:rPr>
                <w:spacing w:val="-8"/>
                <w:sz w:val="21"/>
                <w:szCs w:val="21"/>
              </w:rPr>
            </w:pPr>
            <w:r>
              <w:rPr>
                <w:sz w:val="21"/>
                <w:szCs w:val="21"/>
              </w:rPr>
              <w:t>6.43</w:t>
            </w:r>
          </w:p>
        </w:tc>
        <w:tc>
          <w:tcPr>
            <w:tcW w:w="803" w:type="dxa"/>
            <w:vAlign w:val="bottom"/>
          </w:tcPr>
          <w:p>
            <w:pPr>
              <w:spacing w:line="240" w:lineRule="auto"/>
              <w:ind w:firstLine="0" w:firstLineChars="0"/>
              <w:jc w:val="center"/>
              <w:textAlignment w:val="baseline"/>
              <w:rPr>
                <w:spacing w:val="-8"/>
                <w:sz w:val="21"/>
                <w:szCs w:val="21"/>
              </w:rPr>
            </w:pPr>
            <w:r>
              <w:rPr>
                <w:sz w:val="21"/>
                <w:szCs w:val="21"/>
              </w:rPr>
              <w:t>9.65</w:t>
            </w:r>
          </w:p>
        </w:tc>
        <w:tc>
          <w:tcPr>
            <w:tcW w:w="681" w:type="dxa"/>
            <w:vAlign w:val="bottom"/>
          </w:tcPr>
          <w:p>
            <w:pPr>
              <w:spacing w:line="240" w:lineRule="auto"/>
              <w:ind w:firstLine="0" w:firstLineChars="0"/>
              <w:jc w:val="center"/>
              <w:textAlignment w:val="baseline"/>
              <w:rPr>
                <w:spacing w:val="-8"/>
                <w:sz w:val="21"/>
                <w:szCs w:val="21"/>
              </w:rPr>
            </w:pPr>
            <w:r>
              <w:rPr>
                <w:sz w:val="21"/>
                <w:szCs w:val="21"/>
              </w:rPr>
              <w:t>8.24</w:t>
            </w:r>
          </w:p>
        </w:tc>
        <w:tc>
          <w:tcPr>
            <w:tcW w:w="681" w:type="dxa"/>
            <w:vAlign w:val="bottom"/>
          </w:tcPr>
          <w:p>
            <w:pPr>
              <w:spacing w:line="240" w:lineRule="auto"/>
              <w:ind w:firstLine="0" w:firstLineChars="0"/>
              <w:jc w:val="center"/>
              <w:textAlignment w:val="baseline"/>
              <w:rPr>
                <w:spacing w:val="-8"/>
                <w:sz w:val="21"/>
                <w:szCs w:val="21"/>
              </w:rPr>
            </w:pPr>
            <w:r>
              <w:rPr>
                <w:sz w:val="21"/>
                <w:szCs w:val="21"/>
              </w:rPr>
              <w:t>7.29</w:t>
            </w:r>
          </w:p>
        </w:tc>
        <w:tc>
          <w:tcPr>
            <w:tcW w:w="681" w:type="dxa"/>
            <w:vAlign w:val="bottom"/>
          </w:tcPr>
          <w:p>
            <w:pPr>
              <w:spacing w:line="240" w:lineRule="auto"/>
              <w:ind w:firstLine="0" w:firstLineChars="0"/>
              <w:jc w:val="center"/>
              <w:textAlignment w:val="baseline"/>
              <w:rPr>
                <w:spacing w:val="-8"/>
                <w:sz w:val="21"/>
                <w:szCs w:val="21"/>
              </w:rPr>
            </w:pPr>
            <w:r>
              <w:rPr>
                <w:sz w:val="21"/>
                <w:szCs w:val="21"/>
              </w:rPr>
              <w:t>7.56</w:t>
            </w:r>
          </w:p>
        </w:tc>
        <w:tc>
          <w:tcPr>
            <w:tcW w:w="803" w:type="dxa"/>
            <w:vAlign w:val="bottom"/>
          </w:tcPr>
          <w:p>
            <w:pPr>
              <w:spacing w:line="240" w:lineRule="auto"/>
              <w:ind w:firstLine="0" w:firstLineChars="0"/>
              <w:jc w:val="center"/>
              <w:textAlignment w:val="baseline"/>
              <w:rPr>
                <w:spacing w:val="-8"/>
                <w:sz w:val="21"/>
                <w:szCs w:val="21"/>
              </w:rPr>
            </w:pPr>
            <w:r>
              <w:rPr>
                <w:sz w:val="21"/>
                <w:szCs w:val="21"/>
              </w:rPr>
              <w:t>8.02</w:t>
            </w:r>
          </w:p>
        </w:tc>
        <w:tc>
          <w:tcPr>
            <w:tcW w:w="803" w:type="dxa"/>
            <w:vAlign w:val="bottom"/>
          </w:tcPr>
          <w:p>
            <w:pPr>
              <w:spacing w:line="240" w:lineRule="auto"/>
              <w:ind w:firstLine="0" w:firstLineChars="0"/>
              <w:jc w:val="center"/>
              <w:textAlignment w:val="baseline"/>
              <w:rPr>
                <w:spacing w:val="-8"/>
                <w:sz w:val="21"/>
                <w:szCs w:val="21"/>
              </w:rPr>
            </w:pPr>
            <w:r>
              <w:rPr>
                <w:sz w:val="21"/>
                <w:szCs w:val="21"/>
              </w:rPr>
              <w:t>6.75</w:t>
            </w:r>
          </w:p>
        </w:tc>
        <w:tc>
          <w:tcPr>
            <w:tcW w:w="681" w:type="dxa"/>
            <w:vAlign w:val="bottom"/>
          </w:tcPr>
          <w:p>
            <w:pPr>
              <w:spacing w:line="240" w:lineRule="auto"/>
              <w:ind w:firstLine="0" w:firstLineChars="0"/>
              <w:jc w:val="center"/>
              <w:textAlignment w:val="baseline"/>
              <w:rPr>
                <w:spacing w:val="-8"/>
                <w:sz w:val="21"/>
                <w:szCs w:val="21"/>
              </w:rPr>
            </w:pPr>
            <w:r>
              <w:rPr>
                <w:sz w:val="21"/>
                <w:szCs w:val="21"/>
              </w:rPr>
              <w:t>10.69</w:t>
            </w:r>
          </w:p>
        </w:tc>
        <w:tc>
          <w:tcPr>
            <w:tcW w:w="823" w:type="dxa"/>
            <w:vAlign w:val="bottom"/>
          </w:tcPr>
          <w:p>
            <w:pPr>
              <w:spacing w:line="240" w:lineRule="auto"/>
              <w:ind w:firstLine="0" w:firstLineChars="0"/>
              <w:jc w:val="center"/>
              <w:textAlignment w:val="baseline"/>
              <w:rPr>
                <w:spacing w:val="-8"/>
                <w:sz w:val="21"/>
                <w:szCs w:val="21"/>
              </w:rPr>
            </w:pPr>
            <w:r>
              <w:rPr>
                <w:sz w:val="21"/>
                <w:szCs w:val="21"/>
              </w:rPr>
              <w:t>4.62</w:t>
            </w:r>
          </w:p>
        </w:tc>
        <w:tc>
          <w:tcPr>
            <w:tcW w:w="803" w:type="dxa"/>
            <w:vAlign w:val="bottom"/>
          </w:tcPr>
          <w:p>
            <w:pPr>
              <w:spacing w:line="240" w:lineRule="auto"/>
              <w:ind w:firstLine="0" w:firstLineChars="0"/>
              <w:jc w:val="center"/>
              <w:textAlignment w:val="baseline"/>
              <w:rPr>
                <w:spacing w:val="-8"/>
                <w:sz w:val="21"/>
                <w:szCs w:val="21"/>
              </w:rPr>
            </w:pPr>
            <w:r>
              <w:rPr>
                <w:sz w:val="21"/>
                <w:szCs w:val="21"/>
              </w:rPr>
              <w:t>4.48</w:t>
            </w:r>
          </w:p>
        </w:tc>
        <w:tc>
          <w:tcPr>
            <w:tcW w:w="864" w:type="dxa"/>
            <w:vAlign w:val="bottom"/>
          </w:tcPr>
          <w:p>
            <w:pPr>
              <w:spacing w:line="240" w:lineRule="auto"/>
              <w:ind w:firstLine="0" w:firstLineChars="0"/>
              <w:jc w:val="center"/>
              <w:textAlignment w:val="baseline"/>
              <w:rPr>
                <w:spacing w:val="-8"/>
                <w:sz w:val="21"/>
                <w:szCs w:val="21"/>
              </w:rPr>
            </w:pPr>
            <w:r>
              <w:rPr>
                <w:sz w:val="21"/>
                <w:szCs w:val="21"/>
              </w:rPr>
              <w:t>2.36</w:t>
            </w:r>
          </w:p>
        </w:tc>
        <w:tc>
          <w:tcPr>
            <w:tcW w:w="682" w:type="dxa"/>
            <w:vAlign w:val="bottom"/>
          </w:tcPr>
          <w:p>
            <w:pPr>
              <w:spacing w:line="240" w:lineRule="auto"/>
              <w:ind w:firstLine="0" w:firstLineChars="0"/>
              <w:jc w:val="center"/>
              <w:textAlignment w:val="baseline"/>
              <w:rPr>
                <w:spacing w:val="-8"/>
                <w:sz w:val="21"/>
                <w:szCs w:val="21"/>
              </w:rPr>
            </w:pPr>
            <w:r>
              <w:rPr>
                <w:sz w:val="21"/>
                <w:szCs w:val="21"/>
              </w:rPr>
              <w:t>2.13</w:t>
            </w:r>
          </w:p>
        </w:tc>
        <w:tc>
          <w:tcPr>
            <w:tcW w:w="810" w:type="dxa"/>
            <w:vAlign w:val="bottom"/>
          </w:tcPr>
          <w:p>
            <w:pPr>
              <w:spacing w:line="240" w:lineRule="auto"/>
              <w:ind w:firstLine="0" w:firstLineChars="0"/>
              <w:jc w:val="center"/>
              <w:textAlignment w:val="baseline"/>
              <w:rPr>
                <w:spacing w:val="-8"/>
                <w:sz w:val="21"/>
                <w:szCs w:val="21"/>
              </w:rPr>
            </w:pPr>
            <w:r>
              <w:rPr>
                <w:sz w:val="21"/>
                <w:szCs w:val="21"/>
              </w:rPr>
              <w:t>3.17</w:t>
            </w:r>
          </w:p>
        </w:tc>
        <w:tc>
          <w:tcPr>
            <w:tcW w:w="682" w:type="dxa"/>
            <w:vAlign w:val="bottom"/>
          </w:tcPr>
          <w:p>
            <w:pPr>
              <w:spacing w:line="240" w:lineRule="auto"/>
              <w:ind w:firstLine="0" w:firstLineChars="0"/>
              <w:jc w:val="center"/>
              <w:textAlignment w:val="baseline"/>
              <w:rPr>
                <w:spacing w:val="-8"/>
                <w:sz w:val="21"/>
                <w:szCs w:val="21"/>
              </w:rPr>
            </w:pPr>
            <w:r>
              <w:rPr>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7" w:type="pct"/>
            <w:vAlign w:val="center"/>
          </w:tcPr>
          <w:p>
            <w:pPr>
              <w:spacing w:line="240" w:lineRule="auto"/>
              <w:ind w:firstLine="0" w:firstLineChars="0"/>
              <w:jc w:val="center"/>
              <w:textAlignment w:val="baseline"/>
              <w:rPr>
                <w:spacing w:val="-8"/>
                <w:sz w:val="21"/>
                <w:szCs w:val="21"/>
              </w:rPr>
            </w:pPr>
            <w:r>
              <w:rPr>
                <w:spacing w:val="-8"/>
                <w:sz w:val="21"/>
                <w:szCs w:val="21"/>
              </w:rPr>
              <w:t>秋季</w:t>
            </w:r>
          </w:p>
        </w:tc>
        <w:tc>
          <w:tcPr>
            <w:tcW w:w="681" w:type="dxa"/>
            <w:vAlign w:val="bottom"/>
          </w:tcPr>
          <w:p>
            <w:pPr>
              <w:spacing w:line="240" w:lineRule="auto"/>
              <w:ind w:firstLine="0" w:firstLineChars="0"/>
              <w:jc w:val="center"/>
              <w:textAlignment w:val="baseline"/>
              <w:rPr>
                <w:spacing w:val="-8"/>
                <w:sz w:val="21"/>
                <w:szCs w:val="21"/>
              </w:rPr>
            </w:pPr>
            <w:r>
              <w:rPr>
                <w:sz w:val="21"/>
                <w:szCs w:val="21"/>
              </w:rPr>
              <w:t>14.74</w:t>
            </w:r>
          </w:p>
        </w:tc>
        <w:tc>
          <w:tcPr>
            <w:tcW w:w="727" w:type="dxa"/>
            <w:vAlign w:val="bottom"/>
          </w:tcPr>
          <w:p>
            <w:pPr>
              <w:spacing w:line="240" w:lineRule="auto"/>
              <w:ind w:firstLine="0" w:firstLineChars="0"/>
              <w:jc w:val="center"/>
              <w:textAlignment w:val="baseline"/>
              <w:rPr>
                <w:spacing w:val="-8"/>
                <w:sz w:val="21"/>
                <w:szCs w:val="21"/>
              </w:rPr>
            </w:pPr>
            <w:r>
              <w:rPr>
                <w:sz w:val="21"/>
                <w:szCs w:val="21"/>
              </w:rPr>
              <w:t>15.98</w:t>
            </w:r>
          </w:p>
        </w:tc>
        <w:tc>
          <w:tcPr>
            <w:tcW w:w="803" w:type="dxa"/>
            <w:vAlign w:val="bottom"/>
          </w:tcPr>
          <w:p>
            <w:pPr>
              <w:spacing w:line="240" w:lineRule="auto"/>
              <w:ind w:firstLine="0" w:firstLineChars="0"/>
              <w:jc w:val="center"/>
              <w:textAlignment w:val="baseline"/>
              <w:rPr>
                <w:spacing w:val="-8"/>
                <w:sz w:val="21"/>
                <w:szCs w:val="21"/>
              </w:rPr>
            </w:pPr>
            <w:r>
              <w:rPr>
                <w:sz w:val="21"/>
                <w:szCs w:val="21"/>
              </w:rPr>
              <w:t>8.42</w:t>
            </w:r>
          </w:p>
        </w:tc>
        <w:tc>
          <w:tcPr>
            <w:tcW w:w="803" w:type="dxa"/>
            <w:vAlign w:val="bottom"/>
          </w:tcPr>
          <w:p>
            <w:pPr>
              <w:spacing w:line="240" w:lineRule="auto"/>
              <w:ind w:firstLine="0" w:firstLineChars="0"/>
              <w:jc w:val="center"/>
              <w:textAlignment w:val="baseline"/>
              <w:rPr>
                <w:spacing w:val="-8"/>
                <w:sz w:val="21"/>
                <w:szCs w:val="21"/>
              </w:rPr>
            </w:pPr>
            <w:r>
              <w:rPr>
                <w:sz w:val="21"/>
                <w:szCs w:val="21"/>
              </w:rPr>
              <w:t>5.17</w:t>
            </w:r>
          </w:p>
        </w:tc>
        <w:tc>
          <w:tcPr>
            <w:tcW w:w="803" w:type="dxa"/>
            <w:vAlign w:val="bottom"/>
          </w:tcPr>
          <w:p>
            <w:pPr>
              <w:spacing w:line="240" w:lineRule="auto"/>
              <w:ind w:firstLine="0" w:firstLineChars="0"/>
              <w:jc w:val="center"/>
              <w:textAlignment w:val="baseline"/>
              <w:rPr>
                <w:spacing w:val="-8"/>
                <w:sz w:val="21"/>
                <w:szCs w:val="21"/>
              </w:rPr>
            </w:pPr>
            <w:r>
              <w:rPr>
                <w:sz w:val="21"/>
                <w:szCs w:val="21"/>
              </w:rPr>
              <w:t>5.86</w:t>
            </w:r>
          </w:p>
        </w:tc>
        <w:tc>
          <w:tcPr>
            <w:tcW w:w="681" w:type="dxa"/>
            <w:vAlign w:val="bottom"/>
          </w:tcPr>
          <w:p>
            <w:pPr>
              <w:spacing w:line="240" w:lineRule="auto"/>
              <w:ind w:firstLine="0" w:firstLineChars="0"/>
              <w:jc w:val="center"/>
              <w:textAlignment w:val="baseline"/>
              <w:rPr>
                <w:spacing w:val="-8"/>
                <w:sz w:val="21"/>
                <w:szCs w:val="21"/>
              </w:rPr>
            </w:pPr>
            <w:r>
              <w:rPr>
                <w:sz w:val="21"/>
                <w:szCs w:val="21"/>
              </w:rPr>
              <w:t>2.47</w:t>
            </w:r>
          </w:p>
        </w:tc>
        <w:tc>
          <w:tcPr>
            <w:tcW w:w="681" w:type="dxa"/>
            <w:vAlign w:val="bottom"/>
          </w:tcPr>
          <w:p>
            <w:pPr>
              <w:spacing w:line="240" w:lineRule="auto"/>
              <w:ind w:firstLine="0" w:firstLineChars="0"/>
              <w:jc w:val="center"/>
              <w:textAlignment w:val="baseline"/>
              <w:rPr>
                <w:spacing w:val="-8"/>
                <w:sz w:val="21"/>
                <w:szCs w:val="21"/>
              </w:rPr>
            </w:pPr>
            <w:r>
              <w:rPr>
                <w:sz w:val="21"/>
                <w:szCs w:val="21"/>
              </w:rPr>
              <w:t>1.74</w:t>
            </w:r>
          </w:p>
        </w:tc>
        <w:tc>
          <w:tcPr>
            <w:tcW w:w="681" w:type="dxa"/>
            <w:vAlign w:val="bottom"/>
          </w:tcPr>
          <w:p>
            <w:pPr>
              <w:spacing w:line="240" w:lineRule="auto"/>
              <w:ind w:firstLine="0" w:firstLineChars="0"/>
              <w:jc w:val="center"/>
              <w:textAlignment w:val="baseline"/>
              <w:rPr>
                <w:spacing w:val="-8"/>
                <w:sz w:val="21"/>
                <w:szCs w:val="21"/>
              </w:rPr>
            </w:pPr>
            <w:r>
              <w:rPr>
                <w:sz w:val="21"/>
                <w:szCs w:val="21"/>
              </w:rPr>
              <w:t>1.19</w:t>
            </w:r>
          </w:p>
        </w:tc>
        <w:tc>
          <w:tcPr>
            <w:tcW w:w="803" w:type="dxa"/>
            <w:vAlign w:val="bottom"/>
          </w:tcPr>
          <w:p>
            <w:pPr>
              <w:spacing w:line="240" w:lineRule="auto"/>
              <w:ind w:firstLine="0" w:firstLineChars="0"/>
              <w:jc w:val="center"/>
              <w:textAlignment w:val="baseline"/>
              <w:rPr>
                <w:spacing w:val="-8"/>
                <w:sz w:val="21"/>
                <w:szCs w:val="21"/>
              </w:rPr>
            </w:pPr>
            <w:r>
              <w:rPr>
                <w:sz w:val="21"/>
                <w:szCs w:val="21"/>
              </w:rPr>
              <w:t>1.69</w:t>
            </w:r>
          </w:p>
        </w:tc>
        <w:tc>
          <w:tcPr>
            <w:tcW w:w="803" w:type="dxa"/>
            <w:vAlign w:val="bottom"/>
          </w:tcPr>
          <w:p>
            <w:pPr>
              <w:spacing w:line="240" w:lineRule="auto"/>
              <w:ind w:firstLine="0" w:firstLineChars="0"/>
              <w:jc w:val="center"/>
              <w:textAlignment w:val="baseline"/>
              <w:rPr>
                <w:spacing w:val="-8"/>
                <w:sz w:val="21"/>
                <w:szCs w:val="21"/>
              </w:rPr>
            </w:pPr>
            <w:r>
              <w:rPr>
                <w:sz w:val="21"/>
                <w:szCs w:val="21"/>
              </w:rPr>
              <w:t>4.49</w:t>
            </w:r>
          </w:p>
        </w:tc>
        <w:tc>
          <w:tcPr>
            <w:tcW w:w="681" w:type="dxa"/>
            <w:vAlign w:val="bottom"/>
          </w:tcPr>
          <w:p>
            <w:pPr>
              <w:spacing w:line="240" w:lineRule="auto"/>
              <w:ind w:firstLine="0" w:firstLineChars="0"/>
              <w:jc w:val="center"/>
              <w:textAlignment w:val="baseline"/>
              <w:rPr>
                <w:spacing w:val="-8"/>
                <w:sz w:val="21"/>
                <w:szCs w:val="21"/>
              </w:rPr>
            </w:pPr>
            <w:r>
              <w:rPr>
                <w:sz w:val="21"/>
                <w:szCs w:val="21"/>
              </w:rPr>
              <w:t>13.69</w:t>
            </w:r>
          </w:p>
        </w:tc>
        <w:tc>
          <w:tcPr>
            <w:tcW w:w="823" w:type="dxa"/>
            <w:vAlign w:val="bottom"/>
          </w:tcPr>
          <w:p>
            <w:pPr>
              <w:spacing w:line="240" w:lineRule="auto"/>
              <w:ind w:firstLine="0" w:firstLineChars="0"/>
              <w:jc w:val="center"/>
              <w:textAlignment w:val="baseline"/>
              <w:rPr>
                <w:spacing w:val="-8"/>
                <w:sz w:val="21"/>
                <w:szCs w:val="21"/>
              </w:rPr>
            </w:pPr>
            <w:r>
              <w:rPr>
                <w:sz w:val="21"/>
                <w:szCs w:val="21"/>
              </w:rPr>
              <w:t>6.50</w:t>
            </w:r>
          </w:p>
        </w:tc>
        <w:tc>
          <w:tcPr>
            <w:tcW w:w="803" w:type="dxa"/>
            <w:vAlign w:val="bottom"/>
          </w:tcPr>
          <w:p>
            <w:pPr>
              <w:spacing w:line="240" w:lineRule="auto"/>
              <w:ind w:firstLine="0" w:firstLineChars="0"/>
              <w:jc w:val="center"/>
              <w:textAlignment w:val="baseline"/>
              <w:rPr>
                <w:spacing w:val="-8"/>
                <w:sz w:val="21"/>
                <w:szCs w:val="21"/>
              </w:rPr>
            </w:pPr>
            <w:r>
              <w:rPr>
                <w:sz w:val="21"/>
                <w:szCs w:val="21"/>
              </w:rPr>
              <w:t>5.45</w:t>
            </w:r>
          </w:p>
        </w:tc>
        <w:tc>
          <w:tcPr>
            <w:tcW w:w="864" w:type="dxa"/>
            <w:vAlign w:val="bottom"/>
          </w:tcPr>
          <w:p>
            <w:pPr>
              <w:spacing w:line="240" w:lineRule="auto"/>
              <w:ind w:firstLine="0" w:firstLineChars="0"/>
              <w:jc w:val="center"/>
              <w:textAlignment w:val="baseline"/>
              <w:rPr>
                <w:spacing w:val="-8"/>
                <w:sz w:val="21"/>
                <w:szCs w:val="21"/>
              </w:rPr>
            </w:pPr>
            <w:r>
              <w:rPr>
                <w:sz w:val="21"/>
                <w:szCs w:val="21"/>
              </w:rPr>
              <w:t>2.38</w:t>
            </w:r>
          </w:p>
        </w:tc>
        <w:tc>
          <w:tcPr>
            <w:tcW w:w="682" w:type="dxa"/>
            <w:vAlign w:val="bottom"/>
          </w:tcPr>
          <w:p>
            <w:pPr>
              <w:spacing w:line="240" w:lineRule="auto"/>
              <w:ind w:firstLine="0" w:firstLineChars="0"/>
              <w:jc w:val="center"/>
              <w:textAlignment w:val="baseline"/>
              <w:rPr>
                <w:spacing w:val="-8"/>
                <w:sz w:val="21"/>
                <w:szCs w:val="21"/>
              </w:rPr>
            </w:pPr>
            <w:r>
              <w:rPr>
                <w:sz w:val="21"/>
                <w:szCs w:val="21"/>
              </w:rPr>
              <w:t>3.89</w:t>
            </w:r>
          </w:p>
        </w:tc>
        <w:tc>
          <w:tcPr>
            <w:tcW w:w="810" w:type="dxa"/>
            <w:vAlign w:val="bottom"/>
          </w:tcPr>
          <w:p>
            <w:pPr>
              <w:spacing w:line="240" w:lineRule="auto"/>
              <w:ind w:firstLine="0" w:firstLineChars="0"/>
              <w:jc w:val="center"/>
              <w:textAlignment w:val="baseline"/>
              <w:rPr>
                <w:spacing w:val="-8"/>
                <w:sz w:val="21"/>
                <w:szCs w:val="21"/>
              </w:rPr>
            </w:pPr>
            <w:r>
              <w:rPr>
                <w:sz w:val="21"/>
                <w:szCs w:val="21"/>
              </w:rPr>
              <w:t>6.27</w:t>
            </w:r>
          </w:p>
        </w:tc>
        <w:tc>
          <w:tcPr>
            <w:tcW w:w="682" w:type="dxa"/>
            <w:vAlign w:val="bottom"/>
          </w:tcPr>
          <w:p>
            <w:pPr>
              <w:spacing w:line="240" w:lineRule="auto"/>
              <w:ind w:firstLine="0" w:firstLineChars="0"/>
              <w:jc w:val="center"/>
              <w:textAlignment w:val="baseline"/>
              <w:rPr>
                <w:spacing w:val="-8"/>
                <w:sz w:val="21"/>
                <w:szCs w:val="21"/>
              </w:rPr>
            </w:pPr>
            <w:r>
              <w:rPr>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7" w:type="pct"/>
            <w:vAlign w:val="center"/>
          </w:tcPr>
          <w:p>
            <w:pPr>
              <w:spacing w:line="240" w:lineRule="auto"/>
              <w:ind w:firstLine="0" w:firstLineChars="0"/>
              <w:jc w:val="center"/>
              <w:textAlignment w:val="baseline"/>
              <w:rPr>
                <w:spacing w:val="-8"/>
                <w:sz w:val="21"/>
                <w:szCs w:val="21"/>
              </w:rPr>
            </w:pPr>
            <w:r>
              <w:rPr>
                <w:spacing w:val="-8"/>
                <w:sz w:val="21"/>
                <w:szCs w:val="21"/>
              </w:rPr>
              <w:t>冬季</w:t>
            </w:r>
          </w:p>
        </w:tc>
        <w:tc>
          <w:tcPr>
            <w:tcW w:w="681" w:type="dxa"/>
            <w:vAlign w:val="bottom"/>
          </w:tcPr>
          <w:p>
            <w:pPr>
              <w:spacing w:line="240" w:lineRule="auto"/>
              <w:ind w:firstLine="0" w:firstLineChars="0"/>
              <w:jc w:val="center"/>
              <w:textAlignment w:val="baseline"/>
              <w:rPr>
                <w:spacing w:val="-8"/>
                <w:sz w:val="21"/>
                <w:szCs w:val="21"/>
              </w:rPr>
            </w:pPr>
            <w:r>
              <w:rPr>
                <w:sz w:val="21"/>
                <w:szCs w:val="21"/>
              </w:rPr>
              <w:t>12.78</w:t>
            </w:r>
          </w:p>
        </w:tc>
        <w:tc>
          <w:tcPr>
            <w:tcW w:w="727" w:type="dxa"/>
            <w:vAlign w:val="bottom"/>
          </w:tcPr>
          <w:p>
            <w:pPr>
              <w:spacing w:line="240" w:lineRule="auto"/>
              <w:ind w:firstLine="0" w:firstLineChars="0"/>
              <w:jc w:val="center"/>
              <w:textAlignment w:val="baseline"/>
              <w:rPr>
                <w:spacing w:val="-8"/>
                <w:sz w:val="21"/>
                <w:szCs w:val="21"/>
              </w:rPr>
            </w:pPr>
            <w:r>
              <w:rPr>
                <w:sz w:val="21"/>
                <w:szCs w:val="21"/>
              </w:rPr>
              <w:t>17.92</w:t>
            </w:r>
          </w:p>
        </w:tc>
        <w:tc>
          <w:tcPr>
            <w:tcW w:w="803" w:type="dxa"/>
            <w:vAlign w:val="bottom"/>
          </w:tcPr>
          <w:p>
            <w:pPr>
              <w:spacing w:line="240" w:lineRule="auto"/>
              <w:ind w:firstLine="0" w:firstLineChars="0"/>
              <w:jc w:val="center"/>
              <w:textAlignment w:val="baseline"/>
              <w:rPr>
                <w:spacing w:val="-8"/>
                <w:sz w:val="21"/>
                <w:szCs w:val="21"/>
              </w:rPr>
            </w:pPr>
            <w:r>
              <w:rPr>
                <w:sz w:val="21"/>
                <w:szCs w:val="21"/>
              </w:rPr>
              <w:t>9.17</w:t>
            </w:r>
          </w:p>
        </w:tc>
        <w:tc>
          <w:tcPr>
            <w:tcW w:w="803" w:type="dxa"/>
            <w:vAlign w:val="bottom"/>
          </w:tcPr>
          <w:p>
            <w:pPr>
              <w:spacing w:line="240" w:lineRule="auto"/>
              <w:ind w:firstLine="0" w:firstLineChars="0"/>
              <w:jc w:val="center"/>
              <w:textAlignment w:val="baseline"/>
              <w:rPr>
                <w:spacing w:val="-8"/>
                <w:sz w:val="21"/>
                <w:szCs w:val="21"/>
              </w:rPr>
            </w:pPr>
            <w:r>
              <w:rPr>
                <w:sz w:val="21"/>
                <w:szCs w:val="21"/>
              </w:rPr>
              <w:t>5.37</w:t>
            </w:r>
          </w:p>
        </w:tc>
        <w:tc>
          <w:tcPr>
            <w:tcW w:w="803" w:type="dxa"/>
            <w:vAlign w:val="bottom"/>
          </w:tcPr>
          <w:p>
            <w:pPr>
              <w:spacing w:line="240" w:lineRule="auto"/>
              <w:ind w:firstLine="0" w:firstLineChars="0"/>
              <w:jc w:val="center"/>
              <w:textAlignment w:val="baseline"/>
              <w:rPr>
                <w:spacing w:val="-8"/>
                <w:sz w:val="21"/>
                <w:szCs w:val="21"/>
              </w:rPr>
            </w:pPr>
            <w:r>
              <w:rPr>
                <w:sz w:val="21"/>
                <w:szCs w:val="21"/>
              </w:rPr>
              <w:t>10.79</w:t>
            </w:r>
          </w:p>
        </w:tc>
        <w:tc>
          <w:tcPr>
            <w:tcW w:w="681" w:type="dxa"/>
            <w:vAlign w:val="bottom"/>
          </w:tcPr>
          <w:p>
            <w:pPr>
              <w:spacing w:line="240" w:lineRule="auto"/>
              <w:ind w:firstLine="0" w:firstLineChars="0"/>
              <w:jc w:val="center"/>
              <w:textAlignment w:val="baseline"/>
              <w:rPr>
                <w:spacing w:val="-8"/>
                <w:sz w:val="21"/>
                <w:szCs w:val="21"/>
              </w:rPr>
            </w:pPr>
            <w:r>
              <w:rPr>
                <w:sz w:val="21"/>
                <w:szCs w:val="21"/>
              </w:rPr>
              <w:t>3.70</w:t>
            </w:r>
          </w:p>
        </w:tc>
        <w:tc>
          <w:tcPr>
            <w:tcW w:w="681" w:type="dxa"/>
            <w:vAlign w:val="bottom"/>
          </w:tcPr>
          <w:p>
            <w:pPr>
              <w:spacing w:line="240" w:lineRule="auto"/>
              <w:ind w:firstLine="0" w:firstLineChars="0"/>
              <w:jc w:val="center"/>
              <w:textAlignment w:val="baseline"/>
              <w:rPr>
                <w:spacing w:val="-8"/>
                <w:sz w:val="21"/>
                <w:szCs w:val="21"/>
              </w:rPr>
            </w:pPr>
            <w:r>
              <w:rPr>
                <w:sz w:val="21"/>
                <w:szCs w:val="21"/>
              </w:rPr>
              <w:t>2.13</w:t>
            </w:r>
          </w:p>
        </w:tc>
        <w:tc>
          <w:tcPr>
            <w:tcW w:w="681" w:type="dxa"/>
            <w:vAlign w:val="bottom"/>
          </w:tcPr>
          <w:p>
            <w:pPr>
              <w:spacing w:line="240" w:lineRule="auto"/>
              <w:ind w:firstLine="0" w:firstLineChars="0"/>
              <w:jc w:val="center"/>
              <w:textAlignment w:val="baseline"/>
              <w:rPr>
                <w:spacing w:val="-8"/>
                <w:sz w:val="21"/>
                <w:szCs w:val="21"/>
              </w:rPr>
            </w:pPr>
            <w:r>
              <w:rPr>
                <w:sz w:val="21"/>
                <w:szCs w:val="21"/>
              </w:rPr>
              <w:t>1.06</w:t>
            </w:r>
          </w:p>
        </w:tc>
        <w:tc>
          <w:tcPr>
            <w:tcW w:w="803" w:type="dxa"/>
            <w:vAlign w:val="bottom"/>
          </w:tcPr>
          <w:p>
            <w:pPr>
              <w:spacing w:line="240" w:lineRule="auto"/>
              <w:ind w:firstLine="0" w:firstLineChars="0"/>
              <w:jc w:val="center"/>
              <w:textAlignment w:val="baseline"/>
              <w:rPr>
                <w:spacing w:val="-8"/>
                <w:sz w:val="21"/>
                <w:szCs w:val="21"/>
              </w:rPr>
            </w:pPr>
            <w:r>
              <w:rPr>
                <w:sz w:val="21"/>
                <w:szCs w:val="21"/>
              </w:rPr>
              <w:t>2.08</w:t>
            </w:r>
          </w:p>
        </w:tc>
        <w:tc>
          <w:tcPr>
            <w:tcW w:w="803" w:type="dxa"/>
            <w:vAlign w:val="bottom"/>
          </w:tcPr>
          <w:p>
            <w:pPr>
              <w:spacing w:line="240" w:lineRule="auto"/>
              <w:ind w:firstLine="0" w:firstLineChars="0"/>
              <w:jc w:val="center"/>
              <w:textAlignment w:val="baseline"/>
              <w:rPr>
                <w:spacing w:val="-8"/>
                <w:sz w:val="21"/>
                <w:szCs w:val="21"/>
              </w:rPr>
            </w:pPr>
            <w:r>
              <w:rPr>
                <w:sz w:val="21"/>
                <w:szCs w:val="21"/>
              </w:rPr>
              <w:t>4.31</w:t>
            </w:r>
          </w:p>
        </w:tc>
        <w:tc>
          <w:tcPr>
            <w:tcW w:w="681" w:type="dxa"/>
            <w:vAlign w:val="bottom"/>
          </w:tcPr>
          <w:p>
            <w:pPr>
              <w:spacing w:line="240" w:lineRule="auto"/>
              <w:ind w:firstLine="0" w:firstLineChars="0"/>
              <w:jc w:val="center"/>
              <w:textAlignment w:val="baseline"/>
              <w:rPr>
                <w:spacing w:val="-8"/>
                <w:sz w:val="21"/>
                <w:szCs w:val="21"/>
              </w:rPr>
            </w:pPr>
            <w:r>
              <w:rPr>
                <w:sz w:val="21"/>
                <w:szCs w:val="21"/>
              </w:rPr>
              <w:t>13.06</w:t>
            </w:r>
          </w:p>
        </w:tc>
        <w:tc>
          <w:tcPr>
            <w:tcW w:w="823" w:type="dxa"/>
            <w:vAlign w:val="bottom"/>
          </w:tcPr>
          <w:p>
            <w:pPr>
              <w:spacing w:line="240" w:lineRule="auto"/>
              <w:ind w:firstLine="0" w:firstLineChars="0"/>
              <w:jc w:val="center"/>
              <w:textAlignment w:val="baseline"/>
              <w:rPr>
                <w:spacing w:val="-8"/>
                <w:sz w:val="21"/>
                <w:szCs w:val="21"/>
              </w:rPr>
            </w:pPr>
            <w:r>
              <w:rPr>
                <w:sz w:val="21"/>
                <w:szCs w:val="21"/>
              </w:rPr>
              <w:t>5.46</w:t>
            </w:r>
          </w:p>
        </w:tc>
        <w:tc>
          <w:tcPr>
            <w:tcW w:w="803" w:type="dxa"/>
            <w:vAlign w:val="bottom"/>
          </w:tcPr>
          <w:p>
            <w:pPr>
              <w:spacing w:line="240" w:lineRule="auto"/>
              <w:ind w:firstLine="0" w:firstLineChars="0"/>
              <w:jc w:val="center"/>
              <w:textAlignment w:val="baseline"/>
              <w:rPr>
                <w:spacing w:val="-8"/>
                <w:sz w:val="21"/>
                <w:szCs w:val="21"/>
              </w:rPr>
            </w:pPr>
            <w:r>
              <w:rPr>
                <w:sz w:val="21"/>
                <w:szCs w:val="21"/>
              </w:rPr>
              <w:t>3.33</w:t>
            </w:r>
          </w:p>
        </w:tc>
        <w:tc>
          <w:tcPr>
            <w:tcW w:w="864" w:type="dxa"/>
            <w:vAlign w:val="bottom"/>
          </w:tcPr>
          <w:p>
            <w:pPr>
              <w:spacing w:line="240" w:lineRule="auto"/>
              <w:ind w:firstLine="0" w:firstLineChars="0"/>
              <w:jc w:val="center"/>
              <w:textAlignment w:val="baseline"/>
              <w:rPr>
                <w:spacing w:val="-8"/>
                <w:sz w:val="21"/>
                <w:szCs w:val="21"/>
              </w:rPr>
            </w:pPr>
            <w:r>
              <w:rPr>
                <w:sz w:val="21"/>
                <w:szCs w:val="21"/>
              </w:rPr>
              <w:t>1.34</w:t>
            </w:r>
          </w:p>
        </w:tc>
        <w:tc>
          <w:tcPr>
            <w:tcW w:w="682" w:type="dxa"/>
            <w:vAlign w:val="bottom"/>
          </w:tcPr>
          <w:p>
            <w:pPr>
              <w:spacing w:line="240" w:lineRule="auto"/>
              <w:ind w:firstLine="0" w:firstLineChars="0"/>
              <w:jc w:val="center"/>
              <w:textAlignment w:val="baseline"/>
              <w:rPr>
                <w:spacing w:val="-8"/>
                <w:sz w:val="21"/>
                <w:szCs w:val="21"/>
              </w:rPr>
            </w:pPr>
            <w:r>
              <w:rPr>
                <w:sz w:val="21"/>
                <w:szCs w:val="21"/>
              </w:rPr>
              <w:t>1.76</w:t>
            </w:r>
          </w:p>
        </w:tc>
        <w:tc>
          <w:tcPr>
            <w:tcW w:w="810" w:type="dxa"/>
            <w:vAlign w:val="bottom"/>
          </w:tcPr>
          <w:p>
            <w:pPr>
              <w:spacing w:line="240" w:lineRule="auto"/>
              <w:ind w:firstLine="0" w:firstLineChars="0"/>
              <w:jc w:val="center"/>
              <w:textAlignment w:val="baseline"/>
              <w:rPr>
                <w:spacing w:val="-8"/>
                <w:sz w:val="21"/>
                <w:szCs w:val="21"/>
              </w:rPr>
            </w:pPr>
            <w:r>
              <w:rPr>
                <w:sz w:val="21"/>
                <w:szCs w:val="21"/>
              </w:rPr>
              <w:t>4.12</w:t>
            </w:r>
          </w:p>
        </w:tc>
        <w:tc>
          <w:tcPr>
            <w:tcW w:w="682" w:type="dxa"/>
            <w:vAlign w:val="bottom"/>
          </w:tcPr>
          <w:p>
            <w:pPr>
              <w:spacing w:line="240" w:lineRule="auto"/>
              <w:ind w:firstLine="0" w:firstLineChars="0"/>
              <w:jc w:val="center"/>
              <w:textAlignment w:val="baseline"/>
              <w:rPr>
                <w:spacing w:val="-8"/>
                <w:sz w:val="21"/>
                <w:szCs w:val="21"/>
              </w:rPr>
            </w:pPr>
            <w:r>
              <w:rPr>
                <w:sz w:val="21"/>
                <w:szCs w:val="21"/>
              </w:rPr>
              <w:t>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7" w:type="pct"/>
            <w:vAlign w:val="center"/>
          </w:tcPr>
          <w:p>
            <w:pPr>
              <w:spacing w:line="240" w:lineRule="auto"/>
              <w:ind w:firstLine="0" w:firstLineChars="0"/>
              <w:jc w:val="center"/>
              <w:textAlignment w:val="baseline"/>
              <w:rPr>
                <w:spacing w:val="-8"/>
                <w:sz w:val="21"/>
                <w:szCs w:val="21"/>
              </w:rPr>
            </w:pPr>
            <w:r>
              <w:rPr>
                <w:spacing w:val="-8"/>
                <w:sz w:val="21"/>
                <w:szCs w:val="21"/>
              </w:rPr>
              <w:t>全年</w:t>
            </w:r>
          </w:p>
        </w:tc>
        <w:tc>
          <w:tcPr>
            <w:tcW w:w="681" w:type="dxa"/>
            <w:vAlign w:val="bottom"/>
          </w:tcPr>
          <w:p>
            <w:pPr>
              <w:spacing w:line="240" w:lineRule="auto"/>
              <w:ind w:firstLine="0" w:firstLineChars="0"/>
              <w:jc w:val="center"/>
              <w:textAlignment w:val="baseline"/>
              <w:rPr>
                <w:spacing w:val="-8"/>
                <w:sz w:val="21"/>
                <w:szCs w:val="21"/>
              </w:rPr>
            </w:pPr>
            <w:r>
              <w:rPr>
                <w:sz w:val="21"/>
                <w:szCs w:val="21"/>
              </w:rPr>
              <w:t>10.35</w:t>
            </w:r>
          </w:p>
        </w:tc>
        <w:tc>
          <w:tcPr>
            <w:tcW w:w="727" w:type="dxa"/>
            <w:vAlign w:val="bottom"/>
          </w:tcPr>
          <w:p>
            <w:pPr>
              <w:spacing w:line="240" w:lineRule="auto"/>
              <w:ind w:firstLine="0" w:firstLineChars="0"/>
              <w:jc w:val="center"/>
              <w:textAlignment w:val="baseline"/>
              <w:rPr>
                <w:spacing w:val="-8"/>
                <w:sz w:val="21"/>
                <w:szCs w:val="21"/>
              </w:rPr>
            </w:pPr>
            <w:r>
              <w:rPr>
                <w:sz w:val="21"/>
                <w:szCs w:val="21"/>
              </w:rPr>
              <w:t>15.03</w:t>
            </w:r>
          </w:p>
        </w:tc>
        <w:tc>
          <w:tcPr>
            <w:tcW w:w="803" w:type="dxa"/>
            <w:vAlign w:val="bottom"/>
          </w:tcPr>
          <w:p>
            <w:pPr>
              <w:spacing w:line="240" w:lineRule="auto"/>
              <w:ind w:firstLine="0" w:firstLineChars="0"/>
              <w:jc w:val="center"/>
              <w:textAlignment w:val="baseline"/>
              <w:rPr>
                <w:spacing w:val="-8"/>
                <w:sz w:val="21"/>
                <w:szCs w:val="21"/>
              </w:rPr>
            </w:pPr>
            <w:r>
              <w:rPr>
                <w:sz w:val="21"/>
                <w:szCs w:val="21"/>
              </w:rPr>
              <w:t>8.39</w:t>
            </w:r>
          </w:p>
        </w:tc>
        <w:tc>
          <w:tcPr>
            <w:tcW w:w="803" w:type="dxa"/>
            <w:vAlign w:val="bottom"/>
          </w:tcPr>
          <w:p>
            <w:pPr>
              <w:spacing w:line="240" w:lineRule="auto"/>
              <w:ind w:firstLine="0" w:firstLineChars="0"/>
              <w:jc w:val="center"/>
              <w:textAlignment w:val="baseline"/>
              <w:rPr>
                <w:spacing w:val="-8"/>
                <w:sz w:val="21"/>
                <w:szCs w:val="21"/>
              </w:rPr>
            </w:pPr>
            <w:r>
              <w:rPr>
                <w:sz w:val="21"/>
                <w:szCs w:val="21"/>
              </w:rPr>
              <w:t>6.04</w:t>
            </w:r>
          </w:p>
        </w:tc>
        <w:tc>
          <w:tcPr>
            <w:tcW w:w="803" w:type="dxa"/>
            <w:vAlign w:val="bottom"/>
          </w:tcPr>
          <w:p>
            <w:pPr>
              <w:spacing w:line="240" w:lineRule="auto"/>
              <w:ind w:firstLine="0" w:firstLineChars="0"/>
              <w:jc w:val="center"/>
              <w:textAlignment w:val="baseline"/>
              <w:rPr>
                <w:spacing w:val="-8"/>
                <w:sz w:val="21"/>
                <w:szCs w:val="21"/>
              </w:rPr>
            </w:pPr>
            <w:r>
              <w:rPr>
                <w:sz w:val="21"/>
                <w:szCs w:val="21"/>
              </w:rPr>
              <w:t>9.13</w:t>
            </w:r>
          </w:p>
        </w:tc>
        <w:tc>
          <w:tcPr>
            <w:tcW w:w="681" w:type="dxa"/>
            <w:vAlign w:val="bottom"/>
          </w:tcPr>
          <w:p>
            <w:pPr>
              <w:spacing w:line="240" w:lineRule="auto"/>
              <w:ind w:firstLine="0" w:firstLineChars="0"/>
              <w:jc w:val="center"/>
              <w:textAlignment w:val="baseline"/>
              <w:rPr>
                <w:spacing w:val="-8"/>
                <w:sz w:val="21"/>
                <w:szCs w:val="21"/>
              </w:rPr>
            </w:pPr>
            <w:r>
              <w:rPr>
                <w:sz w:val="21"/>
                <w:szCs w:val="21"/>
              </w:rPr>
              <w:t>4.78</w:t>
            </w:r>
          </w:p>
        </w:tc>
        <w:tc>
          <w:tcPr>
            <w:tcW w:w="681" w:type="dxa"/>
            <w:vAlign w:val="bottom"/>
          </w:tcPr>
          <w:p>
            <w:pPr>
              <w:spacing w:line="240" w:lineRule="auto"/>
              <w:ind w:firstLine="0" w:firstLineChars="0"/>
              <w:jc w:val="center"/>
              <w:textAlignment w:val="baseline"/>
              <w:rPr>
                <w:spacing w:val="-8"/>
                <w:sz w:val="21"/>
                <w:szCs w:val="21"/>
              </w:rPr>
            </w:pPr>
            <w:r>
              <w:rPr>
                <w:sz w:val="21"/>
                <w:szCs w:val="21"/>
              </w:rPr>
              <w:t>3.62</w:t>
            </w:r>
          </w:p>
        </w:tc>
        <w:tc>
          <w:tcPr>
            <w:tcW w:w="681" w:type="dxa"/>
            <w:vAlign w:val="bottom"/>
          </w:tcPr>
          <w:p>
            <w:pPr>
              <w:spacing w:line="240" w:lineRule="auto"/>
              <w:ind w:firstLine="0" w:firstLineChars="0"/>
              <w:jc w:val="center"/>
              <w:textAlignment w:val="baseline"/>
              <w:rPr>
                <w:spacing w:val="-8"/>
                <w:sz w:val="21"/>
                <w:szCs w:val="21"/>
              </w:rPr>
            </w:pPr>
            <w:r>
              <w:rPr>
                <w:sz w:val="21"/>
                <w:szCs w:val="21"/>
              </w:rPr>
              <w:t>2.96</w:t>
            </w:r>
          </w:p>
        </w:tc>
        <w:tc>
          <w:tcPr>
            <w:tcW w:w="803" w:type="dxa"/>
            <w:vAlign w:val="bottom"/>
          </w:tcPr>
          <w:p>
            <w:pPr>
              <w:spacing w:line="240" w:lineRule="auto"/>
              <w:ind w:firstLine="0" w:firstLineChars="0"/>
              <w:jc w:val="center"/>
              <w:textAlignment w:val="baseline"/>
              <w:rPr>
                <w:spacing w:val="-8"/>
                <w:sz w:val="21"/>
                <w:szCs w:val="21"/>
              </w:rPr>
            </w:pPr>
            <w:r>
              <w:rPr>
                <w:sz w:val="21"/>
                <w:szCs w:val="21"/>
              </w:rPr>
              <w:t>3.90</w:t>
            </w:r>
          </w:p>
        </w:tc>
        <w:tc>
          <w:tcPr>
            <w:tcW w:w="803" w:type="dxa"/>
            <w:vAlign w:val="bottom"/>
          </w:tcPr>
          <w:p>
            <w:pPr>
              <w:spacing w:line="240" w:lineRule="auto"/>
              <w:ind w:firstLine="0" w:firstLineChars="0"/>
              <w:jc w:val="center"/>
              <w:textAlignment w:val="baseline"/>
              <w:rPr>
                <w:spacing w:val="-8"/>
                <w:sz w:val="21"/>
                <w:szCs w:val="21"/>
              </w:rPr>
            </w:pPr>
            <w:r>
              <w:rPr>
                <w:sz w:val="21"/>
                <w:szCs w:val="21"/>
              </w:rPr>
              <w:t>5.55</w:t>
            </w:r>
          </w:p>
        </w:tc>
        <w:tc>
          <w:tcPr>
            <w:tcW w:w="681" w:type="dxa"/>
            <w:vAlign w:val="bottom"/>
          </w:tcPr>
          <w:p>
            <w:pPr>
              <w:spacing w:line="240" w:lineRule="auto"/>
              <w:ind w:firstLine="0" w:firstLineChars="0"/>
              <w:jc w:val="center"/>
              <w:textAlignment w:val="baseline"/>
              <w:rPr>
                <w:spacing w:val="-8"/>
                <w:sz w:val="21"/>
                <w:szCs w:val="21"/>
              </w:rPr>
            </w:pPr>
            <w:r>
              <w:rPr>
                <w:sz w:val="21"/>
                <w:szCs w:val="21"/>
              </w:rPr>
              <w:t>12.00</w:t>
            </w:r>
          </w:p>
        </w:tc>
        <w:tc>
          <w:tcPr>
            <w:tcW w:w="823" w:type="dxa"/>
            <w:vAlign w:val="bottom"/>
          </w:tcPr>
          <w:p>
            <w:pPr>
              <w:spacing w:line="240" w:lineRule="auto"/>
              <w:ind w:firstLine="0" w:firstLineChars="0"/>
              <w:jc w:val="center"/>
              <w:textAlignment w:val="baseline"/>
              <w:rPr>
                <w:spacing w:val="-8"/>
                <w:sz w:val="21"/>
                <w:szCs w:val="21"/>
              </w:rPr>
            </w:pPr>
            <w:r>
              <w:rPr>
                <w:sz w:val="21"/>
                <w:szCs w:val="21"/>
              </w:rPr>
              <w:t>4.99</w:t>
            </w:r>
          </w:p>
        </w:tc>
        <w:tc>
          <w:tcPr>
            <w:tcW w:w="803" w:type="dxa"/>
            <w:vAlign w:val="bottom"/>
          </w:tcPr>
          <w:p>
            <w:pPr>
              <w:spacing w:line="240" w:lineRule="auto"/>
              <w:ind w:firstLine="0" w:firstLineChars="0"/>
              <w:jc w:val="center"/>
              <w:textAlignment w:val="baseline"/>
              <w:rPr>
                <w:spacing w:val="-8"/>
                <w:sz w:val="21"/>
                <w:szCs w:val="21"/>
              </w:rPr>
            </w:pPr>
            <w:r>
              <w:rPr>
                <w:sz w:val="21"/>
                <w:szCs w:val="21"/>
              </w:rPr>
              <w:t>4.08</w:t>
            </w:r>
          </w:p>
        </w:tc>
        <w:tc>
          <w:tcPr>
            <w:tcW w:w="864" w:type="dxa"/>
            <w:vAlign w:val="bottom"/>
          </w:tcPr>
          <w:p>
            <w:pPr>
              <w:spacing w:line="240" w:lineRule="auto"/>
              <w:ind w:firstLine="0" w:firstLineChars="0"/>
              <w:jc w:val="center"/>
              <w:textAlignment w:val="baseline"/>
              <w:rPr>
                <w:spacing w:val="-8"/>
                <w:sz w:val="21"/>
                <w:szCs w:val="21"/>
              </w:rPr>
            </w:pPr>
            <w:r>
              <w:rPr>
                <w:sz w:val="21"/>
                <w:szCs w:val="21"/>
              </w:rPr>
              <w:t>1.85</w:t>
            </w:r>
          </w:p>
        </w:tc>
        <w:tc>
          <w:tcPr>
            <w:tcW w:w="682" w:type="dxa"/>
            <w:vAlign w:val="bottom"/>
          </w:tcPr>
          <w:p>
            <w:pPr>
              <w:spacing w:line="240" w:lineRule="auto"/>
              <w:ind w:firstLine="0" w:firstLineChars="0"/>
              <w:jc w:val="center"/>
              <w:textAlignment w:val="baseline"/>
              <w:rPr>
                <w:spacing w:val="-8"/>
                <w:sz w:val="21"/>
                <w:szCs w:val="21"/>
              </w:rPr>
            </w:pPr>
            <w:r>
              <w:rPr>
                <w:sz w:val="21"/>
                <w:szCs w:val="21"/>
              </w:rPr>
              <w:t>2.47</w:t>
            </w:r>
          </w:p>
        </w:tc>
        <w:tc>
          <w:tcPr>
            <w:tcW w:w="810" w:type="dxa"/>
            <w:vAlign w:val="bottom"/>
          </w:tcPr>
          <w:p>
            <w:pPr>
              <w:spacing w:line="240" w:lineRule="auto"/>
              <w:ind w:firstLine="0" w:firstLineChars="0"/>
              <w:jc w:val="center"/>
              <w:textAlignment w:val="baseline"/>
              <w:rPr>
                <w:spacing w:val="-8"/>
                <w:sz w:val="21"/>
                <w:szCs w:val="21"/>
              </w:rPr>
            </w:pPr>
            <w:r>
              <w:rPr>
                <w:sz w:val="21"/>
                <w:szCs w:val="21"/>
              </w:rPr>
              <w:t>4.36</w:t>
            </w:r>
          </w:p>
        </w:tc>
        <w:tc>
          <w:tcPr>
            <w:tcW w:w="682" w:type="dxa"/>
            <w:vAlign w:val="bottom"/>
          </w:tcPr>
          <w:p>
            <w:pPr>
              <w:spacing w:line="240" w:lineRule="auto"/>
              <w:ind w:firstLine="0" w:firstLineChars="0"/>
              <w:jc w:val="center"/>
              <w:textAlignment w:val="baseline"/>
              <w:rPr>
                <w:spacing w:val="-8"/>
                <w:sz w:val="21"/>
                <w:szCs w:val="21"/>
              </w:rPr>
            </w:pPr>
            <w:r>
              <w:rPr>
                <w:sz w:val="21"/>
                <w:szCs w:val="21"/>
              </w:rPr>
              <w:t>0.50</w:t>
            </w:r>
          </w:p>
        </w:tc>
      </w:tr>
    </w:tbl>
    <w:p>
      <w:pPr>
        <w:spacing w:line="460" w:lineRule="atLeast"/>
        <w:ind w:firstLine="520"/>
        <w:jc w:val="both"/>
        <w:sectPr>
          <w:pgSz w:w="16840" w:h="11907" w:orient="landscape"/>
          <w:pgMar w:top="1417" w:right="1588" w:bottom="1417" w:left="1366" w:header="851" w:footer="992" w:gutter="0"/>
          <w:cols w:space="0" w:num="1"/>
          <w:docGrid w:linePitch="312" w:charSpace="0"/>
        </w:sectPr>
      </w:pPr>
    </w:p>
    <w:p>
      <w:pPr>
        <w:spacing w:line="460" w:lineRule="atLeast"/>
        <w:ind w:firstLine="520"/>
        <w:jc w:val="both"/>
      </w:pPr>
      <w:r>
        <w:drawing>
          <wp:inline distT="0" distB="0" distL="114300" distR="114300">
            <wp:extent cx="4886325" cy="6965950"/>
            <wp:effectExtent l="0" t="0" r="9525" b="6350"/>
            <wp:docPr id="9" name="图片 9" descr="风玫瑰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风玫瑰图"/>
                    <pic:cNvPicPr>
                      <a:picLocks noChangeAspect="true"/>
                    </pic:cNvPicPr>
                  </pic:nvPicPr>
                  <pic:blipFill>
                    <a:blip r:embed="rId86"/>
                    <a:stretch>
                      <a:fillRect/>
                    </a:stretch>
                  </pic:blipFill>
                  <pic:spPr>
                    <a:xfrm>
                      <a:off x="0" y="0"/>
                      <a:ext cx="4886325" cy="6965950"/>
                    </a:xfrm>
                    <a:prstGeom prst="rect">
                      <a:avLst/>
                    </a:prstGeom>
                  </pic:spPr>
                </pic:pic>
              </a:graphicData>
            </a:graphic>
          </wp:inline>
        </w:drawing>
      </w:r>
    </w:p>
    <w:p>
      <w:pPr>
        <w:spacing w:line="460" w:lineRule="atLeast"/>
        <w:ind w:firstLine="522"/>
        <w:jc w:val="center"/>
        <w:rPr>
          <w:b/>
          <w:bCs/>
        </w:rPr>
      </w:pPr>
      <w:r>
        <w:rPr>
          <w:b/>
          <w:bCs/>
        </w:rPr>
        <w:t>图6-1    各季节及全年风向玫瑰图（2022年）</w:t>
      </w:r>
    </w:p>
    <w:p>
      <w:pPr>
        <w:spacing w:line="460" w:lineRule="exact"/>
        <w:ind w:firstLine="480"/>
        <w:textAlignment w:val="baseline"/>
        <w:rPr>
          <w:sz w:val="24"/>
          <w:szCs w:val="24"/>
        </w:rPr>
      </w:pPr>
      <w:r>
        <w:rPr>
          <w:rFonts w:hint="eastAsia" w:ascii="宋体" w:hAnsi="宋体" w:cs="宋体"/>
          <w:sz w:val="24"/>
          <w:szCs w:val="24"/>
        </w:rPr>
        <w:t>②</w:t>
      </w:r>
      <w:r>
        <w:rPr>
          <w:sz w:val="24"/>
          <w:szCs w:val="24"/>
        </w:rPr>
        <w:t>风速</w:t>
      </w:r>
    </w:p>
    <w:p>
      <w:pPr>
        <w:spacing w:line="460" w:lineRule="exact"/>
        <w:ind w:firstLine="480"/>
        <w:rPr>
          <w:sz w:val="24"/>
          <w:szCs w:val="24"/>
        </w:rPr>
      </w:pPr>
      <w:r>
        <w:rPr>
          <w:sz w:val="24"/>
          <w:szCs w:val="24"/>
        </w:rPr>
        <w:t>根据合川气象站全年逐时地面气象观测资料，该地区年平均风速的月变化详见表6.2-6、图6.2-2。</w:t>
      </w:r>
    </w:p>
    <w:p>
      <w:pPr>
        <w:spacing w:line="460" w:lineRule="exact"/>
        <w:ind w:firstLineChars="83"/>
        <w:jc w:val="center"/>
        <w:rPr>
          <w:b/>
          <w:bCs/>
        </w:rPr>
      </w:pPr>
      <w:bookmarkStart w:id="195" w:name="_Ref472431392"/>
      <w:r>
        <w:rPr>
          <w:b/>
          <w:bCs/>
          <w:sz w:val="24"/>
          <w:szCs w:val="24"/>
        </w:rPr>
        <w:t>表</w:t>
      </w:r>
      <w:bookmarkEnd w:id="195"/>
      <w:r>
        <w:rPr>
          <w:b/>
          <w:bCs/>
          <w:sz w:val="24"/>
          <w:szCs w:val="24"/>
        </w:rPr>
        <w:t>6.2-6       年平均风速的月变化（m/s）</w:t>
      </w:r>
    </w:p>
    <w:tbl>
      <w:tblPr>
        <w:tblStyle w:val="88"/>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84"/>
        <w:gridCol w:w="684"/>
        <w:gridCol w:w="684"/>
        <w:gridCol w:w="684"/>
        <w:gridCol w:w="684"/>
        <w:gridCol w:w="684"/>
        <w:gridCol w:w="684"/>
        <w:gridCol w:w="684"/>
        <w:gridCol w:w="684"/>
        <w:gridCol w:w="684"/>
        <w:gridCol w:w="684"/>
        <w:gridCol w:w="569"/>
        <w:gridCol w:w="68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70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月份</w:t>
            </w:r>
          </w:p>
        </w:tc>
        <w:tc>
          <w:tcPr>
            <w:tcW w:w="280"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2月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3月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4月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5月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6月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7月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8月</w:t>
            </w:r>
          </w:p>
        </w:tc>
        <w:tc>
          <w:tcPr>
            <w:tcW w:w="353"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9月</w:t>
            </w:r>
          </w:p>
        </w:tc>
        <w:tc>
          <w:tcPr>
            <w:tcW w:w="399"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10月</w:t>
            </w:r>
          </w:p>
        </w:tc>
        <w:tc>
          <w:tcPr>
            <w:tcW w:w="394"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11月</w:t>
            </w:r>
          </w:p>
        </w:tc>
        <w:tc>
          <w:tcPr>
            <w:tcW w:w="398"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12月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3" w:hRule="atLeast"/>
          <w:jc w:val="center"/>
        </w:trPr>
        <w:tc>
          <w:tcPr>
            <w:tcW w:w="703" w:type="pct"/>
            <w:vAlign w:val="center"/>
          </w:tcPr>
          <w:p>
            <w:pPr>
              <w:spacing w:line="240" w:lineRule="auto"/>
              <w:ind w:firstLine="0" w:firstLineChars="0"/>
              <w:jc w:val="center"/>
              <w:textAlignment w:val="baseline"/>
              <w:rPr>
                <w:spacing w:val="-6"/>
                <w:sz w:val="21"/>
                <w:szCs w:val="21"/>
              </w:rPr>
            </w:pPr>
            <w:r>
              <w:rPr>
                <w:spacing w:val="-6"/>
                <w:sz w:val="21"/>
                <w:szCs w:val="21"/>
              </w:rPr>
              <w:t>风速m/s</w:t>
            </w:r>
          </w:p>
        </w:tc>
        <w:tc>
          <w:tcPr>
            <w:tcW w:w="280"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1.14</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1.27</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1.45</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1.47</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1.42</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1.25</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1.41</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1.46</w:t>
            </w:r>
          </w:p>
        </w:tc>
        <w:tc>
          <w:tcPr>
            <w:tcW w:w="353"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1.34</w:t>
            </w:r>
          </w:p>
        </w:tc>
        <w:tc>
          <w:tcPr>
            <w:tcW w:w="399"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1.14</w:t>
            </w:r>
          </w:p>
        </w:tc>
        <w:tc>
          <w:tcPr>
            <w:tcW w:w="394"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1.1</w:t>
            </w:r>
          </w:p>
        </w:tc>
        <w:tc>
          <w:tcPr>
            <w:tcW w:w="398" w:type="pct"/>
            <w:vAlign w:val="center"/>
          </w:tcPr>
          <w:p>
            <w:pPr>
              <w:widowControl/>
              <w:spacing w:line="240" w:lineRule="auto"/>
              <w:ind w:firstLine="0" w:firstLineChars="0"/>
              <w:jc w:val="right"/>
              <w:textAlignment w:val="center"/>
              <w:rPr>
                <w:spacing w:val="-6"/>
                <w:sz w:val="21"/>
                <w:szCs w:val="21"/>
              </w:rPr>
            </w:pPr>
            <w:r>
              <w:rPr>
                <w:kern w:val="0"/>
                <w:sz w:val="21"/>
                <w:szCs w:val="21"/>
                <w:lang w:bidi="ar"/>
              </w:rPr>
              <w:t>1.07</w:t>
            </w:r>
          </w:p>
        </w:tc>
      </w:tr>
    </w:tbl>
    <w:p>
      <w:pPr>
        <w:spacing w:line="240" w:lineRule="auto"/>
        <w:ind w:firstLine="520"/>
        <w:jc w:val="center"/>
      </w:pPr>
    </w:p>
    <w:p>
      <w:pPr>
        <w:spacing w:line="240" w:lineRule="auto"/>
        <w:ind w:firstLine="0" w:firstLineChars="0"/>
        <w:jc w:val="center"/>
      </w:pPr>
      <w:r>
        <w:drawing>
          <wp:inline distT="0" distB="0" distL="114300" distR="114300">
            <wp:extent cx="5006975" cy="2667000"/>
            <wp:effectExtent l="4445" t="4445" r="17780" b="14605"/>
            <wp:docPr id="1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pPr>
        <w:spacing w:line="240" w:lineRule="auto"/>
        <w:ind w:firstLine="522"/>
        <w:jc w:val="center"/>
        <w:rPr>
          <w:b/>
          <w:bCs/>
        </w:rPr>
      </w:pPr>
      <w:r>
        <w:rPr>
          <w:b/>
          <w:bCs/>
        </w:rPr>
        <w:t>图6-2   年平均风速的月变化图</w:t>
      </w:r>
    </w:p>
    <w:p>
      <w:pPr>
        <w:spacing w:line="460" w:lineRule="exact"/>
        <w:ind w:firstLine="480"/>
        <w:rPr>
          <w:sz w:val="24"/>
          <w:szCs w:val="24"/>
        </w:rPr>
      </w:pPr>
      <w:r>
        <w:rPr>
          <w:rFonts w:hint="eastAsia" w:ascii="宋体" w:hAnsi="宋体" w:cs="宋体"/>
          <w:sz w:val="24"/>
          <w:szCs w:val="24"/>
        </w:rPr>
        <w:t>③</w:t>
      </w:r>
      <w:r>
        <w:rPr>
          <w:sz w:val="24"/>
          <w:szCs w:val="24"/>
        </w:rPr>
        <w:t>温度</w:t>
      </w:r>
    </w:p>
    <w:p>
      <w:pPr>
        <w:spacing w:line="460" w:lineRule="exact"/>
        <w:ind w:firstLine="480"/>
        <w:rPr>
          <w:sz w:val="24"/>
          <w:szCs w:val="24"/>
        </w:rPr>
      </w:pPr>
      <w:r>
        <w:rPr>
          <w:sz w:val="24"/>
          <w:szCs w:val="24"/>
        </w:rPr>
        <w:t>根据合川气象站全年逐时地面气象观测资料，该地区年平均温度月变化情况详见表6.2-7、图6.2-3。</w:t>
      </w:r>
    </w:p>
    <w:p>
      <w:pPr>
        <w:spacing w:line="460" w:lineRule="exact"/>
        <w:ind w:firstLine="482"/>
        <w:jc w:val="center"/>
        <w:rPr>
          <w:b/>
        </w:rPr>
      </w:pPr>
      <w:r>
        <w:rPr>
          <w:b/>
          <w:sz w:val="24"/>
          <w:szCs w:val="24"/>
        </w:rPr>
        <w:t>表6.2-7   年平均温度的月变化（℃）</w:t>
      </w:r>
    </w:p>
    <w:tbl>
      <w:tblPr>
        <w:tblStyle w:val="88"/>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70"/>
        <w:gridCol w:w="622"/>
        <w:gridCol w:w="622"/>
        <w:gridCol w:w="739"/>
        <w:gridCol w:w="739"/>
        <w:gridCol w:w="739"/>
        <w:gridCol w:w="739"/>
        <w:gridCol w:w="739"/>
        <w:gridCol w:w="739"/>
        <w:gridCol w:w="739"/>
        <w:gridCol w:w="739"/>
        <w:gridCol w:w="739"/>
        <w:gridCol w:w="62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69" w:hRule="atLeast"/>
          <w:jc w:val="center"/>
        </w:trPr>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月份</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2月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3月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4月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5月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6月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7月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8月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9月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10月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11月</w:t>
            </w:r>
          </w:p>
        </w:tc>
        <w:tc>
          <w:tcPr>
            <w:tcW w:w="0" w:type="auto"/>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12月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69" w:hRule="atLeast"/>
          <w:jc w:val="center"/>
        </w:trPr>
        <w:tc>
          <w:tcPr>
            <w:tcW w:w="0" w:type="auto"/>
            <w:vAlign w:val="center"/>
          </w:tcPr>
          <w:p>
            <w:pPr>
              <w:spacing w:line="240" w:lineRule="auto"/>
              <w:ind w:firstLine="0" w:firstLineChars="0"/>
              <w:jc w:val="center"/>
              <w:textAlignment w:val="baseline"/>
              <w:rPr>
                <w:spacing w:val="-6"/>
                <w:sz w:val="21"/>
                <w:szCs w:val="21"/>
              </w:rPr>
            </w:pPr>
            <w:r>
              <w:rPr>
                <w:spacing w:val="-6"/>
                <w:sz w:val="21"/>
                <w:szCs w:val="21"/>
              </w:rPr>
              <w:t>温度（℃）</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7.29</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9.81</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14.34</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18.85</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22.13</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24.87</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28.43</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28.63</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23.55</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18.24</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13.62</w:t>
            </w:r>
          </w:p>
        </w:tc>
        <w:tc>
          <w:tcPr>
            <w:tcW w:w="0" w:type="auto"/>
            <w:vAlign w:val="center"/>
          </w:tcPr>
          <w:p>
            <w:pPr>
              <w:widowControl/>
              <w:spacing w:line="240" w:lineRule="auto"/>
              <w:ind w:firstLine="0" w:firstLineChars="0"/>
              <w:jc w:val="right"/>
              <w:textAlignment w:val="center"/>
              <w:rPr>
                <w:spacing w:val="-6"/>
                <w:sz w:val="21"/>
                <w:szCs w:val="21"/>
              </w:rPr>
            </w:pPr>
            <w:r>
              <w:rPr>
                <w:kern w:val="0"/>
                <w:sz w:val="21"/>
                <w:szCs w:val="21"/>
                <w:lang w:bidi="ar"/>
              </w:rPr>
              <w:t>8.67</w:t>
            </w:r>
          </w:p>
        </w:tc>
      </w:tr>
    </w:tbl>
    <w:p>
      <w:pPr>
        <w:spacing w:line="460" w:lineRule="atLeast"/>
        <w:ind w:firstLine="522"/>
        <w:jc w:val="center"/>
        <w:rPr>
          <w:b/>
        </w:rPr>
      </w:pPr>
    </w:p>
    <w:p>
      <w:pPr>
        <w:spacing w:line="460" w:lineRule="atLeast"/>
        <w:ind w:firstLine="0" w:firstLineChars="0"/>
        <w:jc w:val="center"/>
        <w:rPr>
          <w:b/>
        </w:rPr>
      </w:pPr>
      <w:r>
        <w:drawing>
          <wp:inline distT="0" distB="0" distL="114300" distR="114300">
            <wp:extent cx="4826000" cy="2743200"/>
            <wp:effectExtent l="4445" t="4445" r="8255" b="14605"/>
            <wp:docPr id="28"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pPr>
        <w:spacing w:line="460" w:lineRule="atLeast"/>
        <w:ind w:firstLine="482"/>
        <w:jc w:val="center"/>
        <w:rPr>
          <w:b/>
          <w:sz w:val="24"/>
          <w:szCs w:val="24"/>
        </w:rPr>
      </w:pPr>
      <w:r>
        <w:rPr>
          <w:b/>
          <w:sz w:val="24"/>
          <w:szCs w:val="24"/>
        </w:rPr>
        <w:t>图6-3     年平均温度的月变化图</w:t>
      </w:r>
    </w:p>
    <w:p>
      <w:pPr>
        <w:spacing w:line="460" w:lineRule="atLeast"/>
        <w:ind w:firstLine="482"/>
        <w:jc w:val="both"/>
        <w:rPr>
          <w:b/>
          <w:sz w:val="24"/>
          <w:szCs w:val="24"/>
        </w:rPr>
      </w:pPr>
      <w:r>
        <w:rPr>
          <w:rFonts w:hint="eastAsia" w:ascii="宋体" w:hAnsi="宋体" w:cs="宋体"/>
          <w:b/>
          <w:sz w:val="24"/>
          <w:szCs w:val="24"/>
        </w:rPr>
        <w:t>④</w:t>
      </w:r>
      <w:r>
        <w:rPr>
          <w:b/>
          <w:sz w:val="24"/>
          <w:szCs w:val="24"/>
        </w:rPr>
        <w:t>相对湿度</w:t>
      </w:r>
    </w:p>
    <w:p>
      <w:pPr>
        <w:spacing w:line="460" w:lineRule="exact"/>
        <w:ind w:firstLine="480"/>
        <w:rPr>
          <w:sz w:val="24"/>
          <w:szCs w:val="24"/>
        </w:rPr>
      </w:pPr>
      <w:r>
        <w:rPr>
          <w:sz w:val="24"/>
          <w:szCs w:val="24"/>
        </w:rPr>
        <w:t>根据合川气象站全年逐时地面气象观测资料，该地区年平均相对湿度月变化情况详见表6.2-8、图6.2-4。</w:t>
      </w:r>
    </w:p>
    <w:p>
      <w:pPr>
        <w:spacing w:line="460" w:lineRule="exact"/>
        <w:ind w:firstLine="482"/>
        <w:jc w:val="center"/>
        <w:rPr>
          <w:b/>
        </w:rPr>
      </w:pPr>
      <w:r>
        <w:rPr>
          <w:b/>
          <w:sz w:val="24"/>
          <w:szCs w:val="24"/>
        </w:rPr>
        <w:t>表6.2-8    年平均相对湿度的月变化（℃）</w:t>
      </w:r>
    </w:p>
    <w:tbl>
      <w:tblPr>
        <w:tblStyle w:val="88"/>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60"/>
        <w:gridCol w:w="744"/>
        <w:gridCol w:w="745"/>
        <w:gridCol w:w="745"/>
        <w:gridCol w:w="745"/>
        <w:gridCol w:w="745"/>
        <w:gridCol w:w="745"/>
        <w:gridCol w:w="745"/>
        <w:gridCol w:w="745"/>
        <w:gridCol w:w="451"/>
        <w:gridCol w:w="627"/>
        <w:gridCol w:w="745"/>
        <w:gridCol w:w="74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5"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月份</w:t>
            </w:r>
          </w:p>
        </w:tc>
        <w:tc>
          <w:tcPr>
            <w:tcW w:w="362"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1月</w:t>
            </w:r>
          </w:p>
        </w:tc>
        <w:tc>
          <w:tcPr>
            <w:tcW w:w="411"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2月</w:t>
            </w:r>
          </w:p>
        </w:tc>
        <w:tc>
          <w:tcPr>
            <w:tcW w:w="387"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3月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4月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5月</w:t>
            </w:r>
          </w:p>
        </w:tc>
        <w:tc>
          <w:tcPr>
            <w:tcW w:w="387"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6月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7月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8月</w:t>
            </w:r>
          </w:p>
        </w:tc>
        <w:tc>
          <w:tcPr>
            <w:tcW w:w="387" w:type="pct"/>
            <w:shd w:val="clear" w:color="auto" w:fill="D9D9D9"/>
            <w:vAlign w:val="center"/>
          </w:tcPr>
          <w:p>
            <w:pPr>
              <w:spacing w:line="240" w:lineRule="auto"/>
              <w:ind w:firstLine="0" w:firstLineChars="0"/>
              <w:jc w:val="both"/>
              <w:textAlignment w:val="baseline"/>
              <w:rPr>
                <w:b/>
                <w:spacing w:val="-6"/>
                <w:sz w:val="21"/>
                <w:szCs w:val="21"/>
              </w:rPr>
            </w:pPr>
            <w:r>
              <w:rPr>
                <w:b/>
                <w:spacing w:val="-6"/>
                <w:sz w:val="21"/>
                <w:szCs w:val="21"/>
              </w:rPr>
              <w:t>9月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10月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11月</w:t>
            </w:r>
          </w:p>
        </w:tc>
        <w:tc>
          <w:tcPr>
            <w:tcW w:w="386" w:type="pct"/>
            <w:shd w:val="clear" w:color="auto" w:fill="D9D9D9"/>
            <w:vAlign w:val="center"/>
          </w:tcPr>
          <w:p>
            <w:pPr>
              <w:spacing w:line="240" w:lineRule="auto"/>
              <w:ind w:firstLine="0" w:firstLineChars="0"/>
              <w:jc w:val="center"/>
              <w:textAlignment w:val="baseline"/>
              <w:rPr>
                <w:b/>
                <w:spacing w:val="-6"/>
                <w:sz w:val="21"/>
                <w:szCs w:val="21"/>
              </w:rPr>
            </w:pPr>
            <w:r>
              <w:rPr>
                <w:b/>
                <w:spacing w:val="-6"/>
                <w:sz w:val="21"/>
                <w:szCs w:val="21"/>
              </w:rPr>
              <w:t>12月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69" w:hRule="atLeast"/>
          <w:jc w:val="center"/>
        </w:trPr>
        <w:tc>
          <w:tcPr>
            <w:tcW w:w="365" w:type="pct"/>
            <w:vAlign w:val="center"/>
          </w:tcPr>
          <w:p>
            <w:pPr>
              <w:spacing w:line="240" w:lineRule="auto"/>
              <w:ind w:firstLine="0" w:firstLineChars="0"/>
              <w:jc w:val="center"/>
              <w:textAlignment w:val="baseline"/>
              <w:rPr>
                <w:spacing w:val="-6"/>
                <w:sz w:val="21"/>
                <w:szCs w:val="21"/>
              </w:rPr>
            </w:pPr>
            <w:r>
              <w:rPr>
                <w:kern w:val="0"/>
                <w:sz w:val="21"/>
                <w:szCs w:val="21"/>
              </w:rPr>
              <w:t>湿度（%）</w:t>
            </w:r>
          </w:p>
        </w:tc>
        <w:tc>
          <w:tcPr>
            <w:tcW w:w="643"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85.92</w:t>
            </w:r>
          </w:p>
        </w:tc>
        <w:tc>
          <w:tcPr>
            <w:tcW w:w="730"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81.36</w:t>
            </w:r>
          </w:p>
        </w:tc>
        <w:tc>
          <w:tcPr>
            <w:tcW w:w="688"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77.85</w:t>
            </w:r>
          </w:p>
        </w:tc>
        <w:tc>
          <w:tcPr>
            <w:tcW w:w="686"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77.84</w:t>
            </w:r>
          </w:p>
        </w:tc>
        <w:tc>
          <w:tcPr>
            <w:tcW w:w="686"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79.31</w:t>
            </w:r>
          </w:p>
        </w:tc>
        <w:tc>
          <w:tcPr>
            <w:tcW w:w="688"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83.14</w:t>
            </w:r>
          </w:p>
        </w:tc>
        <w:tc>
          <w:tcPr>
            <w:tcW w:w="686"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76.72</w:t>
            </w:r>
          </w:p>
        </w:tc>
        <w:tc>
          <w:tcPr>
            <w:tcW w:w="686"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72.51</w:t>
            </w:r>
          </w:p>
        </w:tc>
        <w:tc>
          <w:tcPr>
            <w:tcW w:w="688" w:type="dxa"/>
            <w:vAlign w:val="center"/>
          </w:tcPr>
          <w:p>
            <w:pPr>
              <w:widowControl/>
              <w:spacing w:line="240" w:lineRule="auto"/>
              <w:ind w:firstLine="0" w:firstLineChars="0"/>
              <w:jc w:val="both"/>
              <w:textAlignment w:val="center"/>
              <w:rPr>
                <w:spacing w:val="-6"/>
                <w:sz w:val="21"/>
                <w:szCs w:val="21"/>
              </w:rPr>
            </w:pPr>
            <w:r>
              <w:rPr>
                <w:kern w:val="0"/>
                <w:sz w:val="21"/>
                <w:szCs w:val="21"/>
                <w:lang w:bidi="ar"/>
              </w:rPr>
              <w:t>83</w:t>
            </w:r>
          </w:p>
        </w:tc>
        <w:tc>
          <w:tcPr>
            <w:tcW w:w="686" w:type="dxa"/>
            <w:vAlign w:val="center"/>
          </w:tcPr>
          <w:p>
            <w:pPr>
              <w:widowControl/>
              <w:spacing w:line="240" w:lineRule="auto"/>
              <w:ind w:firstLine="0" w:firstLineChars="0"/>
              <w:jc w:val="both"/>
              <w:textAlignment w:val="center"/>
              <w:rPr>
                <w:spacing w:val="-6"/>
                <w:sz w:val="21"/>
                <w:szCs w:val="21"/>
              </w:rPr>
            </w:pPr>
            <w:r>
              <w:rPr>
                <w:kern w:val="0"/>
                <w:sz w:val="21"/>
                <w:szCs w:val="21"/>
                <w:lang w:bidi="ar"/>
              </w:rPr>
              <w:t>87.7</w:t>
            </w:r>
          </w:p>
        </w:tc>
        <w:tc>
          <w:tcPr>
            <w:tcW w:w="686"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87.94</w:t>
            </w:r>
          </w:p>
        </w:tc>
        <w:tc>
          <w:tcPr>
            <w:tcW w:w="684" w:type="dxa"/>
            <w:vAlign w:val="center"/>
          </w:tcPr>
          <w:p>
            <w:pPr>
              <w:widowControl/>
              <w:spacing w:line="240" w:lineRule="auto"/>
              <w:ind w:firstLine="0" w:firstLineChars="0"/>
              <w:jc w:val="right"/>
              <w:textAlignment w:val="center"/>
              <w:rPr>
                <w:spacing w:val="-6"/>
                <w:sz w:val="21"/>
                <w:szCs w:val="21"/>
              </w:rPr>
            </w:pPr>
            <w:r>
              <w:rPr>
                <w:kern w:val="0"/>
                <w:sz w:val="21"/>
                <w:szCs w:val="21"/>
                <w:lang w:bidi="ar"/>
              </w:rPr>
              <w:t>87.52</w:t>
            </w:r>
          </w:p>
        </w:tc>
      </w:tr>
    </w:tbl>
    <w:p>
      <w:pPr>
        <w:spacing w:line="360" w:lineRule="auto"/>
        <w:ind w:firstLine="0" w:firstLineChars="0"/>
        <w:jc w:val="center"/>
      </w:pPr>
    </w:p>
    <w:p>
      <w:pPr>
        <w:spacing w:line="360" w:lineRule="auto"/>
        <w:ind w:firstLine="0" w:firstLineChars="0"/>
        <w:jc w:val="center"/>
        <w:rPr>
          <w:sz w:val="24"/>
          <w:szCs w:val="24"/>
        </w:rPr>
      </w:pPr>
      <w:r>
        <w:drawing>
          <wp:inline distT="0" distB="0" distL="114300" distR="114300">
            <wp:extent cx="4826000" cy="2743200"/>
            <wp:effectExtent l="4445" t="4445" r="8255" b="14605"/>
            <wp:docPr id="29"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pPr>
        <w:spacing w:line="460" w:lineRule="exact"/>
        <w:ind w:firstLine="482"/>
        <w:jc w:val="center"/>
        <w:rPr>
          <w:sz w:val="24"/>
          <w:szCs w:val="24"/>
        </w:rPr>
      </w:pPr>
      <w:r>
        <w:rPr>
          <w:b/>
          <w:sz w:val="24"/>
          <w:szCs w:val="24"/>
        </w:rPr>
        <w:t>图6-4     年平均相对湿度的月变化图</w:t>
      </w:r>
    </w:p>
    <w:p>
      <w:pPr>
        <w:pStyle w:val="6"/>
        <w:numPr>
          <w:ilvl w:val="3"/>
          <w:numId w:val="0"/>
        </w:numPr>
      </w:pPr>
      <w:r>
        <w:t>6.2.1.2预测模型及参数选择</w:t>
      </w:r>
    </w:p>
    <w:p>
      <w:pPr>
        <w:pStyle w:val="222"/>
      </w:pPr>
      <w:r>
        <w:t>（1）模型选择</w:t>
      </w:r>
    </w:p>
    <w:p>
      <w:pPr>
        <w:pStyle w:val="222"/>
        <w:rPr>
          <w:bCs/>
        </w:rPr>
      </w:pPr>
      <w:r>
        <w:rPr>
          <w:bCs/>
        </w:rPr>
        <w:t>评价范围内没有大型水体（海或湖）存在，</w:t>
      </w:r>
      <w:r>
        <w:t>项目基准年内风速≤0.5m/s的持续时间</w:t>
      </w:r>
      <w:r>
        <w:rPr>
          <w:bCs/>
        </w:rPr>
        <w:t>超过72h的情况</w:t>
      </w:r>
      <w:r>
        <w:t>，根据合川区近20年统计的全年静风（风速≤0.2m/s）频率为0.50%，小于 35%。因此，本评价采用《环境影响评价技术导则 大气环境》（HJ2.2-2018）附录A中推荐的AERMOD模型，该模型可用于局地尺度（≤50km）范围内的预测，适用点源（含火炬源）、面源、线源、体源等各种污染源。</w:t>
      </w:r>
    </w:p>
    <w:p>
      <w:pPr>
        <w:numPr>
          <w:ilvl w:val="0"/>
          <w:numId w:val="25"/>
        </w:numPr>
        <w:spacing w:line="460" w:lineRule="exact"/>
        <w:ind w:firstLine="480"/>
        <w:jc w:val="both"/>
        <w:rPr>
          <w:sz w:val="24"/>
          <w:szCs w:val="24"/>
        </w:rPr>
      </w:pPr>
      <w:r>
        <w:rPr>
          <w:sz w:val="24"/>
          <w:szCs w:val="24"/>
        </w:rPr>
        <w:t>预测因子</w:t>
      </w:r>
    </w:p>
    <w:p>
      <w:pPr>
        <w:spacing w:line="460" w:lineRule="exact"/>
        <w:ind w:firstLine="480"/>
        <w:jc w:val="both"/>
        <w:rPr>
          <w:sz w:val="24"/>
          <w:szCs w:val="24"/>
        </w:rPr>
      </w:pPr>
      <w:r>
        <w:rPr>
          <w:sz w:val="24"/>
          <w:szCs w:val="26"/>
        </w:rPr>
        <w:t>根据工程分析，本评价选择预测因子为TSP和PM</w:t>
      </w:r>
      <w:r>
        <w:rPr>
          <w:sz w:val="24"/>
          <w:szCs w:val="26"/>
          <w:vertAlign w:val="subscript"/>
        </w:rPr>
        <w:t>10</w:t>
      </w:r>
      <w:r>
        <w:rPr>
          <w:sz w:val="24"/>
          <w:szCs w:val="26"/>
        </w:rPr>
        <w:t>，</w:t>
      </w:r>
    </w:p>
    <w:p>
      <w:pPr>
        <w:numPr>
          <w:ilvl w:val="0"/>
          <w:numId w:val="25"/>
        </w:numPr>
        <w:spacing w:line="460" w:lineRule="exact"/>
        <w:ind w:firstLine="480"/>
        <w:jc w:val="both"/>
        <w:rPr>
          <w:sz w:val="24"/>
          <w:szCs w:val="24"/>
        </w:rPr>
      </w:pPr>
      <w:r>
        <w:rPr>
          <w:sz w:val="24"/>
          <w:szCs w:val="24"/>
        </w:rPr>
        <w:t>预测范围</w:t>
      </w:r>
    </w:p>
    <w:p>
      <w:pPr>
        <w:spacing w:line="460" w:lineRule="exact"/>
        <w:ind w:firstLine="0" w:firstLineChars="0"/>
        <w:jc w:val="both"/>
        <w:rPr>
          <w:sz w:val="24"/>
          <w:szCs w:val="24"/>
        </w:rPr>
      </w:pPr>
      <w:r>
        <w:rPr>
          <w:sz w:val="24"/>
          <w:szCs w:val="24"/>
        </w:rPr>
        <w:t xml:space="preserve">        </w:t>
      </w:r>
      <w:r>
        <w:t>根据前文估算结果，本项目评价范围是</w:t>
      </w:r>
      <w:r>
        <w:rPr>
          <w:sz w:val="24"/>
        </w:rPr>
        <w:t>以开采区和工业场地分别划定5km的矩形区域，以两个区域包络线作为本项目大气评价范围。</w:t>
      </w:r>
      <w:r>
        <w:t>因此本次预测范围确定为已矿区3号拐点作为原点的3km×3km的矩形范围。</w:t>
      </w:r>
    </w:p>
    <w:p>
      <w:pPr>
        <w:numPr>
          <w:ilvl w:val="0"/>
          <w:numId w:val="25"/>
        </w:numPr>
        <w:spacing w:line="460" w:lineRule="exact"/>
        <w:ind w:firstLine="480"/>
        <w:jc w:val="both"/>
        <w:rPr>
          <w:sz w:val="24"/>
          <w:szCs w:val="24"/>
        </w:rPr>
      </w:pPr>
      <w:r>
        <w:rPr>
          <w:sz w:val="24"/>
          <w:szCs w:val="24"/>
        </w:rPr>
        <w:t>预测基准年和周期</w:t>
      </w:r>
    </w:p>
    <w:p>
      <w:pPr>
        <w:spacing w:line="460" w:lineRule="exact"/>
        <w:ind w:firstLine="520"/>
        <w:jc w:val="both"/>
        <w:rPr>
          <w:sz w:val="24"/>
          <w:szCs w:val="24"/>
        </w:rPr>
      </w:pPr>
      <w:r>
        <w:t>本评价选取2022年气象数据作为预测数据，预测时间为连续1年。</w:t>
      </w:r>
    </w:p>
    <w:p>
      <w:pPr>
        <w:spacing w:line="460" w:lineRule="exact"/>
        <w:ind w:firstLine="480"/>
        <w:jc w:val="both"/>
        <w:rPr>
          <w:sz w:val="24"/>
          <w:szCs w:val="24"/>
        </w:rPr>
      </w:pPr>
      <w:r>
        <w:rPr>
          <w:sz w:val="24"/>
          <w:szCs w:val="24"/>
        </w:rPr>
        <w:t>（3）地形数据</w:t>
      </w:r>
    </w:p>
    <w:p>
      <w:pPr>
        <w:spacing w:line="460" w:lineRule="atLeast"/>
        <w:ind w:firstLine="520"/>
        <w:jc w:val="both"/>
      </w:pPr>
      <w:r>
        <w:t>拟建项目评价范围内的地形数据来源为外部 DEM 文件，所需数据由http：//srtm.csi.cgiar.org/提供。外部 DEM 文件为采用全球定义的标准 DEM 文件，分辨率为90m，通过 AERMAP 运行计算得出评价范围内各网格及敏感点的地形数据。</w:t>
      </w:r>
    </w:p>
    <w:p>
      <w:pPr>
        <w:spacing w:line="460" w:lineRule="atLeast"/>
        <w:ind w:firstLine="520"/>
        <w:jc w:val="both"/>
        <w:rPr>
          <w:bCs/>
          <w:sz w:val="24"/>
          <w:szCs w:val="24"/>
        </w:rPr>
      </w:pPr>
      <w:r>
        <w:t>本项目所在区域等高线见图6.2-5。</w:t>
      </w:r>
    </w:p>
    <w:p>
      <w:pPr>
        <w:spacing w:line="460" w:lineRule="atLeast"/>
        <w:ind w:firstLine="0" w:firstLineChars="0"/>
        <w:jc w:val="both"/>
        <w:rPr>
          <w:bCs/>
          <w:sz w:val="24"/>
          <w:szCs w:val="24"/>
        </w:rPr>
      </w:pPr>
      <w:r>
        <mc:AlternateContent>
          <mc:Choice Requires="wps">
            <w:drawing>
              <wp:anchor distT="0" distB="0" distL="114300" distR="114300" simplePos="0" relativeHeight="251669504" behindDoc="0" locked="0" layoutInCell="1" allowOverlap="1">
                <wp:simplePos x="0" y="0"/>
                <wp:positionH relativeFrom="column">
                  <wp:posOffset>2602865</wp:posOffset>
                </wp:positionH>
                <wp:positionV relativeFrom="paragraph">
                  <wp:posOffset>1242060</wp:posOffset>
                </wp:positionV>
                <wp:extent cx="1003300" cy="400685"/>
                <wp:effectExtent l="255270" t="15240" r="8255" b="231775"/>
                <wp:wrapNone/>
                <wp:docPr id="10" name="矩形标注 53"/>
                <wp:cNvGraphicFramePr/>
                <a:graphic xmlns:a="http://schemas.openxmlformats.org/drawingml/2006/main">
                  <a:graphicData uri="http://schemas.microsoft.com/office/word/2010/wordprocessingShape">
                    <wps:wsp>
                      <wps:cNvSpPr>
                        <a:spLocks noChangeArrowheads="true"/>
                      </wps:cNvSpPr>
                      <wps:spPr bwMode="auto">
                        <a:xfrm>
                          <a:off x="0" y="0"/>
                          <a:ext cx="1003300" cy="400685"/>
                        </a:xfrm>
                        <a:prstGeom prst="wedgeRectCallout">
                          <a:avLst>
                            <a:gd name="adj1" fmla="val -68301"/>
                            <a:gd name="adj2" fmla="val 99167"/>
                          </a:avLst>
                        </a:prstGeom>
                        <a:noFill/>
                        <a:ln w="12700">
                          <a:solidFill>
                            <a:srgbClr val="FF0000"/>
                          </a:solidFill>
                          <a:round/>
                        </a:ln>
                      </wps:spPr>
                      <wps:txbx>
                        <w:txbxContent>
                          <w:p>
                            <w:pPr>
                              <w:ind w:firstLine="0" w:firstLineChars="0"/>
                              <w:rPr>
                                <w:b/>
                                <w:color w:val="FF0000"/>
                                <w:sz w:val="21"/>
                                <w:szCs w:val="21"/>
                              </w:rPr>
                            </w:pPr>
                            <w:r>
                              <w:rPr>
                                <w:rFonts w:hint="eastAsia"/>
                                <w:b/>
                                <w:color w:val="FF0000"/>
                                <w:sz w:val="21"/>
                                <w:szCs w:val="21"/>
                              </w:rPr>
                              <w:t>本项目位置</w:t>
                            </w:r>
                          </w:p>
                        </w:txbxContent>
                      </wps:txbx>
                      <wps:bodyPr rot="0" vert="horz" wrap="square" lIns="91440" tIns="45720" rIns="91440" bIns="45720" anchor="ctr" anchorCtr="false" upright="true">
                        <a:noAutofit/>
                      </wps:bodyPr>
                    </wps:wsp>
                  </a:graphicData>
                </a:graphic>
              </wp:anchor>
            </w:drawing>
          </mc:Choice>
          <mc:Fallback>
            <w:pict>
              <v:shape id="矩形标注 53" o:spid="_x0000_s1026" o:spt="61" type="#_x0000_t61" style="position:absolute;left:0pt;margin-left:204.95pt;margin-top:97.8pt;height:31.55pt;width:79pt;z-index:251669504;v-text-anchor:middle;mso-width-relative:page;mso-height-relative:page;" filled="f" stroked="t" coordsize="21600,21600" o:gfxdata="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Fx2IcNoAAAALAQAADwAAAAAAAAABACAAAAA4AAAAZHJzL2Rvd25yZXYueG1s&#10;UEsBAhQAFAAAAAgAh07iQH2WBflSAgAAaQQAAA4AAAAAAAAAAQAgAAAAPwEAAGRycy9lMm9Eb2Mu&#10;eG1sUEsFBgAAAAAGAAYAWQEAAAMGAAAAAA==&#10;" adj="0,32220">
                <v:fill on="f" focussize="0,0"/>
                <v:stroke weight="1pt" color="#FF0000" joinstyle="round"/>
                <v:imagedata o:title=""/>
                <o:lock v:ext="edit" aspectratio="f"/>
                <v:textbox>
                  <w:txbxContent>
                    <w:p>
                      <w:pPr>
                        <w:ind w:firstLine="0" w:firstLineChars="0"/>
                        <w:rPr>
                          <w:b/>
                          <w:color w:val="FF0000"/>
                          <w:sz w:val="21"/>
                          <w:szCs w:val="21"/>
                        </w:rPr>
                      </w:pPr>
                      <w:r>
                        <w:rPr>
                          <w:rFonts w:hint="eastAsia"/>
                          <w:b/>
                          <w:color w:val="FF0000"/>
                          <w:sz w:val="21"/>
                          <w:szCs w:val="21"/>
                        </w:rPr>
                        <w:t>本项目位置</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2300605</wp:posOffset>
                </wp:positionH>
                <wp:positionV relativeFrom="paragraph">
                  <wp:posOffset>1795780</wp:posOffset>
                </wp:positionV>
                <wp:extent cx="120650" cy="114300"/>
                <wp:effectExtent l="19050" t="38100" r="12700" b="19050"/>
                <wp:wrapNone/>
                <wp:docPr id="52" name="五角星 52"/>
                <wp:cNvGraphicFramePr/>
                <a:graphic xmlns:a="http://schemas.openxmlformats.org/drawingml/2006/main">
                  <a:graphicData uri="http://schemas.microsoft.com/office/word/2010/wordprocessingShape">
                    <wps:wsp>
                      <wps:cNvSpPr/>
                      <wps:spPr>
                        <a:xfrm>
                          <a:off x="0" y="0"/>
                          <a:ext cx="120650" cy="114300"/>
                        </a:xfrm>
                        <a:prstGeom prst="star5">
                          <a:avLst/>
                        </a:prstGeom>
                        <a:noFill/>
                        <a:ln w="25400" cap="flat" cmpd="sng" algn="ctr">
                          <a:solidFill>
                            <a:srgbClr val="0C15D2"/>
                          </a:solidFill>
                          <a:prstDash val="solid"/>
                        </a:ln>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81.15pt;margin-top:141.4pt;height:9pt;width:9.5pt;z-index:251668480;v-text-anchor:middle;mso-width-relative:page;mso-height-relative:page;" filled="f" stroked="t" coordsize="120650,114300" o:gfxdata="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YQT+j2AAAAAsBAAAPAAAAAAAAAAEAIAAAADgAAABkcnMvZG93bnJldi54bWxQ&#10;SwECFAAUAAAACACHTuJA7HpzY1MCAAB6BAAADgAAAAAAAAABACAAAAA9AQAAZHJzL2Uyb0RvYy54&#10;bWxQSwUGAAAAAAYABgBZAQAAAgYAAAAA&#10;" path="m0,43658l46084,43658,60325,0,74565,43658,120649,43658,83366,70640,97607,114299,60325,87316,23042,114299,37283,70640xe">
                <v:path o:connectlocs="60325,0;0,43658;23042,114299;97607,114299;120649,43658" o:connectangles="247,164,82,82,0"/>
                <v:fill on="f" focussize="0,0"/>
                <v:stroke weight="2pt" color="#0C15D2" joinstyle="round"/>
                <v:imagedata o:title=""/>
                <o:lock v:ext="edit" aspectratio="f"/>
              </v:shape>
            </w:pict>
          </mc:Fallback>
        </mc:AlternateContent>
      </w:r>
      <w:r>
        <w:drawing>
          <wp:inline distT="0" distB="0" distL="114300" distR="114300">
            <wp:extent cx="5756910" cy="3898900"/>
            <wp:effectExtent l="0" t="0" r="15240" b="6350"/>
            <wp:docPr id="5"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true"/>
                    </pic:cNvPicPr>
                  </pic:nvPicPr>
                  <pic:blipFill>
                    <a:blip r:embed="rId90"/>
                    <a:stretch>
                      <a:fillRect/>
                    </a:stretch>
                  </pic:blipFill>
                  <pic:spPr>
                    <a:xfrm>
                      <a:off x="0" y="0"/>
                      <a:ext cx="5756910" cy="3898900"/>
                    </a:xfrm>
                    <a:prstGeom prst="rect">
                      <a:avLst/>
                    </a:prstGeom>
                    <a:noFill/>
                    <a:ln>
                      <a:noFill/>
                    </a:ln>
                  </pic:spPr>
                </pic:pic>
              </a:graphicData>
            </a:graphic>
          </wp:inline>
        </w:drawing>
      </w:r>
    </w:p>
    <w:p>
      <w:pPr>
        <w:spacing w:line="460" w:lineRule="exact"/>
        <w:ind w:firstLine="522"/>
        <w:jc w:val="center"/>
        <w:rPr>
          <w:sz w:val="24"/>
          <w:szCs w:val="24"/>
        </w:rPr>
      </w:pPr>
      <w:r>
        <w:rPr>
          <w:b/>
        </w:rPr>
        <w:t>图6-5   项目所在区域等高线示意图</w:t>
      </w:r>
    </w:p>
    <w:p>
      <w:pPr>
        <w:spacing w:line="360" w:lineRule="auto"/>
        <w:ind w:firstLine="480"/>
        <w:jc w:val="both"/>
        <w:rPr>
          <w:sz w:val="24"/>
          <w:szCs w:val="24"/>
        </w:rPr>
      </w:pPr>
      <w:r>
        <w:rPr>
          <w:sz w:val="24"/>
          <w:szCs w:val="24"/>
        </w:rPr>
        <w:t>（4）地面参数</w:t>
      </w:r>
    </w:p>
    <w:p>
      <w:pPr>
        <w:pStyle w:val="222"/>
      </w:pPr>
      <w:r>
        <w:t>根据项目厂区周边用地情况，地表类型分扇区数为 1，地面扇区地表类型为落叶林，地表湿度为潮湿气候。正午反照率、BOWEN、粗糙度按照 AERMET通用地表类型特征参数表自动生成。生成地面特征参数见表6.2-9。</w:t>
      </w:r>
    </w:p>
    <w:p>
      <w:pPr>
        <w:pStyle w:val="84"/>
      </w:pPr>
      <w:r>
        <w:t>表6.2-9  近地表地面参数</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20"/>
        <w:gridCol w:w="1795"/>
        <w:gridCol w:w="1548"/>
        <w:gridCol w:w="1587"/>
        <w:gridCol w:w="1561"/>
        <w:gridCol w:w="15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657"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3238"/>
            </w:pPr>
            <w:r>
              <w:t>序号</w:t>
            </w:r>
          </w:p>
        </w:tc>
        <w:tc>
          <w:tcPr>
            <w:tcW w:w="966"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3238"/>
            </w:pPr>
            <w:r>
              <w:t>开始角度（°）</w:t>
            </w:r>
          </w:p>
        </w:tc>
        <w:tc>
          <w:tcPr>
            <w:tcW w:w="833"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3238"/>
              <w:rPr>
                <w:lang w:eastAsia="en-US"/>
              </w:rPr>
            </w:pPr>
            <w:r>
              <w:rPr>
                <w:lang w:eastAsia="en-US"/>
              </w:rPr>
              <w:t>季节</w:t>
            </w:r>
          </w:p>
        </w:tc>
        <w:tc>
          <w:tcPr>
            <w:tcW w:w="854" w:type="pct"/>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3238"/>
              <w:rPr>
                <w:lang w:eastAsia="en-US"/>
              </w:rPr>
            </w:pPr>
            <w:r>
              <w:rPr>
                <w:lang w:eastAsia="en-US"/>
              </w:rPr>
              <w:t>地表反照率</w:t>
            </w:r>
          </w:p>
        </w:tc>
        <w:tc>
          <w:tcPr>
            <w:tcW w:w="840" w:type="pct"/>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3238"/>
              <w:rPr>
                <w:lang w:eastAsia="en-US"/>
              </w:rPr>
            </w:pPr>
            <w:r>
              <w:rPr>
                <w:lang w:eastAsia="en-US"/>
              </w:rPr>
              <w:t>白天波纹率</w:t>
            </w:r>
          </w:p>
        </w:tc>
        <w:tc>
          <w:tcPr>
            <w:tcW w:w="848" w:type="pct"/>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3238"/>
              <w:rPr>
                <w:lang w:eastAsia="en-US"/>
              </w:rPr>
            </w:pPr>
            <w:r>
              <w:rPr>
                <w:lang w:eastAsia="en-US"/>
              </w:rPr>
              <w:t>地面粗糙度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657" w:type="pct"/>
            <w:vMerge w:val="restart"/>
            <w:tcBorders>
              <w:top w:val="single" w:color="auto" w:sz="4" w:space="0"/>
              <w:left w:val="single" w:color="auto" w:sz="4" w:space="0"/>
              <w:right w:val="single" w:color="auto" w:sz="4" w:space="0"/>
            </w:tcBorders>
            <w:vAlign w:val="center"/>
          </w:tcPr>
          <w:p>
            <w:pPr>
              <w:pStyle w:val="3238"/>
            </w:pPr>
            <w:r>
              <w:t>1</w:t>
            </w:r>
          </w:p>
        </w:tc>
        <w:tc>
          <w:tcPr>
            <w:tcW w:w="966" w:type="pct"/>
            <w:vMerge w:val="restart"/>
            <w:tcBorders>
              <w:top w:val="single" w:color="auto" w:sz="4" w:space="0"/>
              <w:left w:val="single" w:color="auto" w:sz="4" w:space="0"/>
              <w:right w:val="single" w:color="auto" w:sz="4" w:space="0"/>
            </w:tcBorders>
            <w:vAlign w:val="center"/>
          </w:tcPr>
          <w:p>
            <w:pPr>
              <w:pStyle w:val="3238"/>
            </w:pPr>
            <w:r>
              <w:t>0</w:t>
            </w:r>
          </w:p>
        </w:tc>
        <w:tc>
          <w:tcPr>
            <w:tcW w:w="833" w:type="pct"/>
            <w:tcBorders>
              <w:top w:val="single" w:color="auto" w:sz="4" w:space="0"/>
              <w:left w:val="single" w:color="auto" w:sz="4" w:space="0"/>
              <w:bottom w:val="single" w:color="auto" w:sz="4" w:space="0"/>
              <w:right w:val="single" w:color="auto" w:sz="4" w:space="0"/>
            </w:tcBorders>
            <w:vAlign w:val="center"/>
          </w:tcPr>
          <w:p>
            <w:pPr>
              <w:pStyle w:val="3238"/>
              <w:rPr>
                <w:b/>
                <w:lang w:eastAsia="en-US"/>
              </w:rPr>
            </w:pPr>
            <w:r>
              <w:rPr>
                <w:lang w:eastAsia="en-US"/>
              </w:rPr>
              <w:t>冬季</w:t>
            </w:r>
          </w:p>
        </w:tc>
        <w:tc>
          <w:tcPr>
            <w:tcW w:w="854" w:type="pct"/>
            <w:tcBorders>
              <w:top w:val="single" w:color="auto" w:sz="4" w:space="0"/>
              <w:left w:val="nil"/>
              <w:bottom w:val="single" w:color="auto" w:sz="4" w:space="0"/>
              <w:right w:val="single" w:color="auto" w:sz="4" w:space="0"/>
            </w:tcBorders>
            <w:vAlign w:val="center"/>
          </w:tcPr>
          <w:p>
            <w:pPr>
              <w:pStyle w:val="3238"/>
              <w:rPr>
                <w:b/>
                <w:lang w:eastAsia="en-US"/>
              </w:rPr>
            </w:pPr>
            <w:r>
              <w:t>0.5</w:t>
            </w:r>
          </w:p>
        </w:tc>
        <w:tc>
          <w:tcPr>
            <w:tcW w:w="840" w:type="pct"/>
            <w:tcBorders>
              <w:top w:val="single" w:color="auto" w:sz="4" w:space="0"/>
              <w:left w:val="nil"/>
              <w:bottom w:val="single" w:color="auto" w:sz="4" w:space="0"/>
              <w:right w:val="single" w:color="auto" w:sz="4" w:space="0"/>
            </w:tcBorders>
            <w:vAlign w:val="center"/>
          </w:tcPr>
          <w:p>
            <w:pPr>
              <w:pStyle w:val="3238"/>
              <w:rPr>
                <w:b/>
                <w:lang w:eastAsia="en-US"/>
              </w:rPr>
            </w:pPr>
            <w:r>
              <w:t>0.5</w:t>
            </w:r>
          </w:p>
        </w:tc>
        <w:tc>
          <w:tcPr>
            <w:tcW w:w="848" w:type="pct"/>
            <w:tcBorders>
              <w:top w:val="single" w:color="auto" w:sz="4" w:space="0"/>
              <w:left w:val="nil"/>
              <w:bottom w:val="single" w:color="auto" w:sz="4" w:space="0"/>
              <w:right w:val="single" w:color="auto" w:sz="4" w:space="0"/>
            </w:tcBorders>
            <w:vAlign w:val="center"/>
          </w:tcPr>
          <w:p>
            <w:pPr>
              <w:pStyle w:val="3238"/>
              <w:rPr>
                <w:b/>
                <w:lang w:eastAsia="en-US"/>
              </w:rPr>
            </w:pPr>
            <w: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657" w:type="pct"/>
            <w:vMerge w:val="continue"/>
            <w:tcBorders>
              <w:left w:val="single" w:color="auto" w:sz="4" w:space="0"/>
              <w:right w:val="single" w:color="auto" w:sz="4" w:space="0"/>
            </w:tcBorders>
            <w:vAlign w:val="center"/>
          </w:tcPr>
          <w:p>
            <w:pPr>
              <w:pStyle w:val="3238"/>
            </w:pPr>
          </w:p>
        </w:tc>
        <w:tc>
          <w:tcPr>
            <w:tcW w:w="966" w:type="pct"/>
            <w:vMerge w:val="continue"/>
            <w:tcBorders>
              <w:left w:val="single" w:color="auto" w:sz="4" w:space="0"/>
              <w:right w:val="single" w:color="auto" w:sz="4" w:space="0"/>
            </w:tcBorders>
            <w:vAlign w:val="center"/>
          </w:tcPr>
          <w:p>
            <w:pPr>
              <w:pStyle w:val="3238"/>
            </w:pPr>
          </w:p>
        </w:tc>
        <w:tc>
          <w:tcPr>
            <w:tcW w:w="833" w:type="pct"/>
            <w:tcBorders>
              <w:top w:val="single" w:color="auto" w:sz="4" w:space="0"/>
              <w:left w:val="single" w:color="auto" w:sz="4" w:space="0"/>
              <w:bottom w:val="single" w:color="auto" w:sz="4" w:space="0"/>
              <w:right w:val="single" w:color="auto" w:sz="4" w:space="0"/>
            </w:tcBorders>
            <w:vAlign w:val="center"/>
          </w:tcPr>
          <w:p>
            <w:pPr>
              <w:pStyle w:val="3238"/>
              <w:rPr>
                <w:b/>
                <w:lang w:eastAsia="en-US"/>
              </w:rPr>
            </w:pPr>
            <w:r>
              <w:rPr>
                <w:lang w:eastAsia="en-US"/>
              </w:rPr>
              <w:t>春季</w:t>
            </w:r>
          </w:p>
        </w:tc>
        <w:tc>
          <w:tcPr>
            <w:tcW w:w="854" w:type="pct"/>
            <w:tcBorders>
              <w:top w:val="single" w:color="auto" w:sz="4" w:space="0"/>
              <w:left w:val="nil"/>
              <w:bottom w:val="single" w:color="auto" w:sz="4" w:space="0"/>
              <w:right w:val="single" w:color="auto" w:sz="4" w:space="0"/>
            </w:tcBorders>
            <w:vAlign w:val="center"/>
          </w:tcPr>
          <w:p>
            <w:pPr>
              <w:pStyle w:val="3238"/>
              <w:rPr>
                <w:b/>
                <w:lang w:eastAsia="en-US"/>
              </w:rPr>
            </w:pPr>
            <w:r>
              <w:t>0.12</w:t>
            </w:r>
          </w:p>
        </w:tc>
        <w:tc>
          <w:tcPr>
            <w:tcW w:w="840" w:type="pct"/>
            <w:tcBorders>
              <w:top w:val="single" w:color="auto" w:sz="4" w:space="0"/>
              <w:left w:val="nil"/>
              <w:bottom w:val="single" w:color="auto" w:sz="4" w:space="0"/>
              <w:right w:val="single" w:color="auto" w:sz="4" w:space="0"/>
            </w:tcBorders>
            <w:vAlign w:val="center"/>
          </w:tcPr>
          <w:p>
            <w:pPr>
              <w:pStyle w:val="3238"/>
              <w:rPr>
                <w:b/>
                <w:lang w:eastAsia="en-US"/>
              </w:rPr>
            </w:pPr>
            <w:r>
              <w:t>0.3</w:t>
            </w:r>
          </w:p>
        </w:tc>
        <w:tc>
          <w:tcPr>
            <w:tcW w:w="848" w:type="pct"/>
            <w:tcBorders>
              <w:top w:val="single" w:color="auto" w:sz="4" w:space="0"/>
              <w:left w:val="nil"/>
              <w:bottom w:val="single" w:color="auto" w:sz="4" w:space="0"/>
              <w:right w:val="single" w:color="auto" w:sz="4" w:space="0"/>
            </w:tcBorders>
            <w:vAlign w:val="center"/>
          </w:tcPr>
          <w:p>
            <w:pPr>
              <w:pStyle w:val="3238"/>
              <w:rPr>
                <w:lang w:eastAsia="en-US"/>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657" w:type="pct"/>
            <w:vMerge w:val="continue"/>
            <w:tcBorders>
              <w:left w:val="single" w:color="auto" w:sz="4" w:space="0"/>
              <w:right w:val="single" w:color="auto" w:sz="4" w:space="0"/>
            </w:tcBorders>
            <w:vAlign w:val="center"/>
          </w:tcPr>
          <w:p>
            <w:pPr>
              <w:pStyle w:val="3238"/>
            </w:pPr>
          </w:p>
        </w:tc>
        <w:tc>
          <w:tcPr>
            <w:tcW w:w="966" w:type="pct"/>
            <w:vMerge w:val="continue"/>
            <w:tcBorders>
              <w:left w:val="single" w:color="auto" w:sz="4" w:space="0"/>
              <w:right w:val="single" w:color="auto" w:sz="4" w:space="0"/>
            </w:tcBorders>
            <w:vAlign w:val="center"/>
          </w:tcPr>
          <w:p>
            <w:pPr>
              <w:pStyle w:val="3238"/>
            </w:pPr>
          </w:p>
        </w:tc>
        <w:tc>
          <w:tcPr>
            <w:tcW w:w="833" w:type="pct"/>
            <w:tcBorders>
              <w:top w:val="single" w:color="auto" w:sz="4" w:space="0"/>
              <w:left w:val="single" w:color="auto" w:sz="4" w:space="0"/>
              <w:bottom w:val="single" w:color="auto" w:sz="4" w:space="0"/>
              <w:right w:val="single" w:color="auto" w:sz="4" w:space="0"/>
            </w:tcBorders>
            <w:vAlign w:val="center"/>
          </w:tcPr>
          <w:p>
            <w:pPr>
              <w:pStyle w:val="3238"/>
              <w:rPr>
                <w:b/>
                <w:lang w:eastAsia="en-US"/>
              </w:rPr>
            </w:pPr>
            <w:r>
              <w:rPr>
                <w:lang w:eastAsia="en-US"/>
              </w:rPr>
              <w:t>夏季</w:t>
            </w:r>
          </w:p>
        </w:tc>
        <w:tc>
          <w:tcPr>
            <w:tcW w:w="854" w:type="pct"/>
            <w:tcBorders>
              <w:top w:val="single" w:color="auto" w:sz="4" w:space="0"/>
              <w:left w:val="nil"/>
              <w:bottom w:val="single" w:color="auto" w:sz="4" w:space="0"/>
              <w:right w:val="single" w:color="auto" w:sz="4" w:space="0"/>
            </w:tcBorders>
            <w:vAlign w:val="center"/>
          </w:tcPr>
          <w:p>
            <w:pPr>
              <w:pStyle w:val="3238"/>
              <w:rPr>
                <w:b/>
                <w:lang w:eastAsia="en-US"/>
              </w:rPr>
            </w:pPr>
            <w:r>
              <w:t>0.12</w:t>
            </w:r>
          </w:p>
        </w:tc>
        <w:tc>
          <w:tcPr>
            <w:tcW w:w="840" w:type="pct"/>
            <w:tcBorders>
              <w:top w:val="single" w:color="auto" w:sz="4" w:space="0"/>
              <w:left w:val="nil"/>
              <w:bottom w:val="single" w:color="auto" w:sz="4" w:space="0"/>
              <w:right w:val="single" w:color="auto" w:sz="4" w:space="0"/>
            </w:tcBorders>
            <w:vAlign w:val="center"/>
          </w:tcPr>
          <w:p>
            <w:pPr>
              <w:pStyle w:val="3238"/>
              <w:rPr>
                <w:b/>
                <w:lang w:eastAsia="en-US"/>
              </w:rPr>
            </w:pPr>
            <w:r>
              <w:t>0.2</w:t>
            </w:r>
          </w:p>
        </w:tc>
        <w:tc>
          <w:tcPr>
            <w:tcW w:w="848" w:type="pct"/>
            <w:tcBorders>
              <w:top w:val="single" w:color="auto" w:sz="4" w:space="0"/>
              <w:left w:val="nil"/>
              <w:bottom w:val="single" w:color="auto" w:sz="4" w:space="0"/>
              <w:right w:val="single" w:color="auto" w:sz="4" w:space="0"/>
            </w:tcBorders>
            <w:vAlign w:val="center"/>
          </w:tcPr>
          <w:p>
            <w:pPr>
              <w:pStyle w:val="3238"/>
              <w:rPr>
                <w:b/>
                <w:lang w:eastAsia="en-US"/>
              </w:rPr>
            </w:pPr>
            <w:r>
              <w:t>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657" w:type="pct"/>
            <w:vMerge w:val="continue"/>
            <w:tcBorders>
              <w:left w:val="single" w:color="auto" w:sz="4" w:space="0"/>
              <w:bottom w:val="single" w:color="auto" w:sz="4" w:space="0"/>
              <w:right w:val="single" w:color="auto" w:sz="4" w:space="0"/>
            </w:tcBorders>
            <w:vAlign w:val="center"/>
          </w:tcPr>
          <w:p>
            <w:pPr>
              <w:pStyle w:val="3238"/>
            </w:pPr>
          </w:p>
        </w:tc>
        <w:tc>
          <w:tcPr>
            <w:tcW w:w="966" w:type="pct"/>
            <w:vMerge w:val="continue"/>
            <w:tcBorders>
              <w:left w:val="single" w:color="auto" w:sz="4" w:space="0"/>
              <w:bottom w:val="single" w:color="auto" w:sz="4" w:space="0"/>
              <w:right w:val="single" w:color="auto" w:sz="4" w:space="0"/>
            </w:tcBorders>
            <w:vAlign w:val="center"/>
          </w:tcPr>
          <w:p>
            <w:pPr>
              <w:pStyle w:val="3238"/>
            </w:pPr>
          </w:p>
        </w:tc>
        <w:tc>
          <w:tcPr>
            <w:tcW w:w="833" w:type="pct"/>
            <w:tcBorders>
              <w:top w:val="single" w:color="auto" w:sz="4" w:space="0"/>
              <w:left w:val="single" w:color="auto" w:sz="4" w:space="0"/>
              <w:bottom w:val="single" w:color="auto" w:sz="4" w:space="0"/>
              <w:right w:val="single" w:color="auto" w:sz="4" w:space="0"/>
            </w:tcBorders>
            <w:vAlign w:val="center"/>
          </w:tcPr>
          <w:p>
            <w:pPr>
              <w:pStyle w:val="3238"/>
              <w:rPr>
                <w:b/>
                <w:lang w:eastAsia="en-US"/>
              </w:rPr>
            </w:pPr>
            <w:r>
              <w:rPr>
                <w:lang w:eastAsia="en-US"/>
              </w:rPr>
              <w:t>秋季</w:t>
            </w:r>
          </w:p>
        </w:tc>
        <w:tc>
          <w:tcPr>
            <w:tcW w:w="854" w:type="pct"/>
            <w:tcBorders>
              <w:top w:val="single" w:color="auto" w:sz="4" w:space="0"/>
              <w:left w:val="nil"/>
              <w:bottom w:val="single" w:color="auto" w:sz="4" w:space="0"/>
              <w:right w:val="single" w:color="auto" w:sz="4" w:space="0"/>
            </w:tcBorders>
            <w:vAlign w:val="center"/>
          </w:tcPr>
          <w:p>
            <w:pPr>
              <w:pStyle w:val="3238"/>
              <w:rPr>
                <w:b/>
                <w:lang w:eastAsia="en-US"/>
              </w:rPr>
            </w:pPr>
            <w:r>
              <w:t>0.12</w:t>
            </w:r>
          </w:p>
        </w:tc>
        <w:tc>
          <w:tcPr>
            <w:tcW w:w="840" w:type="pct"/>
            <w:tcBorders>
              <w:top w:val="single" w:color="auto" w:sz="4" w:space="0"/>
              <w:left w:val="nil"/>
              <w:bottom w:val="single" w:color="auto" w:sz="4" w:space="0"/>
              <w:right w:val="single" w:color="auto" w:sz="4" w:space="0"/>
            </w:tcBorders>
            <w:vAlign w:val="center"/>
          </w:tcPr>
          <w:p>
            <w:pPr>
              <w:pStyle w:val="3238"/>
              <w:rPr>
                <w:b/>
                <w:lang w:eastAsia="en-US"/>
              </w:rPr>
            </w:pPr>
            <w:r>
              <w:t>0.4</w:t>
            </w:r>
          </w:p>
        </w:tc>
        <w:tc>
          <w:tcPr>
            <w:tcW w:w="848" w:type="pct"/>
            <w:tcBorders>
              <w:top w:val="single" w:color="auto" w:sz="4" w:space="0"/>
              <w:left w:val="nil"/>
              <w:bottom w:val="single" w:color="auto" w:sz="4" w:space="0"/>
              <w:right w:val="single" w:color="auto" w:sz="4" w:space="0"/>
            </w:tcBorders>
            <w:vAlign w:val="center"/>
          </w:tcPr>
          <w:p>
            <w:pPr>
              <w:pStyle w:val="3238"/>
              <w:rPr>
                <w:b/>
                <w:lang w:eastAsia="en-US"/>
              </w:rPr>
            </w:pPr>
            <w:r>
              <w:t>0.8</w:t>
            </w:r>
          </w:p>
        </w:tc>
      </w:tr>
    </w:tbl>
    <w:p>
      <w:pPr>
        <w:pStyle w:val="6"/>
        <w:numPr>
          <w:ilvl w:val="3"/>
          <w:numId w:val="0"/>
        </w:numPr>
      </w:pPr>
      <w:r>
        <w:t>6.2.1.3预测点位</w:t>
      </w:r>
    </w:p>
    <w:p>
      <w:pPr>
        <w:spacing w:line="420" w:lineRule="exact"/>
        <w:ind w:firstLine="520"/>
        <w:rPr>
          <w:kern w:val="0"/>
          <w:lang w:bidi="ar"/>
        </w:rPr>
      </w:pPr>
      <w:r>
        <w:rPr>
          <w:kern w:val="0"/>
          <w:lang w:bidi="ar"/>
        </w:rPr>
        <w:t>（1）网格点</w:t>
      </w:r>
    </w:p>
    <w:p>
      <w:pPr>
        <w:spacing w:line="420" w:lineRule="exact"/>
        <w:ind w:firstLine="520"/>
        <w:rPr>
          <w:kern w:val="0"/>
          <w:lang w:bidi="ar"/>
        </w:rPr>
      </w:pPr>
      <w:r>
        <w:rPr>
          <w:kern w:val="0"/>
          <w:lang w:bidi="ar"/>
        </w:rPr>
        <w:t xml:space="preserve">大气预测以矿山3号拐点作为坐标原点（0，0），采用直角坐标网格，网格尺寸为 </w:t>
      </w:r>
      <w:r>
        <w:t>3km×3km</w:t>
      </w:r>
      <w:r>
        <w:rPr>
          <w:kern w:val="0"/>
          <w:lang w:bidi="ar"/>
        </w:rPr>
        <w:t>，网格间距为100m，预测点14659个；大气防护距离网格尺寸 100m</w:t>
      </w:r>
      <w:r>
        <w:t>×</w:t>
      </w:r>
      <w:r>
        <w:rPr>
          <w:kern w:val="0"/>
          <w:lang w:bidi="ar"/>
        </w:rPr>
        <w:t>100m。</w:t>
      </w:r>
    </w:p>
    <w:p>
      <w:pPr>
        <w:spacing w:line="420" w:lineRule="exact"/>
        <w:ind w:firstLine="520"/>
        <w:rPr>
          <w:kern w:val="0"/>
          <w:lang w:bidi="ar"/>
        </w:rPr>
      </w:pPr>
      <w:r>
        <w:rPr>
          <w:kern w:val="0"/>
          <w:lang w:bidi="ar"/>
        </w:rPr>
        <w:t>（2）环境保护目标预测点</w:t>
      </w:r>
    </w:p>
    <w:p>
      <w:pPr>
        <w:spacing w:line="420" w:lineRule="exact"/>
        <w:ind w:firstLine="520"/>
        <w:rPr>
          <w:kern w:val="0"/>
          <w:lang w:bidi="ar"/>
        </w:rPr>
      </w:pPr>
      <w:r>
        <w:rPr>
          <w:kern w:val="0"/>
          <w:lang w:bidi="ar"/>
        </w:rPr>
        <w:t>环境保护目标预测点参数见表6.2-10。</w:t>
      </w:r>
    </w:p>
    <w:p>
      <w:pPr>
        <w:spacing w:line="420" w:lineRule="exact"/>
        <w:ind w:firstLine="0" w:firstLineChars="0"/>
        <w:jc w:val="center"/>
        <w:rPr>
          <w:b/>
          <w:kern w:val="0"/>
          <w:lang w:bidi="ar"/>
        </w:rPr>
      </w:pPr>
      <w:r>
        <w:rPr>
          <w:b/>
          <w:kern w:val="0"/>
          <w:lang w:bidi="ar"/>
        </w:rPr>
        <w:t>表6.2-10   环境保护目标预测点参数表</w:t>
      </w:r>
    </w:p>
    <w:tbl>
      <w:tblPr>
        <w:tblStyle w:val="8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2662"/>
        <w:gridCol w:w="992"/>
        <w:gridCol w:w="992"/>
        <w:gridCol w:w="1456"/>
        <w:gridCol w:w="2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468" w:type="pct"/>
            <w:vMerge w:val="restart"/>
            <w:shd w:val="clear" w:color="auto" w:fill="D8D8D8" w:themeFill="background1" w:themeFillShade="D9"/>
            <w:vAlign w:val="center"/>
          </w:tcPr>
          <w:p>
            <w:pPr>
              <w:spacing w:line="240" w:lineRule="auto"/>
              <w:ind w:firstLine="0" w:firstLineChars="0"/>
              <w:jc w:val="center"/>
              <w:rPr>
                <w:b/>
                <w:spacing w:val="-6"/>
                <w:sz w:val="21"/>
                <w:szCs w:val="21"/>
                <w:lang w:val="fr-FR"/>
              </w:rPr>
            </w:pPr>
            <w:r>
              <w:rPr>
                <w:b/>
                <w:spacing w:val="-6"/>
                <w:sz w:val="21"/>
                <w:szCs w:val="21"/>
                <w:lang w:val="fr-FR"/>
              </w:rPr>
              <w:t>编号</w:t>
            </w:r>
          </w:p>
        </w:tc>
        <w:tc>
          <w:tcPr>
            <w:tcW w:w="1434" w:type="pct"/>
            <w:vMerge w:val="restart"/>
            <w:shd w:val="clear" w:color="auto" w:fill="D8D8D8" w:themeFill="background1" w:themeFillShade="D9"/>
            <w:vAlign w:val="center"/>
          </w:tcPr>
          <w:p>
            <w:pPr>
              <w:spacing w:line="240" w:lineRule="auto"/>
              <w:ind w:firstLine="0" w:firstLineChars="0"/>
              <w:jc w:val="center"/>
              <w:rPr>
                <w:b/>
                <w:spacing w:val="-6"/>
                <w:sz w:val="21"/>
                <w:szCs w:val="21"/>
                <w:lang w:val="fr-FR"/>
              </w:rPr>
            </w:pPr>
            <w:r>
              <w:rPr>
                <w:b/>
                <w:spacing w:val="-6"/>
                <w:sz w:val="21"/>
                <w:szCs w:val="21"/>
                <w:lang w:val="fr-FR"/>
              </w:rPr>
              <w:t>预测点名称</w:t>
            </w:r>
          </w:p>
        </w:tc>
        <w:tc>
          <w:tcPr>
            <w:tcW w:w="1852" w:type="pct"/>
            <w:gridSpan w:val="3"/>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lang w:val="fr-FR"/>
              </w:rPr>
            </w:pPr>
            <w:r>
              <w:rPr>
                <w:b/>
                <w:spacing w:val="-6"/>
                <w:sz w:val="21"/>
                <w:szCs w:val="21"/>
                <w:lang w:val="fr-FR"/>
              </w:rPr>
              <w:t>坐标（m）</w:t>
            </w:r>
          </w:p>
        </w:tc>
        <w:tc>
          <w:tcPr>
            <w:tcW w:w="1244" w:type="pct"/>
            <w:vMerge w:val="restart"/>
            <w:shd w:val="clear" w:color="auto" w:fill="D8D8D8" w:themeFill="background1" w:themeFillShade="D9"/>
            <w:vAlign w:val="center"/>
          </w:tcPr>
          <w:p>
            <w:pPr>
              <w:spacing w:line="240" w:lineRule="auto"/>
              <w:ind w:firstLine="0" w:firstLineChars="0"/>
              <w:jc w:val="both"/>
              <w:rPr>
                <w:b/>
                <w:spacing w:val="-6"/>
                <w:sz w:val="21"/>
                <w:szCs w:val="21"/>
              </w:rPr>
            </w:pPr>
            <w:r>
              <w:rPr>
                <w:b/>
                <w:spacing w:val="-6"/>
                <w:sz w:val="21"/>
                <w:szCs w:val="21"/>
              </w:rPr>
              <w:t>环境空气功能区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468" w:type="pct"/>
            <w:vMerge w:val="continue"/>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lang w:val="fr-FR"/>
              </w:rPr>
            </w:pPr>
          </w:p>
        </w:tc>
        <w:tc>
          <w:tcPr>
            <w:tcW w:w="1434" w:type="pct"/>
            <w:vMerge w:val="continue"/>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lang w:val="fr-FR"/>
              </w:rPr>
            </w:pPr>
          </w:p>
        </w:tc>
        <w:tc>
          <w:tcPr>
            <w:tcW w:w="534" w:type="pct"/>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lang w:val="fr-FR"/>
              </w:rPr>
            </w:pPr>
            <w:r>
              <w:rPr>
                <w:b/>
                <w:spacing w:val="-6"/>
                <w:sz w:val="21"/>
                <w:szCs w:val="21"/>
                <w:lang w:val="fr-FR"/>
              </w:rPr>
              <w:t>X</w:t>
            </w:r>
          </w:p>
        </w:tc>
        <w:tc>
          <w:tcPr>
            <w:tcW w:w="534" w:type="pct"/>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lang w:val="fr-FR"/>
              </w:rPr>
            </w:pPr>
            <w:r>
              <w:rPr>
                <w:b/>
                <w:spacing w:val="-6"/>
                <w:sz w:val="21"/>
                <w:szCs w:val="21"/>
                <w:lang w:val="fr-FR"/>
              </w:rPr>
              <w:t>Y</w:t>
            </w:r>
          </w:p>
        </w:tc>
        <w:tc>
          <w:tcPr>
            <w:tcW w:w="783" w:type="pct"/>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rPr>
            </w:pPr>
            <w:r>
              <w:rPr>
                <w:b/>
                <w:spacing w:val="-6"/>
                <w:sz w:val="21"/>
                <w:szCs w:val="21"/>
              </w:rPr>
              <w:t>地面高程</w:t>
            </w:r>
          </w:p>
        </w:tc>
        <w:tc>
          <w:tcPr>
            <w:tcW w:w="1244" w:type="pct"/>
            <w:vMerge w:val="continue"/>
            <w:tcBorders>
              <w:bottom w:val="single" w:color="auto" w:sz="4" w:space="0"/>
            </w:tcBorders>
            <w:shd w:val="clear" w:color="auto" w:fill="D8D8D8" w:themeFill="background1" w:themeFillShade="D9"/>
            <w:vAlign w:val="center"/>
          </w:tcPr>
          <w:p>
            <w:pPr>
              <w:spacing w:line="240" w:lineRule="auto"/>
              <w:ind w:firstLine="0" w:firstLineChars="0"/>
              <w:jc w:val="center"/>
              <w:rPr>
                <w:b/>
                <w:spacing w:val="-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lang w:val="fr-FR"/>
              </w:rPr>
            </w:pPr>
            <w:r>
              <w:rPr>
                <w:sz w:val="21"/>
                <w:szCs w:val="21"/>
              </w:rPr>
              <w:t>1</w:t>
            </w:r>
          </w:p>
        </w:tc>
        <w:tc>
          <w:tcPr>
            <w:tcW w:w="1434" w:type="pct"/>
            <w:vAlign w:val="center"/>
          </w:tcPr>
          <w:p>
            <w:pPr>
              <w:spacing w:line="240" w:lineRule="auto"/>
              <w:ind w:firstLine="0" w:firstLineChars="0"/>
              <w:jc w:val="center"/>
              <w:rPr>
                <w:sz w:val="21"/>
                <w:szCs w:val="21"/>
              </w:rPr>
            </w:pPr>
            <w:r>
              <w:rPr>
                <w:sz w:val="21"/>
                <w:szCs w:val="21"/>
                <w:lang w:bidi="en-US"/>
              </w:rPr>
              <w:t>开采区东北侧居民</w:t>
            </w:r>
          </w:p>
        </w:tc>
        <w:tc>
          <w:tcPr>
            <w:tcW w:w="534" w:type="pct"/>
            <w:vAlign w:val="center"/>
          </w:tcPr>
          <w:p>
            <w:pPr>
              <w:spacing w:line="240" w:lineRule="auto"/>
              <w:ind w:firstLine="0" w:firstLineChars="0"/>
              <w:jc w:val="center"/>
              <w:rPr>
                <w:sz w:val="21"/>
                <w:szCs w:val="21"/>
              </w:rPr>
            </w:pPr>
            <w:r>
              <w:rPr>
                <w:sz w:val="21"/>
                <w:szCs w:val="21"/>
              </w:rPr>
              <w:t>197</w:t>
            </w:r>
          </w:p>
        </w:tc>
        <w:tc>
          <w:tcPr>
            <w:tcW w:w="534" w:type="pct"/>
            <w:vAlign w:val="center"/>
          </w:tcPr>
          <w:p>
            <w:pPr>
              <w:spacing w:line="240" w:lineRule="auto"/>
              <w:ind w:firstLine="0" w:firstLineChars="0"/>
              <w:jc w:val="center"/>
              <w:rPr>
                <w:sz w:val="21"/>
                <w:szCs w:val="21"/>
              </w:rPr>
            </w:pPr>
            <w:r>
              <w:rPr>
                <w:sz w:val="21"/>
                <w:szCs w:val="21"/>
              </w:rPr>
              <w:t>97</w:t>
            </w:r>
          </w:p>
        </w:tc>
        <w:tc>
          <w:tcPr>
            <w:tcW w:w="783" w:type="pct"/>
            <w:vAlign w:val="center"/>
          </w:tcPr>
          <w:p>
            <w:pPr>
              <w:spacing w:line="240" w:lineRule="auto"/>
              <w:ind w:firstLine="0" w:firstLineChars="0"/>
              <w:jc w:val="center"/>
              <w:rPr>
                <w:sz w:val="21"/>
                <w:szCs w:val="21"/>
              </w:rPr>
            </w:pPr>
            <w:r>
              <w:rPr>
                <w:sz w:val="21"/>
                <w:szCs w:val="21"/>
              </w:rPr>
              <w:t>322.24</w:t>
            </w:r>
          </w:p>
        </w:tc>
        <w:tc>
          <w:tcPr>
            <w:tcW w:w="1244" w:type="pct"/>
            <w:vMerge w:val="restart"/>
            <w:vAlign w:val="center"/>
          </w:tcPr>
          <w:p>
            <w:pPr>
              <w:spacing w:line="240" w:lineRule="auto"/>
              <w:ind w:firstLine="0" w:firstLineChars="0"/>
              <w:jc w:val="center"/>
              <w:rPr>
                <w:sz w:val="21"/>
                <w:szCs w:val="21"/>
              </w:rPr>
            </w:pPr>
            <w:r>
              <w:rPr>
                <w:sz w:val="21"/>
                <w:szCs w:val="21"/>
              </w:rPr>
              <w:t>一类区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2</w:t>
            </w:r>
          </w:p>
        </w:tc>
        <w:tc>
          <w:tcPr>
            <w:tcW w:w="1434" w:type="pct"/>
            <w:vAlign w:val="center"/>
          </w:tcPr>
          <w:p>
            <w:pPr>
              <w:spacing w:line="240" w:lineRule="auto"/>
              <w:ind w:firstLine="0" w:firstLineChars="0"/>
              <w:jc w:val="center"/>
              <w:rPr>
                <w:sz w:val="21"/>
                <w:szCs w:val="21"/>
              </w:rPr>
            </w:pPr>
            <w:r>
              <w:rPr>
                <w:sz w:val="21"/>
                <w:szCs w:val="21"/>
                <w:lang w:bidi="en-US"/>
              </w:rPr>
              <w:t>和尚坡</w:t>
            </w:r>
          </w:p>
        </w:tc>
        <w:tc>
          <w:tcPr>
            <w:tcW w:w="534" w:type="pct"/>
            <w:vAlign w:val="center"/>
          </w:tcPr>
          <w:p>
            <w:pPr>
              <w:spacing w:line="240" w:lineRule="auto"/>
              <w:ind w:firstLine="0" w:firstLineChars="0"/>
              <w:jc w:val="center"/>
              <w:rPr>
                <w:sz w:val="21"/>
                <w:szCs w:val="21"/>
              </w:rPr>
            </w:pPr>
            <w:r>
              <w:rPr>
                <w:sz w:val="21"/>
                <w:szCs w:val="21"/>
              </w:rPr>
              <w:t>-430</w:t>
            </w:r>
          </w:p>
        </w:tc>
        <w:tc>
          <w:tcPr>
            <w:tcW w:w="534" w:type="pct"/>
            <w:vAlign w:val="center"/>
          </w:tcPr>
          <w:p>
            <w:pPr>
              <w:spacing w:line="240" w:lineRule="auto"/>
              <w:ind w:firstLine="0" w:firstLineChars="0"/>
              <w:jc w:val="center"/>
              <w:rPr>
                <w:sz w:val="21"/>
                <w:szCs w:val="21"/>
              </w:rPr>
            </w:pPr>
            <w:r>
              <w:rPr>
                <w:sz w:val="21"/>
                <w:szCs w:val="21"/>
              </w:rPr>
              <w:t>-325</w:t>
            </w:r>
          </w:p>
        </w:tc>
        <w:tc>
          <w:tcPr>
            <w:tcW w:w="783" w:type="pct"/>
            <w:vAlign w:val="center"/>
          </w:tcPr>
          <w:p>
            <w:pPr>
              <w:spacing w:line="240" w:lineRule="auto"/>
              <w:ind w:firstLine="0" w:firstLineChars="0"/>
              <w:jc w:val="center"/>
              <w:rPr>
                <w:sz w:val="21"/>
                <w:szCs w:val="21"/>
              </w:rPr>
            </w:pPr>
            <w:r>
              <w:rPr>
                <w:sz w:val="21"/>
                <w:szCs w:val="21"/>
              </w:rPr>
              <w:t>295.60</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3</w:t>
            </w:r>
          </w:p>
        </w:tc>
        <w:tc>
          <w:tcPr>
            <w:tcW w:w="1434" w:type="pct"/>
            <w:vAlign w:val="center"/>
          </w:tcPr>
          <w:p>
            <w:pPr>
              <w:spacing w:line="240" w:lineRule="auto"/>
              <w:ind w:firstLine="0" w:firstLineChars="0"/>
              <w:jc w:val="center"/>
              <w:rPr>
                <w:sz w:val="21"/>
                <w:szCs w:val="21"/>
              </w:rPr>
            </w:pPr>
            <w:r>
              <w:rPr>
                <w:sz w:val="21"/>
                <w:szCs w:val="21"/>
                <w:lang w:bidi="en-US"/>
              </w:rPr>
              <w:t>蚕桑局</w:t>
            </w:r>
          </w:p>
        </w:tc>
        <w:tc>
          <w:tcPr>
            <w:tcW w:w="534" w:type="pct"/>
            <w:vAlign w:val="center"/>
          </w:tcPr>
          <w:p>
            <w:pPr>
              <w:spacing w:line="240" w:lineRule="auto"/>
              <w:ind w:firstLine="0" w:firstLineChars="0"/>
              <w:jc w:val="center"/>
              <w:rPr>
                <w:sz w:val="21"/>
                <w:szCs w:val="21"/>
              </w:rPr>
            </w:pPr>
            <w:r>
              <w:rPr>
                <w:sz w:val="21"/>
                <w:szCs w:val="21"/>
              </w:rPr>
              <w:t>-1382</w:t>
            </w:r>
          </w:p>
        </w:tc>
        <w:tc>
          <w:tcPr>
            <w:tcW w:w="534" w:type="pct"/>
            <w:vAlign w:val="center"/>
          </w:tcPr>
          <w:p>
            <w:pPr>
              <w:spacing w:line="240" w:lineRule="auto"/>
              <w:ind w:firstLine="0" w:firstLineChars="0"/>
              <w:jc w:val="center"/>
              <w:rPr>
                <w:sz w:val="21"/>
                <w:szCs w:val="21"/>
              </w:rPr>
            </w:pPr>
            <w:r>
              <w:rPr>
                <w:sz w:val="21"/>
                <w:szCs w:val="21"/>
              </w:rPr>
              <w:t>-724</w:t>
            </w:r>
          </w:p>
        </w:tc>
        <w:tc>
          <w:tcPr>
            <w:tcW w:w="783" w:type="pct"/>
            <w:vAlign w:val="center"/>
          </w:tcPr>
          <w:p>
            <w:pPr>
              <w:spacing w:line="240" w:lineRule="auto"/>
              <w:ind w:firstLine="0" w:firstLineChars="0"/>
              <w:jc w:val="center"/>
              <w:rPr>
                <w:sz w:val="21"/>
                <w:szCs w:val="21"/>
              </w:rPr>
            </w:pPr>
            <w:r>
              <w:rPr>
                <w:sz w:val="21"/>
                <w:szCs w:val="21"/>
              </w:rPr>
              <w:t>371.86</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68" w:type="pct"/>
            <w:vAlign w:val="center"/>
          </w:tcPr>
          <w:p>
            <w:pPr>
              <w:spacing w:line="240" w:lineRule="auto"/>
              <w:ind w:firstLine="0" w:firstLineChars="0"/>
              <w:jc w:val="center"/>
              <w:rPr>
                <w:sz w:val="21"/>
                <w:szCs w:val="21"/>
              </w:rPr>
            </w:pPr>
            <w:r>
              <w:rPr>
                <w:sz w:val="21"/>
                <w:szCs w:val="21"/>
              </w:rPr>
              <w:t>4</w:t>
            </w:r>
          </w:p>
        </w:tc>
        <w:tc>
          <w:tcPr>
            <w:tcW w:w="1434" w:type="pct"/>
            <w:vAlign w:val="center"/>
          </w:tcPr>
          <w:p>
            <w:pPr>
              <w:spacing w:line="240" w:lineRule="auto"/>
              <w:ind w:firstLine="0" w:firstLineChars="0"/>
              <w:jc w:val="center"/>
              <w:rPr>
                <w:sz w:val="21"/>
                <w:szCs w:val="21"/>
              </w:rPr>
            </w:pPr>
            <w:r>
              <w:rPr>
                <w:sz w:val="21"/>
                <w:szCs w:val="21"/>
                <w:lang w:bidi="en-US"/>
              </w:rPr>
              <w:t>高滩岩</w:t>
            </w:r>
          </w:p>
        </w:tc>
        <w:tc>
          <w:tcPr>
            <w:tcW w:w="534" w:type="pct"/>
            <w:vAlign w:val="center"/>
          </w:tcPr>
          <w:p>
            <w:pPr>
              <w:spacing w:line="240" w:lineRule="auto"/>
              <w:ind w:firstLine="0" w:firstLineChars="0"/>
              <w:jc w:val="center"/>
              <w:rPr>
                <w:sz w:val="21"/>
                <w:szCs w:val="21"/>
              </w:rPr>
            </w:pPr>
            <w:r>
              <w:rPr>
                <w:sz w:val="21"/>
                <w:szCs w:val="21"/>
              </w:rPr>
              <w:t>-1676</w:t>
            </w:r>
          </w:p>
        </w:tc>
        <w:tc>
          <w:tcPr>
            <w:tcW w:w="534" w:type="pct"/>
            <w:vAlign w:val="center"/>
          </w:tcPr>
          <w:p>
            <w:pPr>
              <w:spacing w:line="240" w:lineRule="auto"/>
              <w:ind w:firstLine="0" w:firstLineChars="0"/>
              <w:jc w:val="center"/>
              <w:rPr>
                <w:sz w:val="21"/>
                <w:szCs w:val="21"/>
              </w:rPr>
            </w:pPr>
            <w:r>
              <w:rPr>
                <w:sz w:val="21"/>
                <w:szCs w:val="21"/>
              </w:rPr>
              <w:t>-1408</w:t>
            </w:r>
          </w:p>
        </w:tc>
        <w:tc>
          <w:tcPr>
            <w:tcW w:w="783" w:type="pct"/>
            <w:vAlign w:val="center"/>
          </w:tcPr>
          <w:p>
            <w:pPr>
              <w:spacing w:line="240" w:lineRule="auto"/>
              <w:ind w:firstLine="0" w:firstLineChars="0"/>
              <w:jc w:val="center"/>
              <w:rPr>
                <w:sz w:val="21"/>
                <w:szCs w:val="21"/>
              </w:rPr>
            </w:pPr>
            <w:r>
              <w:rPr>
                <w:sz w:val="21"/>
                <w:szCs w:val="21"/>
              </w:rPr>
              <w:t>341.57</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5</w:t>
            </w:r>
          </w:p>
        </w:tc>
        <w:tc>
          <w:tcPr>
            <w:tcW w:w="1434" w:type="pct"/>
            <w:vAlign w:val="center"/>
          </w:tcPr>
          <w:p>
            <w:pPr>
              <w:spacing w:line="240" w:lineRule="auto"/>
              <w:ind w:firstLine="0" w:firstLineChars="0"/>
              <w:jc w:val="center"/>
              <w:rPr>
                <w:sz w:val="21"/>
                <w:szCs w:val="21"/>
              </w:rPr>
            </w:pPr>
            <w:r>
              <w:rPr>
                <w:sz w:val="21"/>
                <w:szCs w:val="21"/>
                <w:lang w:bidi="en-US"/>
              </w:rPr>
              <w:t>王家纸厂</w:t>
            </w:r>
          </w:p>
        </w:tc>
        <w:tc>
          <w:tcPr>
            <w:tcW w:w="534" w:type="pct"/>
            <w:vAlign w:val="center"/>
          </w:tcPr>
          <w:p>
            <w:pPr>
              <w:spacing w:line="240" w:lineRule="auto"/>
              <w:ind w:firstLine="0" w:firstLineChars="0"/>
              <w:jc w:val="center"/>
              <w:rPr>
                <w:sz w:val="21"/>
                <w:szCs w:val="21"/>
              </w:rPr>
            </w:pPr>
            <w:r>
              <w:rPr>
                <w:sz w:val="21"/>
                <w:szCs w:val="21"/>
              </w:rPr>
              <w:t>-1889</w:t>
            </w:r>
          </w:p>
        </w:tc>
        <w:tc>
          <w:tcPr>
            <w:tcW w:w="534" w:type="pct"/>
            <w:vAlign w:val="center"/>
          </w:tcPr>
          <w:p>
            <w:pPr>
              <w:spacing w:line="240" w:lineRule="auto"/>
              <w:ind w:firstLine="0" w:firstLineChars="0"/>
              <w:jc w:val="center"/>
              <w:rPr>
                <w:sz w:val="21"/>
                <w:szCs w:val="21"/>
              </w:rPr>
            </w:pPr>
            <w:r>
              <w:rPr>
                <w:sz w:val="21"/>
                <w:szCs w:val="21"/>
              </w:rPr>
              <w:t>27</w:t>
            </w:r>
          </w:p>
        </w:tc>
        <w:tc>
          <w:tcPr>
            <w:tcW w:w="783" w:type="pct"/>
            <w:vAlign w:val="center"/>
          </w:tcPr>
          <w:p>
            <w:pPr>
              <w:spacing w:line="240" w:lineRule="auto"/>
              <w:ind w:firstLine="0" w:firstLineChars="0"/>
              <w:jc w:val="center"/>
              <w:rPr>
                <w:sz w:val="21"/>
                <w:szCs w:val="21"/>
              </w:rPr>
            </w:pPr>
            <w:r>
              <w:rPr>
                <w:sz w:val="21"/>
                <w:szCs w:val="21"/>
              </w:rPr>
              <w:t>327.91</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6</w:t>
            </w:r>
          </w:p>
        </w:tc>
        <w:tc>
          <w:tcPr>
            <w:tcW w:w="1434" w:type="pct"/>
            <w:vAlign w:val="center"/>
          </w:tcPr>
          <w:p>
            <w:pPr>
              <w:spacing w:line="240" w:lineRule="auto"/>
              <w:ind w:firstLine="0" w:firstLineChars="0"/>
              <w:jc w:val="center"/>
              <w:rPr>
                <w:sz w:val="21"/>
                <w:szCs w:val="21"/>
              </w:rPr>
            </w:pPr>
            <w:r>
              <w:rPr>
                <w:sz w:val="21"/>
                <w:szCs w:val="21"/>
                <w:lang w:bidi="en-US"/>
              </w:rPr>
              <w:t>马家坡</w:t>
            </w:r>
          </w:p>
        </w:tc>
        <w:tc>
          <w:tcPr>
            <w:tcW w:w="534" w:type="pct"/>
            <w:vAlign w:val="center"/>
          </w:tcPr>
          <w:p>
            <w:pPr>
              <w:spacing w:line="240" w:lineRule="auto"/>
              <w:ind w:firstLine="0" w:firstLineChars="0"/>
              <w:jc w:val="center"/>
              <w:rPr>
                <w:sz w:val="21"/>
                <w:szCs w:val="21"/>
              </w:rPr>
            </w:pPr>
            <w:r>
              <w:rPr>
                <w:sz w:val="21"/>
                <w:szCs w:val="21"/>
              </w:rPr>
              <w:t>-1049</w:t>
            </w:r>
          </w:p>
        </w:tc>
        <w:tc>
          <w:tcPr>
            <w:tcW w:w="534" w:type="pct"/>
            <w:vAlign w:val="center"/>
          </w:tcPr>
          <w:p>
            <w:pPr>
              <w:spacing w:line="240" w:lineRule="auto"/>
              <w:ind w:firstLine="0" w:firstLineChars="0"/>
              <w:jc w:val="center"/>
              <w:rPr>
                <w:sz w:val="21"/>
                <w:szCs w:val="21"/>
              </w:rPr>
            </w:pPr>
            <w:r>
              <w:rPr>
                <w:sz w:val="21"/>
                <w:szCs w:val="21"/>
              </w:rPr>
              <w:t>641</w:t>
            </w:r>
          </w:p>
        </w:tc>
        <w:tc>
          <w:tcPr>
            <w:tcW w:w="783" w:type="pct"/>
            <w:vAlign w:val="center"/>
          </w:tcPr>
          <w:p>
            <w:pPr>
              <w:spacing w:line="240" w:lineRule="auto"/>
              <w:ind w:firstLine="0" w:firstLineChars="0"/>
              <w:jc w:val="center"/>
              <w:rPr>
                <w:sz w:val="21"/>
                <w:szCs w:val="21"/>
              </w:rPr>
            </w:pPr>
            <w:r>
              <w:rPr>
                <w:sz w:val="21"/>
                <w:szCs w:val="21"/>
              </w:rPr>
              <w:t>333.51</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7</w:t>
            </w:r>
          </w:p>
        </w:tc>
        <w:tc>
          <w:tcPr>
            <w:tcW w:w="1434" w:type="pct"/>
            <w:vAlign w:val="center"/>
          </w:tcPr>
          <w:p>
            <w:pPr>
              <w:spacing w:line="240" w:lineRule="auto"/>
              <w:ind w:firstLine="0" w:firstLineChars="0"/>
              <w:jc w:val="center"/>
              <w:rPr>
                <w:sz w:val="21"/>
                <w:szCs w:val="21"/>
              </w:rPr>
            </w:pPr>
            <w:r>
              <w:rPr>
                <w:sz w:val="21"/>
                <w:szCs w:val="21"/>
                <w:lang w:bidi="en-US"/>
              </w:rPr>
              <w:t>酢坊沟</w:t>
            </w:r>
          </w:p>
        </w:tc>
        <w:tc>
          <w:tcPr>
            <w:tcW w:w="534" w:type="pct"/>
            <w:vAlign w:val="center"/>
          </w:tcPr>
          <w:p>
            <w:pPr>
              <w:spacing w:line="240" w:lineRule="auto"/>
              <w:ind w:firstLine="0" w:firstLineChars="0"/>
              <w:jc w:val="center"/>
              <w:rPr>
                <w:sz w:val="21"/>
                <w:szCs w:val="21"/>
              </w:rPr>
            </w:pPr>
            <w:r>
              <w:rPr>
                <w:sz w:val="21"/>
                <w:szCs w:val="21"/>
              </w:rPr>
              <w:t>-4</w:t>
            </w:r>
          </w:p>
        </w:tc>
        <w:tc>
          <w:tcPr>
            <w:tcW w:w="534" w:type="pct"/>
            <w:vAlign w:val="center"/>
          </w:tcPr>
          <w:p>
            <w:pPr>
              <w:spacing w:line="240" w:lineRule="auto"/>
              <w:ind w:firstLine="0" w:firstLineChars="0"/>
              <w:jc w:val="center"/>
              <w:rPr>
                <w:sz w:val="21"/>
                <w:szCs w:val="21"/>
              </w:rPr>
            </w:pPr>
            <w:r>
              <w:rPr>
                <w:sz w:val="21"/>
                <w:szCs w:val="21"/>
              </w:rPr>
              <w:t>1087</w:t>
            </w:r>
          </w:p>
        </w:tc>
        <w:tc>
          <w:tcPr>
            <w:tcW w:w="783" w:type="pct"/>
            <w:vAlign w:val="center"/>
          </w:tcPr>
          <w:p>
            <w:pPr>
              <w:spacing w:line="240" w:lineRule="auto"/>
              <w:ind w:firstLine="0" w:firstLineChars="0"/>
              <w:jc w:val="center"/>
              <w:rPr>
                <w:sz w:val="21"/>
                <w:szCs w:val="21"/>
              </w:rPr>
            </w:pPr>
            <w:r>
              <w:rPr>
                <w:sz w:val="21"/>
                <w:szCs w:val="21"/>
              </w:rPr>
              <w:t>375.81</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8</w:t>
            </w:r>
          </w:p>
        </w:tc>
        <w:tc>
          <w:tcPr>
            <w:tcW w:w="1434" w:type="pct"/>
            <w:vAlign w:val="center"/>
          </w:tcPr>
          <w:p>
            <w:pPr>
              <w:spacing w:line="240" w:lineRule="auto"/>
              <w:ind w:firstLine="0" w:firstLineChars="0"/>
              <w:jc w:val="center"/>
              <w:rPr>
                <w:sz w:val="21"/>
                <w:szCs w:val="21"/>
              </w:rPr>
            </w:pPr>
            <w:r>
              <w:rPr>
                <w:sz w:val="21"/>
                <w:szCs w:val="21"/>
                <w:lang w:bidi="en-US"/>
              </w:rPr>
              <w:t>向家坡</w:t>
            </w:r>
          </w:p>
        </w:tc>
        <w:tc>
          <w:tcPr>
            <w:tcW w:w="534" w:type="pct"/>
            <w:vAlign w:val="center"/>
          </w:tcPr>
          <w:p>
            <w:pPr>
              <w:spacing w:line="240" w:lineRule="auto"/>
              <w:ind w:firstLine="0" w:firstLineChars="0"/>
              <w:jc w:val="center"/>
              <w:rPr>
                <w:sz w:val="21"/>
                <w:szCs w:val="21"/>
              </w:rPr>
            </w:pPr>
            <w:r>
              <w:rPr>
                <w:sz w:val="21"/>
                <w:szCs w:val="21"/>
              </w:rPr>
              <w:t>898</w:t>
            </w:r>
          </w:p>
        </w:tc>
        <w:tc>
          <w:tcPr>
            <w:tcW w:w="534" w:type="pct"/>
            <w:vAlign w:val="center"/>
          </w:tcPr>
          <w:p>
            <w:pPr>
              <w:spacing w:line="240" w:lineRule="auto"/>
              <w:ind w:firstLine="0" w:firstLineChars="0"/>
              <w:jc w:val="center"/>
              <w:rPr>
                <w:sz w:val="21"/>
                <w:szCs w:val="21"/>
              </w:rPr>
            </w:pPr>
            <w:r>
              <w:rPr>
                <w:sz w:val="21"/>
                <w:szCs w:val="21"/>
              </w:rPr>
              <w:t>766</w:t>
            </w:r>
          </w:p>
        </w:tc>
        <w:tc>
          <w:tcPr>
            <w:tcW w:w="783" w:type="pct"/>
            <w:vAlign w:val="center"/>
          </w:tcPr>
          <w:p>
            <w:pPr>
              <w:spacing w:line="240" w:lineRule="auto"/>
              <w:ind w:firstLine="0" w:firstLineChars="0"/>
              <w:jc w:val="center"/>
              <w:rPr>
                <w:sz w:val="21"/>
                <w:szCs w:val="21"/>
              </w:rPr>
            </w:pPr>
            <w:r>
              <w:rPr>
                <w:sz w:val="21"/>
                <w:szCs w:val="21"/>
              </w:rPr>
              <w:t>255.98</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9</w:t>
            </w:r>
          </w:p>
        </w:tc>
        <w:tc>
          <w:tcPr>
            <w:tcW w:w="1434" w:type="pct"/>
            <w:vAlign w:val="center"/>
          </w:tcPr>
          <w:p>
            <w:pPr>
              <w:spacing w:line="240" w:lineRule="auto"/>
              <w:ind w:firstLine="0" w:firstLineChars="0"/>
              <w:jc w:val="center"/>
              <w:rPr>
                <w:sz w:val="21"/>
                <w:szCs w:val="21"/>
              </w:rPr>
            </w:pPr>
            <w:r>
              <w:rPr>
                <w:sz w:val="21"/>
                <w:szCs w:val="21"/>
                <w:lang w:bidi="en-US"/>
              </w:rPr>
              <w:t>水洞子</w:t>
            </w:r>
          </w:p>
        </w:tc>
        <w:tc>
          <w:tcPr>
            <w:tcW w:w="534" w:type="pct"/>
            <w:vAlign w:val="center"/>
          </w:tcPr>
          <w:p>
            <w:pPr>
              <w:spacing w:line="240" w:lineRule="auto"/>
              <w:ind w:firstLine="0" w:firstLineChars="0"/>
              <w:jc w:val="center"/>
              <w:rPr>
                <w:sz w:val="21"/>
                <w:szCs w:val="21"/>
              </w:rPr>
            </w:pPr>
            <w:r>
              <w:rPr>
                <w:sz w:val="21"/>
                <w:szCs w:val="21"/>
              </w:rPr>
              <w:t>867</w:t>
            </w:r>
          </w:p>
        </w:tc>
        <w:tc>
          <w:tcPr>
            <w:tcW w:w="534" w:type="pct"/>
            <w:vAlign w:val="center"/>
          </w:tcPr>
          <w:p>
            <w:pPr>
              <w:spacing w:line="240" w:lineRule="auto"/>
              <w:ind w:firstLine="0" w:firstLineChars="0"/>
              <w:jc w:val="center"/>
              <w:rPr>
                <w:sz w:val="21"/>
                <w:szCs w:val="21"/>
              </w:rPr>
            </w:pPr>
            <w:r>
              <w:rPr>
                <w:sz w:val="21"/>
                <w:szCs w:val="21"/>
              </w:rPr>
              <w:t>1759</w:t>
            </w:r>
          </w:p>
        </w:tc>
        <w:tc>
          <w:tcPr>
            <w:tcW w:w="783" w:type="pct"/>
            <w:vAlign w:val="center"/>
          </w:tcPr>
          <w:p>
            <w:pPr>
              <w:spacing w:line="240" w:lineRule="auto"/>
              <w:ind w:firstLine="0" w:firstLineChars="0"/>
              <w:jc w:val="center"/>
              <w:rPr>
                <w:sz w:val="21"/>
                <w:szCs w:val="21"/>
              </w:rPr>
            </w:pPr>
            <w:r>
              <w:rPr>
                <w:sz w:val="21"/>
                <w:szCs w:val="21"/>
              </w:rPr>
              <w:t>320.62</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10</w:t>
            </w:r>
          </w:p>
        </w:tc>
        <w:tc>
          <w:tcPr>
            <w:tcW w:w="1434" w:type="pct"/>
            <w:vAlign w:val="center"/>
          </w:tcPr>
          <w:p>
            <w:pPr>
              <w:spacing w:line="240" w:lineRule="auto"/>
              <w:ind w:firstLine="0" w:firstLineChars="0"/>
              <w:jc w:val="center"/>
              <w:rPr>
                <w:sz w:val="21"/>
                <w:szCs w:val="21"/>
              </w:rPr>
            </w:pPr>
            <w:r>
              <w:rPr>
                <w:sz w:val="21"/>
                <w:szCs w:val="21"/>
                <w:lang w:bidi="en-US"/>
              </w:rPr>
              <w:t>茶园村</w:t>
            </w:r>
          </w:p>
        </w:tc>
        <w:tc>
          <w:tcPr>
            <w:tcW w:w="534" w:type="pct"/>
            <w:vAlign w:val="center"/>
          </w:tcPr>
          <w:p>
            <w:pPr>
              <w:spacing w:line="240" w:lineRule="auto"/>
              <w:ind w:firstLine="0" w:firstLineChars="0"/>
              <w:jc w:val="center"/>
              <w:rPr>
                <w:sz w:val="21"/>
                <w:szCs w:val="21"/>
              </w:rPr>
            </w:pPr>
            <w:r>
              <w:rPr>
                <w:sz w:val="21"/>
                <w:szCs w:val="21"/>
              </w:rPr>
              <w:t>2202</w:t>
            </w:r>
          </w:p>
        </w:tc>
        <w:tc>
          <w:tcPr>
            <w:tcW w:w="534" w:type="pct"/>
            <w:vAlign w:val="center"/>
          </w:tcPr>
          <w:p>
            <w:pPr>
              <w:spacing w:line="240" w:lineRule="auto"/>
              <w:ind w:firstLine="0" w:firstLineChars="0"/>
              <w:jc w:val="center"/>
              <w:rPr>
                <w:sz w:val="21"/>
                <w:szCs w:val="21"/>
              </w:rPr>
            </w:pPr>
            <w:r>
              <w:rPr>
                <w:sz w:val="21"/>
                <w:szCs w:val="21"/>
              </w:rPr>
              <w:t>1615</w:t>
            </w:r>
          </w:p>
        </w:tc>
        <w:tc>
          <w:tcPr>
            <w:tcW w:w="783" w:type="pct"/>
            <w:vAlign w:val="center"/>
          </w:tcPr>
          <w:p>
            <w:pPr>
              <w:spacing w:line="240" w:lineRule="auto"/>
              <w:ind w:firstLine="0" w:firstLineChars="0"/>
              <w:jc w:val="center"/>
              <w:rPr>
                <w:sz w:val="21"/>
                <w:szCs w:val="21"/>
              </w:rPr>
            </w:pPr>
            <w:r>
              <w:rPr>
                <w:sz w:val="21"/>
                <w:szCs w:val="21"/>
              </w:rPr>
              <w:t>257.36</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11</w:t>
            </w:r>
          </w:p>
        </w:tc>
        <w:tc>
          <w:tcPr>
            <w:tcW w:w="1434" w:type="pct"/>
            <w:vAlign w:val="center"/>
          </w:tcPr>
          <w:p>
            <w:pPr>
              <w:spacing w:line="240" w:lineRule="auto"/>
              <w:ind w:firstLine="0" w:firstLineChars="0"/>
              <w:jc w:val="center"/>
              <w:rPr>
                <w:sz w:val="21"/>
                <w:szCs w:val="21"/>
              </w:rPr>
            </w:pPr>
            <w:r>
              <w:rPr>
                <w:sz w:val="21"/>
                <w:szCs w:val="21"/>
                <w:lang w:bidi="en-US"/>
              </w:rPr>
              <w:t>米坊村</w:t>
            </w:r>
          </w:p>
        </w:tc>
        <w:tc>
          <w:tcPr>
            <w:tcW w:w="534" w:type="pct"/>
            <w:vAlign w:val="center"/>
          </w:tcPr>
          <w:p>
            <w:pPr>
              <w:spacing w:line="240" w:lineRule="auto"/>
              <w:ind w:firstLine="0" w:firstLineChars="0"/>
              <w:jc w:val="center"/>
              <w:rPr>
                <w:sz w:val="21"/>
                <w:szCs w:val="21"/>
              </w:rPr>
            </w:pPr>
            <w:r>
              <w:rPr>
                <w:sz w:val="21"/>
                <w:szCs w:val="21"/>
              </w:rPr>
              <w:t>-1370</w:t>
            </w:r>
          </w:p>
        </w:tc>
        <w:tc>
          <w:tcPr>
            <w:tcW w:w="534" w:type="pct"/>
            <w:vAlign w:val="center"/>
          </w:tcPr>
          <w:p>
            <w:pPr>
              <w:spacing w:line="240" w:lineRule="auto"/>
              <w:ind w:firstLine="0" w:firstLineChars="0"/>
              <w:jc w:val="center"/>
              <w:rPr>
                <w:sz w:val="21"/>
                <w:szCs w:val="21"/>
              </w:rPr>
            </w:pPr>
            <w:r>
              <w:rPr>
                <w:sz w:val="21"/>
                <w:szCs w:val="21"/>
              </w:rPr>
              <w:t>1255</w:t>
            </w:r>
          </w:p>
        </w:tc>
        <w:tc>
          <w:tcPr>
            <w:tcW w:w="783" w:type="pct"/>
            <w:vAlign w:val="center"/>
          </w:tcPr>
          <w:p>
            <w:pPr>
              <w:spacing w:line="240" w:lineRule="auto"/>
              <w:ind w:firstLine="0" w:firstLineChars="0"/>
              <w:jc w:val="center"/>
              <w:rPr>
                <w:sz w:val="21"/>
                <w:szCs w:val="21"/>
              </w:rPr>
            </w:pPr>
            <w:r>
              <w:rPr>
                <w:sz w:val="21"/>
                <w:szCs w:val="21"/>
              </w:rPr>
              <w:t>250.24</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12</w:t>
            </w:r>
          </w:p>
        </w:tc>
        <w:tc>
          <w:tcPr>
            <w:tcW w:w="1434" w:type="pct"/>
            <w:vAlign w:val="center"/>
          </w:tcPr>
          <w:p>
            <w:pPr>
              <w:spacing w:line="240" w:lineRule="auto"/>
              <w:ind w:firstLine="0" w:firstLineChars="0"/>
              <w:jc w:val="center"/>
              <w:rPr>
                <w:sz w:val="21"/>
                <w:szCs w:val="21"/>
              </w:rPr>
            </w:pPr>
            <w:r>
              <w:rPr>
                <w:sz w:val="21"/>
                <w:szCs w:val="21"/>
                <w:lang w:bidi="en-US"/>
              </w:rPr>
              <w:t>银窝子</w:t>
            </w:r>
          </w:p>
        </w:tc>
        <w:tc>
          <w:tcPr>
            <w:tcW w:w="534" w:type="pct"/>
            <w:vAlign w:val="center"/>
          </w:tcPr>
          <w:p>
            <w:pPr>
              <w:spacing w:line="240" w:lineRule="auto"/>
              <w:ind w:firstLine="0" w:firstLineChars="0"/>
              <w:jc w:val="center"/>
              <w:rPr>
                <w:sz w:val="21"/>
                <w:szCs w:val="21"/>
              </w:rPr>
            </w:pPr>
            <w:r>
              <w:rPr>
                <w:sz w:val="21"/>
                <w:szCs w:val="21"/>
              </w:rPr>
              <w:t>2330</w:t>
            </w:r>
          </w:p>
        </w:tc>
        <w:tc>
          <w:tcPr>
            <w:tcW w:w="534" w:type="pct"/>
            <w:vAlign w:val="center"/>
          </w:tcPr>
          <w:p>
            <w:pPr>
              <w:spacing w:line="240" w:lineRule="auto"/>
              <w:ind w:firstLine="0" w:firstLineChars="0"/>
              <w:jc w:val="center"/>
              <w:rPr>
                <w:sz w:val="21"/>
                <w:szCs w:val="21"/>
              </w:rPr>
            </w:pPr>
            <w:r>
              <w:rPr>
                <w:sz w:val="21"/>
                <w:szCs w:val="21"/>
              </w:rPr>
              <w:t>2784</w:t>
            </w:r>
          </w:p>
        </w:tc>
        <w:tc>
          <w:tcPr>
            <w:tcW w:w="783" w:type="pct"/>
            <w:vAlign w:val="center"/>
          </w:tcPr>
          <w:p>
            <w:pPr>
              <w:spacing w:line="240" w:lineRule="auto"/>
              <w:ind w:firstLine="0" w:firstLineChars="0"/>
              <w:jc w:val="center"/>
              <w:rPr>
                <w:sz w:val="21"/>
                <w:szCs w:val="21"/>
              </w:rPr>
            </w:pPr>
            <w:r>
              <w:rPr>
                <w:sz w:val="21"/>
                <w:szCs w:val="21"/>
              </w:rPr>
              <w:t>389.35</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13</w:t>
            </w:r>
          </w:p>
        </w:tc>
        <w:tc>
          <w:tcPr>
            <w:tcW w:w="1434" w:type="pct"/>
            <w:vAlign w:val="center"/>
          </w:tcPr>
          <w:p>
            <w:pPr>
              <w:spacing w:line="240" w:lineRule="auto"/>
              <w:ind w:firstLine="0" w:firstLineChars="0"/>
              <w:jc w:val="center"/>
              <w:rPr>
                <w:sz w:val="21"/>
                <w:szCs w:val="21"/>
                <w:lang w:bidi="en-US"/>
              </w:rPr>
            </w:pPr>
            <w:r>
              <w:rPr>
                <w:sz w:val="21"/>
                <w:szCs w:val="21"/>
                <w:lang w:bidi="en-US"/>
              </w:rPr>
              <w:t>九峰山森林公园</w:t>
            </w:r>
          </w:p>
        </w:tc>
        <w:tc>
          <w:tcPr>
            <w:tcW w:w="534" w:type="pct"/>
            <w:vAlign w:val="center"/>
          </w:tcPr>
          <w:p>
            <w:pPr>
              <w:spacing w:line="240" w:lineRule="auto"/>
              <w:ind w:firstLine="0" w:firstLineChars="0"/>
              <w:jc w:val="center"/>
              <w:rPr>
                <w:sz w:val="21"/>
                <w:szCs w:val="21"/>
              </w:rPr>
            </w:pPr>
            <w:r>
              <w:rPr>
                <w:sz w:val="21"/>
                <w:szCs w:val="21"/>
              </w:rPr>
              <w:t>-114</w:t>
            </w:r>
          </w:p>
        </w:tc>
        <w:tc>
          <w:tcPr>
            <w:tcW w:w="534" w:type="pct"/>
            <w:vAlign w:val="center"/>
          </w:tcPr>
          <w:p>
            <w:pPr>
              <w:spacing w:line="240" w:lineRule="auto"/>
              <w:ind w:firstLine="0" w:firstLineChars="0"/>
              <w:jc w:val="center"/>
              <w:rPr>
                <w:sz w:val="21"/>
                <w:szCs w:val="21"/>
              </w:rPr>
            </w:pPr>
            <w:r>
              <w:rPr>
                <w:sz w:val="21"/>
                <w:szCs w:val="21"/>
              </w:rPr>
              <w:t>48</w:t>
            </w:r>
          </w:p>
        </w:tc>
        <w:tc>
          <w:tcPr>
            <w:tcW w:w="783" w:type="pct"/>
            <w:vAlign w:val="center"/>
          </w:tcPr>
          <w:p>
            <w:pPr>
              <w:spacing w:line="240" w:lineRule="auto"/>
              <w:ind w:firstLine="0" w:firstLineChars="0"/>
              <w:jc w:val="center"/>
              <w:rPr>
                <w:sz w:val="21"/>
                <w:szCs w:val="21"/>
              </w:rPr>
            </w:pPr>
            <w:r>
              <w:rPr>
                <w:sz w:val="21"/>
                <w:szCs w:val="21"/>
              </w:rPr>
              <w:t>499.42</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14</w:t>
            </w:r>
          </w:p>
        </w:tc>
        <w:tc>
          <w:tcPr>
            <w:tcW w:w="1434" w:type="pct"/>
            <w:vAlign w:val="center"/>
          </w:tcPr>
          <w:p>
            <w:pPr>
              <w:spacing w:line="240" w:lineRule="auto"/>
              <w:ind w:firstLine="0" w:firstLineChars="0"/>
              <w:jc w:val="center"/>
              <w:rPr>
                <w:sz w:val="21"/>
                <w:szCs w:val="21"/>
                <w:lang w:bidi="en-US"/>
              </w:rPr>
            </w:pPr>
            <w:r>
              <w:rPr>
                <w:sz w:val="21"/>
                <w:szCs w:val="21"/>
                <w:lang w:bidi="en-US"/>
              </w:rPr>
              <w:t>盐井街道</w:t>
            </w:r>
          </w:p>
        </w:tc>
        <w:tc>
          <w:tcPr>
            <w:tcW w:w="534" w:type="pct"/>
            <w:vAlign w:val="center"/>
          </w:tcPr>
          <w:p>
            <w:pPr>
              <w:spacing w:line="240" w:lineRule="auto"/>
              <w:ind w:firstLine="0" w:firstLineChars="0"/>
              <w:jc w:val="center"/>
              <w:rPr>
                <w:sz w:val="21"/>
                <w:szCs w:val="21"/>
              </w:rPr>
            </w:pPr>
            <w:r>
              <w:rPr>
                <w:sz w:val="21"/>
                <w:szCs w:val="21"/>
              </w:rPr>
              <w:t>3027</w:t>
            </w:r>
          </w:p>
        </w:tc>
        <w:tc>
          <w:tcPr>
            <w:tcW w:w="534" w:type="pct"/>
            <w:vAlign w:val="center"/>
          </w:tcPr>
          <w:p>
            <w:pPr>
              <w:spacing w:line="240" w:lineRule="auto"/>
              <w:ind w:firstLine="0" w:firstLineChars="0"/>
              <w:jc w:val="center"/>
              <w:rPr>
                <w:sz w:val="21"/>
                <w:szCs w:val="21"/>
              </w:rPr>
            </w:pPr>
            <w:r>
              <w:rPr>
                <w:sz w:val="21"/>
                <w:szCs w:val="21"/>
              </w:rPr>
              <w:t>2153</w:t>
            </w:r>
          </w:p>
        </w:tc>
        <w:tc>
          <w:tcPr>
            <w:tcW w:w="783" w:type="pct"/>
            <w:vAlign w:val="center"/>
          </w:tcPr>
          <w:p>
            <w:pPr>
              <w:spacing w:line="240" w:lineRule="auto"/>
              <w:ind w:firstLine="0" w:firstLineChars="0"/>
              <w:jc w:val="center"/>
              <w:rPr>
                <w:sz w:val="21"/>
                <w:szCs w:val="21"/>
              </w:rPr>
            </w:pPr>
            <w:r>
              <w:rPr>
                <w:sz w:val="21"/>
                <w:szCs w:val="21"/>
              </w:rPr>
              <w:t>246.37</w:t>
            </w:r>
          </w:p>
        </w:tc>
        <w:tc>
          <w:tcPr>
            <w:tcW w:w="1244" w:type="pct"/>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15</w:t>
            </w:r>
          </w:p>
        </w:tc>
        <w:tc>
          <w:tcPr>
            <w:tcW w:w="1434" w:type="pct"/>
            <w:vAlign w:val="center"/>
          </w:tcPr>
          <w:p>
            <w:pPr>
              <w:spacing w:line="240" w:lineRule="auto"/>
              <w:ind w:firstLine="0" w:firstLineChars="0"/>
              <w:jc w:val="center"/>
              <w:rPr>
                <w:sz w:val="21"/>
                <w:szCs w:val="21"/>
              </w:rPr>
            </w:pPr>
            <w:r>
              <w:rPr>
                <w:sz w:val="21"/>
                <w:szCs w:val="21"/>
                <w:lang w:bidi="en-US"/>
              </w:rPr>
              <w:t>太石湾</w:t>
            </w:r>
          </w:p>
        </w:tc>
        <w:tc>
          <w:tcPr>
            <w:tcW w:w="534" w:type="pct"/>
            <w:vAlign w:val="center"/>
          </w:tcPr>
          <w:p>
            <w:pPr>
              <w:spacing w:line="240" w:lineRule="auto"/>
              <w:ind w:firstLine="0" w:firstLineChars="0"/>
              <w:jc w:val="center"/>
              <w:rPr>
                <w:sz w:val="21"/>
                <w:szCs w:val="21"/>
              </w:rPr>
            </w:pPr>
            <w:r>
              <w:rPr>
                <w:sz w:val="21"/>
                <w:szCs w:val="21"/>
              </w:rPr>
              <w:t>2961</w:t>
            </w:r>
          </w:p>
        </w:tc>
        <w:tc>
          <w:tcPr>
            <w:tcW w:w="534" w:type="pct"/>
            <w:vAlign w:val="center"/>
          </w:tcPr>
          <w:p>
            <w:pPr>
              <w:spacing w:line="240" w:lineRule="auto"/>
              <w:ind w:firstLine="0" w:firstLineChars="0"/>
              <w:jc w:val="center"/>
              <w:rPr>
                <w:sz w:val="21"/>
                <w:szCs w:val="21"/>
              </w:rPr>
            </w:pPr>
            <w:r>
              <w:rPr>
                <w:sz w:val="21"/>
                <w:szCs w:val="21"/>
              </w:rPr>
              <w:t>691</w:t>
            </w:r>
          </w:p>
        </w:tc>
        <w:tc>
          <w:tcPr>
            <w:tcW w:w="783" w:type="pct"/>
            <w:vAlign w:val="center"/>
          </w:tcPr>
          <w:p>
            <w:pPr>
              <w:spacing w:line="240" w:lineRule="auto"/>
              <w:ind w:firstLine="0" w:firstLineChars="0"/>
              <w:jc w:val="center"/>
              <w:rPr>
                <w:sz w:val="21"/>
                <w:szCs w:val="21"/>
              </w:rPr>
            </w:pPr>
            <w:r>
              <w:rPr>
                <w:sz w:val="21"/>
                <w:szCs w:val="21"/>
              </w:rPr>
              <w:t>414.71</w:t>
            </w:r>
          </w:p>
        </w:tc>
        <w:tc>
          <w:tcPr>
            <w:tcW w:w="1244" w:type="pct"/>
            <w:vMerge w:val="restart"/>
            <w:vAlign w:val="center"/>
          </w:tcPr>
          <w:p>
            <w:pPr>
              <w:spacing w:line="240" w:lineRule="auto"/>
              <w:ind w:firstLine="0" w:firstLineChars="0"/>
              <w:jc w:val="center"/>
              <w:rPr>
                <w:sz w:val="21"/>
                <w:szCs w:val="21"/>
              </w:rPr>
            </w:pPr>
            <w:r>
              <w:rPr>
                <w:sz w:val="21"/>
                <w:szCs w:val="21"/>
              </w:rPr>
              <w:t>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16</w:t>
            </w:r>
          </w:p>
        </w:tc>
        <w:tc>
          <w:tcPr>
            <w:tcW w:w="1434" w:type="pct"/>
            <w:vAlign w:val="center"/>
          </w:tcPr>
          <w:p>
            <w:pPr>
              <w:spacing w:line="240" w:lineRule="auto"/>
              <w:ind w:firstLine="0" w:firstLineChars="0"/>
              <w:jc w:val="center"/>
              <w:rPr>
                <w:sz w:val="21"/>
                <w:szCs w:val="21"/>
              </w:rPr>
            </w:pPr>
            <w:r>
              <w:rPr>
                <w:sz w:val="21"/>
                <w:szCs w:val="21"/>
                <w:lang w:bidi="en-US"/>
              </w:rPr>
              <w:t>陆家园子</w:t>
            </w:r>
          </w:p>
        </w:tc>
        <w:tc>
          <w:tcPr>
            <w:tcW w:w="534" w:type="pct"/>
            <w:vAlign w:val="center"/>
          </w:tcPr>
          <w:p>
            <w:pPr>
              <w:spacing w:line="240" w:lineRule="auto"/>
              <w:ind w:firstLine="0" w:firstLineChars="0"/>
              <w:jc w:val="center"/>
              <w:rPr>
                <w:sz w:val="21"/>
                <w:szCs w:val="21"/>
              </w:rPr>
            </w:pPr>
            <w:r>
              <w:rPr>
                <w:sz w:val="21"/>
                <w:szCs w:val="21"/>
              </w:rPr>
              <w:t>191</w:t>
            </w:r>
          </w:p>
        </w:tc>
        <w:tc>
          <w:tcPr>
            <w:tcW w:w="534" w:type="pct"/>
            <w:vAlign w:val="center"/>
          </w:tcPr>
          <w:p>
            <w:pPr>
              <w:spacing w:line="240" w:lineRule="auto"/>
              <w:ind w:firstLine="0" w:firstLineChars="0"/>
              <w:jc w:val="center"/>
              <w:rPr>
                <w:sz w:val="21"/>
                <w:szCs w:val="21"/>
              </w:rPr>
            </w:pPr>
            <w:r>
              <w:rPr>
                <w:sz w:val="21"/>
                <w:szCs w:val="21"/>
              </w:rPr>
              <w:t>-269</w:t>
            </w:r>
          </w:p>
        </w:tc>
        <w:tc>
          <w:tcPr>
            <w:tcW w:w="783" w:type="pct"/>
            <w:vAlign w:val="center"/>
          </w:tcPr>
          <w:p>
            <w:pPr>
              <w:spacing w:line="240" w:lineRule="auto"/>
              <w:ind w:firstLine="0" w:firstLineChars="0"/>
              <w:jc w:val="center"/>
              <w:rPr>
                <w:sz w:val="21"/>
                <w:szCs w:val="21"/>
              </w:rPr>
            </w:pPr>
            <w:r>
              <w:rPr>
                <w:sz w:val="21"/>
                <w:szCs w:val="21"/>
              </w:rPr>
              <w:t>424.73</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17</w:t>
            </w:r>
          </w:p>
        </w:tc>
        <w:tc>
          <w:tcPr>
            <w:tcW w:w="1434" w:type="pct"/>
            <w:vAlign w:val="center"/>
          </w:tcPr>
          <w:p>
            <w:pPr>
              <w:spacing w:line="240" w:lineRule="auto"/>
              <w:ind w:firstLine="0" w:firstLineChars="0"/>
              <w:jc w:val="center"/>
              <w:rPr>
                <w:sz w:val="21"/>
                <w:szCs w:val="21"/>
              </w:rPr>
            </w:pPr>
            <w:r>
              <w:rPr>
                <w:sz w:val="21"/>
                <w:szCs w:val="21"/>
                <w:lang w:bidi="en-US"/>
              </w:rPr>
              <w:t>阎罔坡</w:t>
            </w:r>
          </w:p>
        </w:tc>
        <w:tc>
          <w:tcPr>
            <w:tcW w:w="534" w:type="pct"/>
            <w:vAlign w:val="center"/>
          </w:tcPr>
          <w:p>
            <w:pPr>
              <w:spacing w:line="240" w:lineRule="auto"/>
              <w:ind w:firstLine="0" w:firstLineChars="0"/>
              <w:jc w:val="center"/>
              <w:rPr>
                <w:sz w:val="21"/>
                <w:szCs w:val="21"/>
              </w:rPr>
            </w:pPr>
            <w:r>
              <w:rPr>
                <w:sz w:val="21"/>
                <w:szCs w:val="21"/>
              </w:rPr>
              <w:t>-449</w:t>
            </w:r>
          </w:p>
        </w:tc>
        <w:tc>
          <w:tcPr>
            <w:tcW w:w="534" w:type="pct"/>
            <w:vAlign w:val="center"/>
          </w:tcPr>
          <w:p>
            <w:pPr>
              <w:spacing w:line="240" w:lineRule="auto"/>
              <w:ind w:firstLine="0" w:firstLineChars="0"/>
              <w:jc w:val="center"/>
              <w:rPr>
                <w:sz w:val="21"/>
                <w:szCs w:val="21"/>
              </w:rPr>
            </w:pPr>
            <w:r>
              <w:rPr>
                <w:sz w:val="21"/>
                <w:szCs w:val="21"/>
              </w:rPr>
              <w:t>-823</w:t>
            </w:r>
          </w:p>
        </w:tc>
        <w:tc>
          <w:tcPr>
            <w:tcW w:w="783" w:type="pct"/>
            <w:vAlign w:val="center"/>
          </w:tcPr>
          <w:p>
            <w:pPr>
              <w:spacing w:line="240" w:lineRule="auto"/>
              <w:ind w:firstLine="0" w:firstLineChars="0"/>
              <w:jc w:val="center"/>
              <w:rPr>
                <w:sz w:val="21"/>
                <w:szCs w:val="21"/>
              </w:rPr>
            </w:pPr>
            <w:r>
              <w:rPr>
                <w:sz w:val="21"/>
                <w:szCs w:val="21"/>
              </w:rPr>
              <w:t>416.32</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0" w:hRule="atLeast"/>
          <w:jc w:val="center"/>
        </w:trPr>
        <w:tc>
          <w:tcPr>
            <w:tcW w:w="468" w:type="pct"/>
            <w:vAlign w:val="center"/>
          </w:tcPr>
          <w:p>
            <w:pPr>
              <w:spacing w:line="240" w:lineRule="auto"/>
              <w:ind w:firstLine="0" w:firstLineChars="0"/>
              <w:jc w:val="center"/>
              <w:rPr>
                <w:sz w:val="21"/>
                <w:szCs w:val="21"/>
              </w:rPr>
            </w:pPr>
            <w:r>
              <w:rPr>
                <w:sz w:val="21"/>
                <w:szCs w:val="21"/>
              </w:rPr>
              <w:t>18</w:t>
            </w:r>
          </w:p>
        </w:tc>
        <w:tc>
          <w:tcPr>
            <w:tcW w:w="1434" w:type="pct"/>
            <w:vAlign w:val="center"/>
          </w:tcPr>
          <w:p>
            <w:pPr>
              <w:spacing w:line="240" w:lineRule="auto"/>
              <w:ind w:firstLine="0" w:firstLineChars="0"/>
              <w:jc w:val="center"/>
              <w:rPr>
                <w:sz w:val="21"/>
                <w:szCs w:val="21"/>
              </w:rPr>
            </w:pPr>
            <w:r>
              <w:rPr>
                <w:sz w:val="21"/>
                <w:szCs w:val="21"/>
                <w:lang w:bidi="en-US"/>
              </w:rPr>
              <w:t>上后厂</w:t>
            </w:r>
          </w:p>
        </w:tc>
        <w:tc>
          <w:tcPr>
            <w:tcW w:w="534" w:type="pct"/>
            <w:vAlign w:val="center"/>
          </w:tcPr>
          <w:p>
            <w:pPr>
              <w:spacing w:line="240" w:lineRule="auto"/>
              <w:ind w:firstLine="0" w:firstLineChars="0"/>
              <w:jc w:val="center"/>
              <w:rPr>
                <w:sz w:val="21"/>
                <w:szCs w:val="21"/>
              </w:rPr>
            </w:pPr>
            <w:r>
              <w:rPr>
                <w:sz w:val="21"/>
                <w:szCs w:val="21"/>
              </w:rPr>
              <w:t>-852</w:t>
            </w:r>
          </w:p>
        </w:tc>
        <w:tc>
          <w:tcPr>
            <w:tcW w:w="534" w:type="pct"/>
            <w:vAlign w:val="center"/>
          </w:tcPr>
          <w:p>
            <w:pPr>
              <w:spacing w:line="240" w:lineRule="auto"/>
              <w:ind w:firstLine="0" w:firstLineChars="0"/>
              <w:jc w:val="center"/>
              <w:rPr>
                <w:sz w:val="21"/>
                <w:szCs w:val="21"/>
              </w:rPr>
            </w:pPr>
            <w:r>
              <w:rPr>
                <w:sz w:val="21"/>
                <w:szCs w:val="21"/>
              </w:rPr>
              <w:t>-1278</w:t>
            </w:r>
          </w:p>
        </w:tc>
        <w:tc>
          <w:tcPr>
            <w:tcW w:w="783" w:type="pct"/>
            <w:vAlign w:val="center"/>
          </w:tcPr>
          <w:p>
            <w:pPr>
              <w:spacing w:line="240" w:lineRule="auto"/>
              <w:ind w:firstLine="0" w:firstLineChars="0"/>
              <w:jc w:val="center"/>
              <w:rPr>
                <w:sz w:val="21"/>
                <w:szCs w:val="21"/>
              </w:rPr>
            </w:pPr>
            <w:r>
              <w:rPr>
                <w:sz w:val="21"/>
                <w:szCs w:val="21"/>
              </w:rPr>
              <w:t>465.30</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19</w:t>
            </w:r>
          </w:p>
        </w:tc>
        <w:tc>
          <w:tcPr>
            <w:tcW w:w="1434" w:type="pct"/>
            <w:vAlign w:val="center"/>
          </w:tcPr>
          <w:p>
            <w:pPr>
              <w:spacing w:line="240" w:lineRule="auto"/>
              <w:ind w:firstLine="0" w:firstLineChars="0"/>
              <w:jc w:val="center"/>
              <w:rPr>
                <w:sz w:val="21"/>
                <w:szCs w:val="21"/>
              </w:rPr>
            </w:pPr>
            <w:r>
              <w:rPr>
                <w:sz w:val="21"/>
                <w:szCs w:val="21"/>
                <w:lang w:bidi="en-US"/>
              </w:rPr>
              <w:t>风过丫</w:t>
            </w:r>
          </w:p>
        </w:tc>
        <w:tc>
          <w:tcPr>
            <w:tcW w:w="534" w:type="pct"/>
            <w:vAlign w:val="center"/>
          </w:tcPr>
          <w:p>
            <w:pPr>
              <w:spacing w:line="240" w:lineRule="auto"/>
              <w:ind w:firstLine="0" w:firstLineChars="0"/>
              <w:jc w:val="center"/>
              <w:rPr>
                <w:sz w:val="21"/>
                <w:szCs w:val="21"/>
              </w:rPr>
            </w:pPr>
            <w:r>
              <w:rPr>
                <w:sz w:val="21"/>
                <w:szCs w:val="21"/>
              </w:rPr>
              <w:t>-362</w:t>
            </w:r>
          </w:p>
        </w:tc>
        <w:tc>
          <w:tcPr>
            <w:tcW w:w="534" w:type="pct"/>
            <w:vAlign w:val="center"/>
          </w:tcPr>
          <w:p>
            <w:pPr>
              <w:spacing w:line="240" w:lineRule="auto"/>
              <w:ind w:firstLine="0" w:firstLineChars="0"/>
              <w:jc w:val="center"/>
              <w:rPr>
                <w:sz w:val="21"/>
                <w:szCs w:val="21"/>
              </w:rPr>
            </w:pPr>
            <w:r>
              <w:rPr>
                <w:sz w:val="21"/>
                <w:szCs w:val="21"/>
              </w:rPr>
              <w:t>-1195</w:t>
            </w:r>
          </w:p>
        </w:tc>
        <w:tc>
          <w:tcPr>
            <w:tcW w:w="783" w:type="pct"/>
            <w:vAlign w:val="center"/>
          </w:tcPr>
          <w:p>
            <w:pPr>
              <w:spacing w:line="240" w:lineRule="auto"/>
              <w:ind w:firstLine="0" w:firstLineChars="0"/>
              <w:jc w:val="center"/>
              <w:rPr>
                <w:sz w:val="21"/>
                <w:szCs w:val="21"/>
              </w:rPr>
            </w:pPr>
            <w:r>
              <w:rPr>
                <w:sz w:val="21"/>
                <w:szCs w:val="21"/>
              </w:rPr>
              <w:t>545.08</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20</w:t>
            </w:r>
          </w:p>
        </w:tc>
        <w:tc>
          <w:tcPr>
            <w:tcW w:w="1434" w:type="pct"/>
            <w:vAlign w:val="center"/>
          </w:tcPr>
          <w:p>
            <w:pPr>
              <w:spacing w:line="240" w:lineRule="auto"/>
              <w:ind w:firstLine="0" w:firstLineChars="0"/>
              <w:jc w:val="center"/>
              <w:rPr>
                <w:sz w:val="21"/>
                <w:szCs w:val="21"/>
              </w:rPr>
            </w:pPr>
            <w:r>
              <w:rPr>
                <w:sz w:val="21"/>
                <w:szCs w:val="21"/>
                <w:lang w:bidi="en-US"/>
              </w:rPr>
              <w:t>龙院村</w:t>
            </w:r>
          </w:p>
        </w:tc>
        <w:tc>
          <w:tcPr>
            <w:tcW w:w="534" w:type="pct"/>
            <w:vAlign w:val="center"/>
          </w:tcPr>
          <w:p>
            <w:pPr>
              <w:spacing w:line="240" w:lineRule="auto"/>
              <w:ind w:firstLine="0" w:firstLineChars="0"/>
              <w:jc w:val="center"/>
              <w:rPr>
                <w:sz w:val="21"/>
                <w:szCs w:val="21"/>
              </w:rPr>
            </w:pPr>
            <w:r>
              <w:rPr>
                <w:sz w:val="21"/>
                <w:szCs w:val="21"/>
              </w:rPr>
              <w:t>-1355</w:t>
            </w:r>
          </w:p>
        </w:tc>
        <w:tc>
          <w:tcPr>
            <w:tcW w:w="534" w:type="pct"/>
            <w:vAlign w:val="center"/>
          </w:tcPr>
          <w:p>
            <w:pPr>
              <w:spacing w:line="240" w:lineRule="auto"/>
              <w:ind w:firstLine="0" w:firstLineChars="0"/>
              <w:jc w:val="center"/>
              <w:rPr>
                <w:sz w:val="21"/>
                <w:szCs w:val="21"/>
              </w:rPr>
            </w:pPr>
            <w:r>
              <w:rPr>
                <w:sz w:val="21"/>
                <w:szCs w:val="21"/>
              </w:rPr>
              <w:t>-2303</w:t>
            </w:r>
          </w:p>
        </w:tc>
        <w:tc>
          <w:tcPr>
            <w:tcW w:w="783" w:type="pct"/>
            <w:vAlign w:val="center"/>
          </w:tcPr>
          <w:p>
            <w:pPr>
              <w:spacing w:line="240" w:lineRule="auto"/>
              <w:ind w:firstLine="0" w:firstLineChars="0"/>
              <w:jc w:val="center"/>
              <w:rPr>
                <w:sz w:val="21"/>
                <w:szCs w:val="21"/>
              </w:rPr>
            </w:pPr>
            <w:r>
              <w:rPr>
                <w:sz w:val="21"/>
                <w:szCs w:val="21"/>
              </w:rPr>
              <w:t>557.80</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21</w:t>
            </w:r>
          </w:p>
        </w:tc>
        <w:tc>
          <w:tcPr>
            <w:tcW w:w="1434" w:type="pct"/>
            <w:vAlign w:val="center"/>
          </w:tcPr>
          <w:p>
            <w:pPr>
              <w:spacing w:line="240" w:lineRule="auto"/>
              <w:ind w:firstLine="0" w:firstLineChars="0"/>
              <w:jc w:val="center"/>
              <w:rPr>
                <w:sz w:val="21"/>
                <w:szCs w:val="21"/>
              </w:rPr>
            </w:pPr>
            <w:r>
              <w:rPr>
                <w:sz w:val="21"/>
                <w:szCs w:val="21"/>
                <w:lang w:bidi="en-US"/>
              </w:rPr>
              <w:t>宁家牛房</w:t>
            </w:r>
          </w:p>
        </w:tc>
        <w:tc>
          <w:tcPr>
            <w:tcW w:w="534" w:type="pct"/>
            <w:vAlign w:val="center"/>
          </w:tcPr>
          <w:p>
            <w:pPr>
              <w:spacing w:line="240" w:lineRule="auto"/>
              <w:ind w:firstLine="0" w:firstLineChars="0"/>
              <w:jc w:val="center"/>
              <w:rPr>
                <w:sz w:val="21"/>
                <w:szCs w:val="21"/>
              </w:rPr>
            </w:pPr>
            <w:r>
              <w:rPr>
                <w:sz w:val="21"/>
                <w:szCs w:val="21"/>
              </w:rPr>
              <w:t>-598</w:t>
            </w:r>
          </w:p>
        </w:tc>
        <w:tc>
          <w:tcPr>
            <w:tcW w:w="534" w:type="pct"/>
            <w:vAlign w:val="center"/>
          </w:tcPr>
          <w:p>
            <w:pPr>
              <w:spacing w:line="240" w:lineRule="auto"/>
              <w:ind w:firstLine="0" w:firstLineChars="0"/>
              <w:jc w:val="center"/>
              <w:rPr>
                <w:sz w:val="21"/>
                <w:szCs w:val="21"/>
              </w:rPr>
            </w:pPr>
            <w:r>
              <w:rPr>
                <w:sz w:val="21"/>
                <w:szCs w:val="21"/>
              </w:rPr>
              <w:t>-2105</w:t>
            </w:r>
          </w:p>
        </w:tc>
        <w:tc>
          <w:tcPr>
            <w:tcW w:w="783" w:type="pct"/>
            <w:vAlign w:val="center"/>
          </w:tcPr>
          <w:p>
            <w:pPr>
              <w:spacing w:line="240" w:lineRule="auto"/>
              <w:ind w:firstLine="0" w:firstLineChars="0"/>
              <w:jc w:val="center"/>
              <w:rPr>
                <w:sz w:val="21"/>
                <w:szCs w:val="21"/>
              </w:rPr>
            </w:pPr>
            <w:r>
              <w:rPr>
                <w:sz w:val="21"/>
                <w:szCs w:val="21"/>
              </w:rPr>
              <w:t>527.89</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22</w:t>
            </w:r>
          </w:p>
        </w:tc>
        <w:tc>
          <w:tcPr>
            <w:tcW w:w="1434" w:type="pct"/>
            <w:vAlign w:val="center"/>
          </w:tcPr>
          <w:p>
            <w:pPr>
              <w:spacing w:line="240" w:lineRule="auto"/>
              <w:ind w:firstLine="0" w:firstLineChars="0"/>
              <w:jc w:val="center"/>
              <w:rPr>
                <w:sz w:val="21"/>
                <w:szCs w:val="21"/>
              </w:rPr>
            </w:pPr>
            <w:r>
              <w:rPr>
                <w:sz w:val="21"/>
                <w:szCs w:val="21"/>
                <w:lang w:bidi="en-US"/>
              </w:rPr>
              <w:t>石龙门</w:t>
            </w:r>
          </w:p>
        </w:tc>
        <w:tc>
          <w:tcPr>
            <w:tcW w:w="534" w:type="pct"/>
            <w:vAlign w:val="center"/>
          </w:tcPr>
          <w:p>
            <w:pPr>
              <w:spacing w:line="240" w:lineRule="auto"/>
              <w:ind w:firstLine="0" w:firstLineChars="0"/>
              <w:jc w:val="center"/>
              <w:rPr>
                <w:sz w:val="21"/>
                <w:szCs w:val="21"/>
              </w:rPr>
            </w:pPr>
            <w:r>
              <w:rPr>
                <w:sz w:val="21"/>
                <w:szCs w:val="21"/>
              </w:rPr>
              <w:t>1424</w:t>
            </w:r>
          </w:p>
        </w:tc>
        <w:tc>
          <w:tcPr>
            <w:tcW w:w="534" w:type="pct"/>
            <w:vAlign w:val="center"/>
          </w:tcPr>
          <w:p>
            <w:pPr>
              <w:spacing w:line="240" w:lineRule="auto"/>
              <w:ind w:firstLine="0" w:firstLineChars="0"/>
              <w:jc w:val="center"/>
              <w:rPr>
                <w:sz w:val="21"/>
                <w:szCs w:val="21"/>
              </w:rPr>
            </w:pPr>
            <w:r>
              <w:rPr>
                <w:sz w:val="21"/>
                <w:szCs w:val="21"/>
              </w:rPr>
              <w:t>-1945</w:t>
            </w:r>
          </w:p>
        </w:tc>
        <w:tc>
          <w:tcPr>
            <w:tcW w:w="783" w:type="pct"/>
            <w:vAlign w:val="center"/>
          </w:tcPr>
          <w:p>
            <w:pPr>
              <w:spacing w:line="240" w:lineRule="auto"/>
              <w:ind w:firstLine="0" w:firstLineChars="0"/>
              <w:jc w:val="center"/>
              <w:rPr>
                <w:sz w:val="21"/>
                <w:szCs w:val="21"/>
              </w:rPr>
            </w:pPr>
            <w:r>
              <w:rPr>
                <w:sz w:val="21"/>
                <w:szCs w:val="21"/>
              </w:rPr>
              <w:t>636.50</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23</w:t>
            </w:r>
          </w:p>
        </w:tc>
        <w:tc>
          <w:tcPr>
            <w:tcW w:w="1434" w:type="pct"/>
            <w:vAlign w:val="center"/>
          </w:tcPr>
          <w:p>
            <w:pPr>
              <w:spacing w:line="240" w:lineRule="auto"/>
              <w:ind w:firstLine="0" w:firstLineChars="0"/>
              <w:jc w:val="center"/>
              <w:rPr>
                <w:sz w:val="21"/>
                <w:szCs w:val="21"/>
                <w:lang w:bidi="en-US"/>
              </w:rPr>
            </w:pPr>
            <w:r>
              <w:rPr>
                <w:sz w:val="21"/>
                <w:szCs w:val="21"/>
                <w:lang w:bidi="en-US"/>
              </w:rPr>
              <w:t>杨柳沟</w:t>
            </w:r>
          </w:p>
        </w:tc>
        <w:tc>
          <w:tcPr>
            <w:tcW w:w="534" w:type="pct"/>
            <w:vAlign w:val="center"/>
          </w:tcPr>
          <w:p>
            <w:pPr>
              <w:spacing w:line="240" w:lineRule="auto"/>
              <w:ind w:firstLine="0" w:firstLineChars="0"/>
              <w:jc w:val="center"/>
              <w:rPr>
                <w:sz w:val="21"/>
                <w:szCs w:val="21"/>
              </w:rPr>
            </w:pPr>
            <w:r>
              <w:rPr>
                <w:sz w:val="21"/>
                <w:szCs w:val="21"/>
              </w:rPr>
              <w:t>2734</w:t>
            </w:r>
          </w:p>
        </w:tc>
        <w:tc>
          <w:tcPr>
            <w:tcW w:w="534" w:type="pct"/>
            <w:vAlign w:val="center"/>
          </w:tcPr>
          <w:p>
            <w:pPr>
              <w:spacing w:line="240" w:lineRule="auto"/>
              <w:ind w:firstLine="0" w:firstLineChars="0"/>
              <w:jc w:val="center"/>
              <w:rPr>
                <w:sz w:val="21"/>
                <w:szCs w:val="21"/>
              </w:rPr>
            </w:pPr>
            <w:r>
              <w:rPr>
                <w:sz w:val="21"/>
                <w:szCs w:val="21"/>
              </w:rPr>
              <w:t>-1532</w:t>
            </w:r>
          </w:p>
        </w:tc>
        <w:tc>
          <w:tcPr>
            <w:tcW w:w="783" w:type="pct"/>
            <w:vAlign w:val="center"/>
          </w:tcPr>
          <w:p>
            <w:pPr>
              <w:spacing w:line="240" w:lineRule="auto"/>
              <w:ind w:firstLine="0" w:firstLineChars="0"/>
              <w:jc w:val="center"/>
              <w:rPr>
                <w:sz w:val="21"/>
                <w:szCs w:val="21"/>
              </w:rPr>
            </w:pPr>
            <w:r>
              <w:rPr>
                <w:sz w:val="21"/>
                <w:szCs w:val="21"/>
              </w:rPr>
              <w:t>652.42</w:t>
            </w:r>
          </w:p>
        </w:tc>
        <w:tc>
          <w:tcPr>
            <w:tcW w:w="1244"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8" w:type="pct"/>
            <w:vAlign w:val="center"/>
          </w:tcPr>
          <w:p>
            <w:pPr>
              <w:spacing w:line="240" w:lineRule="auto"/>
              <w:ind w:firstLine="0" w:firstLineChars="0"/>
              <w:jc w:val="center"/>
              <w:rPr>
                <w:sz w:val="21"/>
                <w:szCs w:val="21"/>
              </w:rPr>
            </w:pPr>
            <w:r>
              <w:rPr>
                <w:sz w:val="21"/>
                <w:szCs w:val="21"/>
              </w:rPr>
              <w:t>24</w:t>
            </w:r>
          </w:p>
        </w:tc>
        <w:tc>
          <w:tcPr>
            <w:tcW w:w="1434" w:type="pct"/>
            <w:vAlign w:val="center"/>
          </w:tcPr>
          <w:p>
            <w:pPr>
              <w:spacing w:line="240" w:lineRule="auto"/>
              <w:ind w:firstLine="0" w:firstLineChars="0"/>
              <w:jc w:val="center"/>
              <w:rPr>
                <w:sz w:val="21"/>
                <w:szCs w:val="21"/>
                <w:lang w:bidi="en-US"/>
              </w:rPr>
            </w:pPr>
            <w:r>
              <w:rPr>
                <w:sz w:val="21"/>
                <w:szCs w:val="21"/>
                <w:lang w:bidi="en-US"/>
              </w:rPr>
              <w:t>塘子湾院子</w:t>
            </w:r>
          </w:p>
        </w:tc>
        <w:tc>
          <w:tcPr>
            <w:tcW w:w="534" w:type="pct"/>
            <w:vAlign w:val="center"/>
          </w:tcPr>
          <w:p>
            <w:pPr>
              <w:spacing w:line="240" w:lineRule="auto"/>
              <w:ind w:firstLine="0" w:firstLineChars="0"/>
              <w:jc w:val="center"/>
              <w:rPr>
                <w:sz w:val="21"/>
                <w:szCs w:val="21"/>
              </w:rPr>
            </w:pPr>
            <w:r>
              <w:rPr>
                <w:sz w:val="21"/>
                <w:szCs w:val="21"/>
              </w:rPr>
              <w:t>2264</w:t>
            </w:r>
          </w:p>
        </w:tc>
        <w:tc>
          <w:tcPr>
            <w:tcW w:w="534" w:type="pct"/>
            <w:vAlign w:val="center"/>
          </w:tcPr>
          <w:p>
            <w:pPr>
              <w:spacing w:line="240" w:lineRule="auto"/>
              <w:ind w:firstLine="0" w:firstLineChars="0"/>
              <w:jc w:val="center"/>
              <w:rPr>
                <w:sz w:val="21"/>
                <w:szCs w:val="21"/>
              </w:rPr>
            </w:pPr>
            <w:r>
              <w:rPr>
                <w:sz w:val="21"/>
                <w:szCs w:val="21"/>
              </w:rPr>
              <w:t>665</w:t>
            </w:r>
          </w:p>
        </w:tc>
        <w:tc>
          <w:tcPr>
            <w:tcW w:w="783" w:type="pct"/>
            <w:vAlign w:val="center"/>
          </w:tcPr>
          <w:p>
            <w:pPr>
              <w:spacing w:line="240" w:lineRule="auto"/>
              <w:ind w:firstLine="0" w:firstLineChars="0"/>
              <w:jc w:val="center"/>
              <w:rPr>
                <w:sz w:val="21"/>
                <w:szCs w:val="21"/>
              </w:rPr>
            </w:pPr>
            <w:r>
              <w:rPr>
                <w:sz w:val="21"/>
                <w:szCs w:val="21"/>
              </w:rPr>
              <w:t>479.47</w:t>
            </w:r>
          </w:p>
        </w:tc>
        <w:tc>
          <w:tcPr>
            <w:tcW w:w="1244" w:type="pct"/>
            <w:vMerge w:val="continue"/>
            <w:vAlign w:val="center"/>
          </w:tcPr>
          <w:p>
            <w:pPr>
              <w:spacing w:line="240" w:lineRule="auto"/>
              <w:ind w:firstLine="0" w:firstLineChars="0"/>
              <w:jc w:val="center"/>
              <w:rPr>
                <w:sz w:val="21"/>
                <w:szCs w:val="21"/>
              </w:rPr>
            </w:pPr>
          </w:p>
        </w:tc>
      </w:tr>
    </w:tbl>
    <w:p>
      <w:pPr>
        <w:pStyle w:val="6"/>
        <w:numPr>
          <w:ilvl w:val="3"/>
          <w:numId w:val="0"/>
        </w:numPr>
      </w:pPr>
      <w:r>
        <w:t>6.2.1.4预测及评价内容</w:t>
      </w:r>
    </w:p>
    <w:p>
      <w:pPr>
        <w:ind w:firstLine="520"/>
        <w:jc w:val="both"/>
      </w:pPr>
      <w:r>
        <w:t>根据《环境影响评价技术导则一大气环境》（HJ2.2-2018）要求，一级评价需要预测和评价的内容如下：</w:t>
      </w:r>
    </w:p>
    <w:p>
      <w:pPr>
        <w:ind w:firstLine="520"/>
        <w:jc w:val="both"/>
      </w:pPr>
      <w:r>
        <w:t>（1）项目正常排放条件下，预测环境空气保护目标和网格点</w:t>
      </w:r>
      <w:r>
        <w:rPr>
          <w:bCs/>
          <w:kern w:val="0"/>
          <w:sz w:val="24"/>
          <w:szCs w:val="24"/>
        </w:rPr>
        <w:t>PM</w:t>
      </w:r>
      <w:r>
        <w:rPr>
          <w:bCs/>
          <w:kern w:val="0"/>
          <w:sz w:val="24"/>
          <w:szCs w:val="24"/>
          <w:vertAlign w:val="subscript"/>
        </w:rPr>
        <w:t>10</w:t>
      </w:r>
      <w:r>
        <w:rPr>
          <w:bCs/>
          <w:kern w:val="0"/>
          <w:sz w:val="24"/>
          <w:szCs w:val="24"/>
        </w:rPr>
        <w:t>、TSP</w:t>
      </w:r>
      <w:r>
        <w:t>的短期浓度和长期浓度贡献值，评价其最大浓度占标率；</w:t>
      </w:r>
    </w:p>
    <w:p>
      <w:pPr>
        <w:ind w:firstLine="520"/>
        <w:jc w:val="both"/>
      </w:pPr>
      <w:r>
        <w:t>（2）项目正常排放条件下，预测评价叠加环境空气质量现状值和已投产工程环境影响后，环境空气保护目标和网格点</w:t>
      </w:r>
      <w:r>
        <w:rPr>
          <w:bCs/>
          <w:kern w:val="0"/>
          <w:sz w:val="24"/>
          <w:szCs w:val="24"/>
        </w:rPr>
        <w:t>PM</w:t>
      </w:r>
      <w:r>
        <w:rPr>
          <w:bCs/>
          <w:kern w:val="0"/>
          <w:sz w:val="24"/>
          <w:szCs w:val="24"/>
          <w:vertAlign w:val="subscript"/>
        </w:rPr>
        <w:t>10</w:t>
      </w:r>
      <w:r>
        <w:rPr>
          <w:bCs/>
          <w:kern w:val="0"/>
          <w:sz w:val="24"/>
          <w:szCs w:val="24"/>
        </w:rPr>
        <w:t>、TSP</w:t>
      </w:r>
      <w:r>
        <w:t>保证率日平均质量浓度和年平均质量浓度的达标情况；对于超标因子，</w:t>
      </w:r>
    </w:p>
    <w:p>
      <w:pPr>
        <w:ind w:firstLine="520"/>
        <w:jc w:val="both"/>
        <w:rPr>
          <w:bCs/>
          <w:kern w:val="0"/>
          <w:sz w:val="24"/>
          <w:szCs w:val="24"/>
        </w:rPr>
      </w:pPr>
      <w:r>
        <w:t>（3）非正常排放情况，预测环境空气保护目标和网格点</w:t>
      </w:r>
      <w:r>
        <w:rPr>
          <w:bCs/>
          <w:kern w:val="0"/>
          <w:sz w:val="24"/>
          <w:szCs w:val="24"/>
        </w:rPr>
        <w:t>PM</w:t>
      </w:r>
      <w:r>
        <w:rPr>
          <w:bCs/>
          <w:kern w:val="0"/>
          <w:sz w:val="24"/>
          <w:szCs w:val="24"/>
          <w:vertAlign w:val="subscript"/>
        </w:rPr>
        <w:t>10</w:t>
      </w:r>
      <w:r>
        <w:t>的 1h 最大浓度贡献值。</w:t>
      </w:r>
    </w:p>
    <w:p>
      <w:pPr>
        <w:pStyle w:val="6"/>
        <w:numPr>
          <w:ilvl w:val="3"/>
          <w:numId w:val="0"/>
        </w:numPr>
      </w:pPr>
      <w:r>
        <w:t>6.2.1.5预测源强</w:t>
      </w:r>
    </w:p>
    <w:p>
      <w:pPr>
        <w:spacing w:line="460" w:lineRule="atLeast"/>
        <w:ind w:firstLine="480"/>
        <w:jc w:val="both"/>
        <w:rPr>
          <w:bCs/>
          <w:sz w:val="24"/>
          <w:szCs w:val="21"/>
          <w:lang w:bidi="en-US"/>
        </w:rPr>
      </w:pPr>
      <w:r>
        <w:rPr>
          <w:bCs/>
          <w:sz w:val="24"/>
          <w:szCs w:val="21"/>
          <w:lang w:bidi="en-US"/>
        </w:rPr>
        <w:t>（1）拟建项目污染源</w:t>
      </w:r>
    </w:p>
    <w:p>
      <w:pPr>
        <w:spacing w:line="460" w:lineRule="atLeast"/>
        <w:ind w:firstLine="480"/>
        <w:jc w:val="both"/>
        <w:rPr>
          <w:bCs/>
          <w:sz w:val="24"/>
          <w:szCs w:val="21"/>
          <w:lang w:bidi="en-US"/>
        </w:rPr>
      </w:pPr>
      <w:r>
        <w:rPr>
          <w:bCs/>
          <w:sz w:val="24"/>
          <w:szCs w:val="21"/>
          <w:lang w:bidi="en-US"/>
        </w:rPr>
        <w:t>污染源排放参数见下表。</w:t>
      </w:r>
    </w:p>
    <w:p>
      <w:pPr>
        <w:spacing w:line="460" w:lineRule="atLeast"/>
        <w:ind w:firstLine="520"/>
        <w:jc w:val="center"/>
        <w:rPr>
          <w:bCs/>
          <w:sz w:val="24"/>
          <w:szCs w:val="21"/>
          <w:lang w:bidi="en-US"/>
        </w:rPr>
      </w:pPr>
      <w:r>
        <w:rPr>
          <w:snapToGrid w:val="0"/>
          <w:kern w:val="0"/>
          <w:szCs w:val="26"/>
          <w:lang w:val="ru-RU"/>
        </w:rPr>
        <w:t>表6.2-</w:t>
      </w:r>
      <w:r>
        <w:rPr>
          <w:snapToGrid w:val="0"/>
          <w:kern w:val="0"/>
          <w:szCs w:val="26"/>
        </w:rPr>
        <w:t xml:space="preserve">11 </w:t>
      </w:r>
      <w:r>
        <w:t xml:space="preserve">   点源参数表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727"/>
        <w:gridCol w:w="727"/>
        <w:gridCol w:w="871"/>
        <w:gridCol w:w="964"/>
        <w:gridCol w:w="656"/>
        <w:gridCol w:w="1168"/>
        <w:gridCol w:w="757"/>
        <w:gridCol w:w="995"/>
        <w:gridCol w:w="652"/>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467" w:type="pct"/>
            <w:vMerge w:val="restart"/>
            <w:shd w:val="clear" w:color="auto" w:fill="D8D8D8" w:themeFill="background1" w:themeFillShade="D9"/>
            <w:vAlign w:val="center"/>
          </w:tcPr>
          <w:p>
            <w:pPr>
              <w:pStyle w:val="3238"/>
            </w:pPr>
            <w:r>
              <w:t>排气筒编号</w:t>
            </w:r>
          </w:p>
        </w:tc>
        <w:tc>
          <w:tcPr>
            <w:tcW w:w="782" w:type="pct"/>
            <w:gridSpan w:val="2"/>
            <w:shd w:val="clear" w:color="auto" w:fill="D8D8D8" w:themeFill="background1" w:themeFillShade="D9"/>
            <w:vAlign w:val="center"/>
          </w:tcPr>
          <w:p>
            <w:pPr>
              <w:pStyle w:val="3238"/>
            </w:pPr>
            <w:r>
              <w:t>排气筒底部中心坐标/m</w:t>
            </w:r>
          </w:p>
        </w:tc>
        <w:tc>
          <w:tcPr>
            <w:tcW w:w="469" w:type="pct"/>
            <w:vMerge w:val="restart"/>
            <w:shd w:val="clear" w:color="auto" w:fill="D8D8D8" w:themeFill="background1" w:themeFillShade="D9"/>
            <w:vAlign w:val="center"/>
          </w:tcPr>
          <w:p>
            <w:pPr>
              <w:pStyle w:val="3238"/>
            </w:pPr>
            <w:r>
              <w:t>排气筒底部海拔高度m</w:t>
            </w:r>
          </w:p>
        </w:tc>
        <w:tc>
          <w:tcPr>
            <w:tcW w:w="519" w:type="pct"/>
            <w:vMerge w:val="restart"/>
            <w:shd w:val="clear" w:color="auto" w:fill="D8D8D8" w:themeFill="background1" w:themeFillShade="D9"/>
            <w:vAlign w:val="center"/>
          </w:tcPr>
          <w:p>
            <w:pPr>
              <w:pStyle w:val="3238"/>
            </w:pPr>
            <w:r>
              <w:t>排气筒高度m</w:t>
            </w:r>
          </w:p>
        </w:tc>
        <w:tc>
          <w:tcPr>
            <w:tcW w:w="353" w:type="pct"/>
            <w:vMerge w:val="restart"/>
            <w:shd w:val="clear" w:color="auto" w:fill="D8D8D8" w:themeFill="background1" w:themeFillShade="D9"/>
            <w:vAlign w:val="center"/>
          </w:tcPr>
          <w:p>
            <w:pPr>
              <w:pStyle w:val="3238"/>
            </w:pPr>
            <w:r>
              <w:t>排气筒出口内径m</w:t>
            </w:r>
          </w:p>
        </w:tc>
        <w:tc>
          <w:tcPr>
            <w:tcW w:w="629" w:type="pct"/>
            <w:vMerge w:val="restart"/>
            <w:shd w:val="clear" w:color="auto" w:fill="D8D8D8" w:themeFill="background1" w:themeFillShade="D9"/>
            <w:vAlign w:val="center"/>
          </w:tcPr>
          <w:p>
            <w:pPr>
              <w:pStyle w:val="3238"/>
            </w:pPr>
            <w:r>
              <w:t>烟气流速m/s</w:t>
            </w:r>
          </w:p>
        </w:tc>
        <w:tc>
          <w:tcPr>
            <w:tcW w:w="408" w:type="pct"/>
            <w:vMerge w:val="restart"/>
            <w:shd w:val="clear" w:color="auto" w:fill="D8D8D8" w:themeFill="background1" w:themeFillShade="D9"/>
            <w:vAlign w:val="center"/>
          </w:tcPr>
          <w:p>
            <w:pPr>
              <w:pStyle w:val="3238"/>
            </w:pPr>
            <w:r>
              <w:t>烟气温度</w:t>
            </w:r>
          </w:p>
          <w:p>
            <w:pPr>
              <w:pStyle w:val="3238"/>
            </w:pPr>
            <w:r>
              <w:t>℃</w:t>
            </w:r>
          </w:p>
        </w:tc>
        <w:tc>
          <w:tcPr>
            <w:tcW w:w="536" w:type="pct"/>
            <w:vMerge w:val="restart"/>
            <w:shd w:val="clear" w:color="auto" w:fill="D8D8D8" w:themeFill="background1" w:themeFillShade="D9"/>
            <w:vAlign w:val="center"/>
          </w:tcPr>
          <w:p>
            <w:pPr>
              <w:pStyle w:val="3238"/>
            </w:pPr>
            <w:r>
              <w:t>年排放小时数h</w:t>
            </w:r>
          </w:p>
        </w:tc>
        <w:tc>
          <w:tcPr>
            <w:tcW w:w="351" w:type="pct"/>
            <w:vMerge w:val="restart"/>
            <w:shd w:val="clear" w:color="auto" w:fill="D8D8D8" w:themeFill="background1" w:themeFillShade="D9"/>
            <w:vAlign w:val="center"/>
          </w:tcPr>
          <w:p>
            <w:pPr>
              <w:pStyle w:val="3238"/>
            </w:pPr>
            <w:r>
              <w:t>排放工况</w:t>
            </w:r>
          </w:p>
        </w:tc>
        <w:tc>
          <w:tcPr>
            <w:tcW w:w="486" w:type="pct"/>
            <w:shd w:val="clear" w:color="auto" w:fill="D8D8D8" w:themeFill="background1" w:themeFillShade="D9"/>
            <w:vAlign w:val="center"/>
          </w:tcPr>
          <w:p>
            <w:pPr>
              <w:pStyle w:val="3238"/>
            </w:pPr>
            <w: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9" w:hRule="atLeast"/>
          <w:jc w:val="center"/>
        </w:trPr>
        <w:tc>
          <w:tcPr>
            <w:tcW w:w="467" w:type="pct"/>
            <w:vMerge w:val="continue"/>
            <w:shd w:val="clear" w:color="auto" w:fill="D8D8D8" w:themeFill="background1" w:themeFillShade="D9"/>
            <w:vAlign w:val="center"/>
          </w:tcPr>
          <w:p>
            <w:pPr>
              <w:pStyle w:val="3238"/>
            </w:pPr>
          </w:p>
        </w:tc>
        <w:tc>
          <w:tcPr>
            <w:tcW w:w="391" w:type="pct"/>
            <w:shd w:val="clear" w:color="auto" w:fill="D8D8D8" w:themeFill="background1" w:themeFillShade="D9"/>
            <w:vAlign w:val="center"/>
          </w:tcPr>
          <w:p>
            <w:pPr>
              <w:pStyle w:val="3238"/>
            </w:pPr>
            <w:r>
              <w:t>X</w:t>
            </w:r>
          </w:p>
        </w:tc>
        <w:tc>
          <w:tcPr>
            <w:tcW w:w="391" w:type="pct"/>
            <w:shd w:val="clear" w:color="auto" w:fill="D8D8D8" w:themeFill="background1" w:themeFillShade="D9"/>
            <w:vAlign w:val="center"/>
          </w:tcPr>
          <w:p>
            <w:pPr>
              <w:pStyle w:val="3238"/>
            </w:pPr>
            <w:r>
              <w:t>Y</w:t>
            </w:r>
          </w:p>
        </w:tc>
        <w:tc>
          <w:tcPr>
            <w:tcW w:w="469" w:type="pct"/>
            <w:vMerge w:val="continue"/>
            <w:shd w:val="clear" w:color="auto" w:fill="D8D8D8" w:themeFill="background1" w:themeFillShade="D9"/>
            <w:vAlign w:val="center"/>
          </w:tcPr>
          <w:p>
            <w:pPr>
              <w:pStyle w:val="3238"/>
            </w:pPr>
          </w:p>
        </w:tc>
        <w:tc>
          <w:tcPr>
            <w:tcW w:w="519" w:type="pct"/>
            <w:vMerge w:val="continue"/>
            <w:shd w:val="clear" w:color="auto" w:fill="D8D8D8" w:themeFill="background1" w:themeFillShade="D9"/>
            <w:vAlign w:val="center"/>
          </w:tcPr>
          <w:p>
            <w:pPr>
              <w:pStyle w:val="3238"/>
            </w:pPr>
          </w:p>
        </w:tc>
        <w:tc>
          <w:tcPr>
            <w:tcW w:w="353" w:type="pct"/>
            <w:vMerge w:val="continue"/>
            <w:shd w:val="clear" w:color="auto" w:fill="D8D8D8" w:themeFill="background1" w:themeFillShade="D9"/>
            <w:vAlign w:val="center"/>
          </w:tcPr>
          <w:p>
            <w:pPr>
              <w:pStyle w:val="3238"/>
            </w:pPr>
          </w:p>
        </w:tc>
        <w:tc>
          <w:tcPr>
            <w:tcW w:w="629" w:type="pct"/>
            <w:vMerge w:val="continue"/>
            <w:shd w:val="clear" w:color="auto" w:fill="D8D8D8" w:themeFill="background1" w:themeFillShade="D9"/>
            <w:vAlign w:val="center"/>
          </w:tcPr>
          <w:p>
            <w:pPr>
              <w:pStyle w:val="3238"/>
            </w:pPr>
          </w:p>
        </w:tc>
        <w:tc>
          <w:tcPr>
            <w:tcW w:w="408" w:type="pct"/>
            <w:vMerge w:val="continue"/>
            <w:shd w:val="clear" w:color="auto" w:fill="D8D8D8" w:themeFill="background1" w:themeFillShade="D9"/>
            <w:vAlign w:val="center"/>
          </w:tcPr>
          <w:p>
            <w:pPr>
              <w:pStyle w:val="3238"/>
            </w:pPr>
          </w:p>
        </w:tc>
        <w:tc>
          <w:tcPr>
            <w:tcW w:w="536" w:type="pct"/>
            <w:vMerge w:val="continue"/>
            <w:shd w:val="clear" w:color="auto" w:fill="D8D8D8" w:themeFill="background1" w:themeFillShade="D9"/>
            <w:vAlign w:val="center"/>
          </w:tcPr>
          <w:p>
            <w:pPr>
              <w:pStyle w:val="3238"/>
            </w:pPr>
          </w:p>
        </w:tc>
        <w:tc>
          <w:tcPr>
            <w:tcW w:w="351" w:type="pct"/>
            <w:vMerge w:val="continue"/>
            <w:shd w:val="clear" w:color="auto" w:fill="D8D8D8" w:themeFill="background1" w:themeFillShade="D9"/>
            <w:vAlign w:val="center"/>
          </w:tcPr>
          <w:p>
            <w:pPr>
              <w:pStyle w:val="3238"/>
            </w:pPr>
          </w:p>
        </w:tc>
        <w:tc>
          <w:tcPr>
            <w:tcW w:w="486" w:type="pct"/>
            <w:shd w:val="clear" w:color="auto" w:fill="D8D8D8" w:themeFill="background1" w:themeFillShade="D9"/>
            <w:vAlign w:val="center"/>
          </w:tcPr>
          <w:p>
            <w:pPr>
              <w:pStyle w:val="3238"/>
            </w:pPr>
            <w:r>
              <w:t>PM</w:t>
            </w:r>
            <w:r>
              <w:rPr>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67" w:type="pct"/>
            <w:shd w:val="clear" w:color="auto" w:fill="auto"/>
            <w:vAlign w:val="center"/>
          </w:tcPr>
          <w:p>
            <w:pPr>
              <w:pStyle w:val="3238"/>
              <w:rPr>
                <w:b/>
              </w:rPr>
            </w:pPr>
            <w:r>
              <w:t>DA001</w:t>
            </w:r>
          </w:p>
        </w:tc>
        <w:tc>
          <w:tcPr>
            <w:tcW w:w="391" w:type="pct"/>
            <w:shd w:val="clear" w:color="auto" w:fill="auto"/>
            <w:vAlign w:val="center"/>
          </w:tcPr>
          <w:p>
            <w:pPr>
              <w:pStyle w:val="3238"/>
              <w:rPr>
                <w:b/>
              </w:rPr>
            </w:pPr>
            <w:r>
              <w:t>940</w:t>
            </w:r>
          </w:p>
        </w:tc>
        <w:tc>
          <w:tcPr>
            <w:tcW w:w="391" w:type="pct"/>
            <w:shd w:val="clear" w:color="auto" w:fill="auto"/>
            <w:vAlign w:val="center"/>
          </w:tcPr>
          <w:p>
            <w:pPr>
              <w:pStyle w:val="3238"/>
              <w:rPr>
                <w:b/>
              </w:rPr>
            </w:pPr>
            <w:r>
              <w:t>527</w:t>
            </w:r>
          </w:p>
        </w:tc>
        <w:tc>
          <w:tcPr>
            <w:tcW w:w="469" w:type="pct"/>
            <w:shd w:val="clear" w:color="auto" w:fill="auto"/>
            <w:vAlign w:val="center"/>
          </w:tcPr>
          <w:p>
            <w:pPr>
              <w:pStyle w:val="3238"/>
              <w:rPr>
                <w:b/>
              </w:rPr>
            </w:pPr>
            <w:r>
              <w:t>310</w:t>
            </w:r>
          </w:p>
        </w:tc>
        <w:tc>
          <w:tcPr>
            <w:tcW w:w="519" w:type="pct"/>
            <w:shd w:val="clear" w:color="auto" w:fill="auto"/>
            <w:vAlign w:val="center"/>
          </w:tcPr>
          <w:p>
            <w:pPr>
              <w:pStyle w:val="3238"/>
              <w:rPr>
                <w:b/>
              </w:rPr>
            </w:pPr>
            <w:r>
              <w:t>15</w:t>
            </w:r>
          </w:p>
        </w:tc>
        <w:tc>
          <w:tcPr>
            <w:tcW w:w="353" w:type="pct"/>
            <w:vAlign w:val="center"/>
          </w:tcPr>
          <w:p>
            <w:pPr>
              <w:pStyle w:val="3238"/>
              <w:rPr>
                <w:b/>
              </w:rPr>
            </w:pPr>
            <w:r>
              <w:t>0.3</w:t>
            </w:r>
          </w:p>
        </w:tc>
        <w:tc>
          <w:tcPr>
            <w:tcW w:w="629" w:type="pct"/>
            <w:shd w:val="clear" w:color="auto" w:fill="auto"/>
            <w:vAlign w:val="center"/>
          </w:tcPr>
          <w:p>
            <w:pPr>
              <w:pStyle w:val="3238"/>
              <w:rPr>
                <w:b/>
              </w:rPr>
            </w:pPr>
            <w:r>
              <w:t>19.6/5000</w:t>
            </w:r>
          </w:p>
        </w:tc>
        <w:tc>
          <w:tcPr>
            <w:tcW w:w="408" w:type="pct"/>
            <w:shd w:val="clear" w:color="auto" w:fill="auto"/>
            <w:vAlign w:val="center"/>
          </w:tcPr>
          <w:p>
            <w:pPr>
              <w:pStyle w:val="3238"/>
              <w:rPr>
                <w:b/>
              </w:rPr>
            </w:pPr>
            <w:r>
              <w:t>常温</w:t>
            </w:r>
          </w:p>
        </w:tc>
        <w:tc>
          <w:tcPr>
            <w:tcW w:w="536" w:type="pct"/>
            <w:shd w:val="clear" w:color="auto" w:fill="auto"/>
            <w:vAlign w:val="center"/>
          </w:tcPr>
          <w:p>
            <w:pPr>
              <w:pStyle w:val="3238"/>
              <w:rPr>
                <w:b/>
              </w:rPr>
            </w:pPr>
            <w:r>
              <w:t>4000</w:t>
            </w:r>
          </w:p>
        </w:tc>
        <w:tc>
          <w:tcPr>
            <w:tcW w:w="351" w:type="pct"/>
            <w:shd w:val="clear" w:color="auto" w:fill="auto"/>
            <w:vAlign w:val="center"/>
          </w:tcPr>
          <w:p>
            <w:pPr>
              <w:pStyle w:val="3238"/>
              <w:rPr>
                <w:b/>
              </w:rPr>
            </w:pPr>
            <w:r>
              <w:t>正常</w:t>
            </w:r>
          </w:p>
        </w:tc>
        <w:tc>
          <w:tcPr>
            <w:tcW w:w="486" w:type="pct"/>
            <w:shd w:val="clear" w:color="auto" w:fill="auto"/>
            <w:vAlign w:val="center"/>
          </w:tcPr>
          <w:p>
            <w:pPr>
              <w:pStyle w:val="3238"/>
              <w:rPr>
                <w:b/>
              </w:rPr>
            </w:pPr>
            <w:r>
              <w:t>0.091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67" w:type="pct"/>
            <w:shd w:val="clear" w:color="auto" w:fill="auto"/>
            <w:vAlign w:val="center"/>
          </w:tcPr>
          <w:p>
            <w:pPr>
              <w:pStyle w:val="3238"/>
              <w:rPr>
                <w:b/>
              </w:rPr>
            </w:pPr>
            <w:r>
              <w:t>DA002</w:t>
            </w:r>
          </w:p>
        </w:tc>
        <w:tc>
          <w:tcPr>
            <w:tcW w:w="391" w:type="pct"/>
            <w:shd w:val="clear" w:color="auto" w:fill="auto"/>
            <w:vAlign w:val="center"/>
          </w:tcPr>
          <w:p>
            <w:pPr>
              <w:pStyle w:val="3238"/>
              <w:rPr>
                <w:b/>
              </w:rPr>
            </w:pPr>
            <w:r>
              <w:t>905</w:t>
            </w:r>
          </w:p>
        </w:tc>
        <w:tc>
          <w:tcPr>
            <w:tcW w:w="391" w:type="pct"/>
            <w:shd w:val="clear" w:color="auto" w:fill="auto"/>
            <w:vAlign w:val="center"/>
          </w:tcPr>
          <w:p>
            <w:pPr>
              <w:pStyle w:val="3238"/>
              <w:rPr>
                <w:b/>
              </w:rPr>
            </w:pPr>
            <w:r>
              <w:t>510</w:t>
            </w:r>
          </w:p>
        </w:tc>
        <w:tc>
          <w:tcPr>
            <w:tcW w:w="469" w:type="pct"/>
            <w:shd w:val="clear" w:color="auto" w:fill="auto"/>
            <w:vAlign w:val="center"/>
          </w:tcPr>
          <w:p>
            <w:pPr>
              <w:pStyle w:val="3238"/>
              <w:rPr>
                <w:b/>
              </w:rPr>
            </w:pPr>
            <w:r>
              <w:t>304</w:t>
            </w:r>
          </w:p>
        </w:tc>
        <w:tc>
          <w:tcPr>
            <w:tcW w:w="519" w:type="pct"/>
            <w:shd w:val="clear" w:color="auto" w:fill="auto"/>
            <w:vAlign w:val="center"/>
          </w:tcPr>
          <w:p>
            <w:pPr>
              <w:pStyle w:val="3238"/>
              <w:rPr>
                <w:b/>
              </w:rPr>
            </w:pPr>
            <w:r>
              <w:t>15</w:t>
            </w:r>
          </w:p>
        </w:tc>
        <w:tc>
          <w:tcPr>
            <w:tcW w:w="353" w:type="pct"/>
            <w:vAlign w:val="center"/>
          </w:tcPr>
          <w:p>
            <w:pPr>
              <w:pStyle w:val="3238"/>
              <w:rPr>
                <w:b/>
              </w:rPr>
            </w:pPr>
            <w:r>
              <w:t>0.3</w:t>
            </w:r>
          </w:p>
        </w:tc>
        <w:tc>
          <w:tcPr>
            <w:tcW w:w="629" w:type="pct"/>
            <w:shd w:val="clear" w:color="auto" w:fill="auto"/>
            <w:vAlign w:val="center"/>
          </w:tcPr>
          <w:p>
            <w:pPr>
              <w:pStyle w:val="3238"/>
              <w:rPr>
                <w:b/>
              </w:rPr>
            </w:pPr>
            <w:r>
              <w:t>19.6/5000</w:t>
            </w:r>
          </w:p>
        </w:tc>
        <w:tc>
          <w:tcPr>
            <w:tcW w:w="408" w:type="pct"/>
            <w:shd w:val="clear" w:color="auto" w:fill="auto"/>
            <w:vAlign w:val="center"/>
          </w:tcPr>
          <w:p>
            <w:pPr>
              <w:pStyle w:val="3238"/>
              <w:rPr>
                <w:b/>
              </w:rPr>
            </w:pPr>
            <w:r>
              <w:t>常温</w:t>
            </w:r>
          </w:p>
        </w:tc>
        <w:tc>
          <w:tcPr>
            <w:tcW w:w="536" w:type="pct"/>
            <w:shd w:val="clear" w:color="auto" w:fill="auto"/>
            <w:vAlign w:val="center"/>
          </w:tcPr>
          <w:p>
            <w:pPr>
              <w:spacing w:line="240" w:lineRule="auto"/>
              <w:ind w:firstLine="0" w:firstLineChars="0"/>
              <w:jc w:val="center"/>
              <w:rPr>
                <w:sz w:val="21"/>
                <w:szCs w:val="21"/>
              </w:rPr>
            </w:pPr>
            <w:r>
              <w:rPr>
                <w:sz w:val="21"/>
                <w:szCs w:val="21"/>
              </w:rPr>
              <w:t>4000</w:t>
            </w:r>
          </w:p>
        </w:tc>
        <w:tc>
          <w:tcPr>
            <w:tcW w:w="351" w:type="pct"/>
            <w:shd w:val="clear" w:color="auto" w:fill="auto"/>
            <w:vAlign w:val="center"/>
          </w:tcPr>
          <w:p>
            <w:pPr>
              <w:pStyle w:val="3238"/>
              <w:rPr>
                <w:b/>
              </w:rPr>
            </w:pPr>
            <w:r>
              <w:t>正常</w:t>
            </w:r>
          </w:p>
        </w:tc>
        <w:tc>
          <w:tcPr>
            <w:tcW w:w="486" w:type="pct"/>
            <w:shd w:val="clear" w:color="auto" w:fill="auto"/>
            <w:vAlign w:val="center"/>
          </w:tcPr>
          <w:p>
            <w:pPr>
              <w:pStyle w:val="3238"/>
              <w:rPr>
                <w:b/>
              </w:rPr>
            </w:pPr>
            <w:r>
              <w:t>0.053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67" w:type="pct"/>
            <w:shd w:val="clear" w:color="auto" w:fill="auto"/>
            <w:vAlign w:val="center"/>
          </w:tcPr>
          <w:p>
            <w:pPr>
              <w:pStyle w:val="3238"/>
              <w:rPr>
                <w:b/>
              </w:rPr>
            </w:pPr>
            <w:r>
              <w:t>DA003</w:t>
            </w:r>
          </w:p>
        </w:tc>
        <w:tc>
          <w:tcPr>
            <w:tcW w:w="391" w:type="pct"/>
            <w:shd w:val="clear" w:color="auto" w:fill="auto"/>
            <w:vAlign w:val="center"/>
          </w:tcPr>
          <w:p>
            <w:pPr>
              <w:pStyle w:val="3238"/>
              <w:rPr>
                <w:b/>
                <w:snapToGrid w:val="0"/>
              </w:rPr>
            </w:pPr>
            <w:r>
              <w:rPr>
                <w:snapToGrid w:val="0"/>
              </w:rPr>
              <w:t>910</w:t>
            </w:r>
          </w:p>
        </w:tc>
        <w:tc>
          <w:tcPr>
            <w:tcW w:w="391" w:type="pct"/>
            <w:shd w:val="clear" w:color="auto" w:fill="auto"/>
            <w:vAlign w:val="center"/>
          </w:tcPr>
          <w:p>
            <w:pPr>
              <w:pStyle w:val="3238"/>
              <w:rPr>
                <w:b/>
                <w:snapToGrid w:val="0"/>
              </w:rPr>
            </w:pPr>
            <w:r>
              <w:rPr>
                <w:snapToGrid w:val="0"/>
              </w:rPr>
              <w:t>548</w:t>
            </w:r>
          </w:p>
        </w:tc>
        <w:tc>
          <w:tcPr>
            <w:tcW w:w="469" w:type="pct"/>
            <w:shd w:val="clear" w:color="auto" w:fill="auto"/>
            <w:vAlign w:val="center"/>
          </w:tcPr>
          <w:p>
            <w:pPr>
              <w:pStyle w:val="3238"/>
              <w:rPr>
                <w:b/>
              </w:rPr>
            </w:pPr>
            <w:r>
              <w:t>297</w:t>
            </w:r>
          </w:p>
        </w:tc>
        <w:tc>
          <w:tcPr>
            <w:tcW w:w="519" w:type="pct"/>
            <w:shd w:val="clear" w:color="auto" w:fill="auto"/>
            <w:vAlign w:val="center"/>
          </w:tcPr>
          <w:p>
            <w:pPr>
              <w:pStyle w:val="3238"/>
              <w:rPr>
                <w:b/>
              </w:rPr>
            </w:pPr>
            <w:r>
              <w:t>15</w:t>
            </w:r>
          </w:p>
        </w:tc>
        <w:tc>
          <w:tcPr>
            <w:tcW w:w="353" w:type="pct"/>
            <w:vAlign w:val="center"/>
          </w:tcPr>
          <w:p>
            <w:pPr>
              <w:pStyle w:val="3238"/>
              <w:rPr>
                <w:b/>
              </w:rPr>
            </w:pPr>
            <w:r>
              <w:t>0.75</w:t>
            </w:r>
          </w:p>
        </w:tc>
        <w:tc>
          <w:tcPr>
            <w:tcW w:w="629" w:type="pct"/>
            <w:shd w:val="clear" w:color="auto" w:fill="auto"/>
            <w:vAlign w:val="center"/>
          </w:tcPr>
          <w:p>
            <w:pPr>
              <w:pStyle w:val="3238"/>
              <w:rPr>
                <w:b/>
              </w:rPr>
            </w:pPr>
            <w:r>
              <w:t>15.7/25000</w:t>
            </w:r>
          </w:p>
        </w:tc>
        <w:tc>
          <w:tcPr>
            <w:tcW w:w="408" w:type="pct"/>
            <w:shd w:val="clear" w:color="auto" w:fill="auto"/>
            <w:vAlign w:val="center"/>
          </w:tcPr>
          <w:p>
            <w:pPr>
              <w:pStyle w:val="3238"/>
              <w:rPr>
                <w:b/>
              </w:rPr>
            </w:pPr>
            <w:r>
              <w:t>常温</w:t>
            </w:r>
          </w:p>
        </w:tc>
        <w:tc>
          <w:tcPr>
            <w:tcW w:w="536" w:type="pct"/>
            <w:shd w:val="clear" w:color="auto" w:fill="auto"/>
            <w:vAlign w:val="center"/>
          </w:tcPr>
          <w:p>
            <w:pPr>
              <w:spacing w:line="240" w:lineRule="auto"/>
              <w:ind w:firstLine="0" w:firstLineChars="0"/>
              <w:jc w:val="center"/>
              <w:rPr>
                <w:sz w:val="21"/>
                <w:szCs w:val="21"/>
              </w:rPr>
            </w:pPr>
            <w:r>
              <w:rPr>
                <w:sz w:val="21"/>
                <w:szCs w:val="21"/>
              </w:rPr>
              <w:t>4000</w:t>
            </w:r>
          </w:p>
        </w:tc>
        <w:tc>
          <w:tcPr>
            <w:tcW w:w="351" w:type="pct"/>
            <w:shd w:val="clear" w:color="auto" w:fill="auto"/>
            <w:vAlign w:val="center"/>
          </w:tcPr>
          <w:p>
            <w:pPr>
              <w:pStyle w:val="3238"/>
              <w:rPr>
                <w:b/>
              </w:rPr>
            </w:pPr>
            <w:r>
              <w:t>正常</w:t>
            </w:r>
          </w:p>
        </w:tc>
        <w:tc>
          <w:tcPr>
            <w:tcW w:w="486" w:type="pct"/>
            <w:shd w:val="clear" w:color="auto" w:fill="auto"/>
            <w:vAlign w:val="center"/>
          </w:tcPr>
          <w:p>
            <w:pPr>
              <w:pStyle w:val="3238"/>
              <w:rPr>
                <w:b/>
              </w:rPr>
            </w:pPr>
            <w:r>
              <w:t>0.091</w:t>
            </w:r>
          </w:p>
        </w:tc>
      </w:tr>
    </w:tbl>
    <w:p>
      <w:pPr>
        <w:pStyle w:val="84"/>
      </w:pPr>
      <w:r>
        <w:t>表6.2-12   面源参数表</w:t>
      </w:r>
    </w:p>
    <w:tbl>
      <w:tblPr>
        <w:tblStyle w:val="319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892"/>
        <w:gridCol w:w="617"/>
        <w:gridCol w:w="617"/>
        <w:gridCol w:w="893"/>
        <w:gridCol w:w="893"/>
        <w:gridCol w:w="893"/>
        <w:gridCol w:w="893"/>
        <w:gridCol w:w="893"/>
        <w:gridCol w:w="761"/>
        <w:gridCol w:w="1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3" w:hRule="atLeast"/>
          <w:jc w:val="center"/>
        </w:trPr>
        <w:tc>
          <w:tcPr>
            <w:tcW w:w="483"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名称</w:t>
            </w:r>
          </w:p>
        </w:tc>
        <w:tc>
          <w:tcPr>
            <w:tcW w:w="1114" w:type="pct"/>
            <w:gridSpan w:val="3"/>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矩形面源中心坐标/m</w:t>
            </w:r>
          </w:p>
        </w:tc>
        <w:tc>
          <w:tcPr>
            <w:tcW w:w="485"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面源长度/m</w:t>
            </w:r>
          </w:p>
        </w:tc>
        <w:tc>
          <w:tcPr>
            <w:tcW w:w="485"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面源宽度/m</w:t>
            </w:r>
          </w:p>
        </w:tc>
        <w:tc>
          <w:tcPr>
            <w:tcW w:w="485"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与正北向夹角/°</w:t>
            </w:r>
          </w:p>
        </w:tc>
        <w:tc>
          <w:tcPr>
            <w:tcW w:w="485"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面源有效排放高度/m</w:t>
            </w:r>
          </w:p>
        </w:tc>
        <w:tc>
          <w:tcPr>
            <w:tcW w:w="485"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年排放小时数/h</w:t>
            </w:r>
          </w:p>
        </w:tc>
        <w:tc>
          <w:tcPr>
            <w:tcW w:w="414" w:type="pct"/>
            <w:vMerge w:val="restart"/>
            <w:tcBorders>
              <w:bottom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排放工况</w:t>
            </w:r>
          </w:p>
        </w:tc>
        <w:tc>
          <w:tcPr>
            <w:tcW w:w="565"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3" w:hRule="atLeast"/>
          <w:jc w:val="center"/>
        </w:trPr>
        <w:tc>
          <w:tcPr>
            <w:tcW w:w="483"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5" w:type="pc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X</w:t>
            </w:r>
          </w:p>
        </w:tc>
        <w:tc>
          <w:tcPr>
            <w:tcW w:w="312" w:type="pc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Y</w:t>
            </w:r>
          </w:p>
        </w:tc>
        <w:tc>
          <w:tcPr>
            <w:tcW w:w="317" w:type="pct"/>
            <w:shd w:val="clear" w:color="auto" w:fill="D8D8D8" w:themeFill="background1" w:themeFillShade="D9"/>
            <w:vAlign w:val="center"/>
          </w:tcPr>
          <w:p>
            <w:pPr>
              <w:spacing w:line="240" w:lineRule="auto"/>
              <w:ind w:firstLine="0" w:firstLineChars="0"/>
              <w:jc w:val="center"/>
              <w:rPr>
                <w:b/>
                <w:bCs/>
                <w:kern w:val="0"/>
                <w:sz w:val="21"/>
                <w:szCs w:val="21"/>
              </w:rPr>
            </w:pPr>
            <w:r>
              <w:rPr>
                <w:b/>
                <w:bCs/>
                <w:kern w:val="0"/>
                <w:sz w:val="21"/>
                <w:szCs w:val="21"/>
              </w:rPr>
              <w:t>Z</w:t>
            </w:r>
          </w:p>
        </w:tc>
        <w:tc>
          <w:tcPr>
            <w:tcW w:w="48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8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14"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565" w:type="pct"/>
            <w:shd w:val="clear" w:color="auto" w:fill="D8D8D8" w:themeFill="background1" w:themeFillShade="D9"/>
            <w:vAlign w:val="center"/>
          </w:tcPr>
          <w:p>
            <w:pPr>
              <w:spacing w:line="240" w:lineRule="auto"/>
              <w:ind w:firstLine="198" w:firstLineChars="94"/>
              <w:rPr>
                <w:b/>
                <w:bCs/>
                <w:kern w:val="0"/>
                <w:sz w:val="21"/>
                <w:szCs w:val="21"/>
              </w:rPr>
            </w:pPr>
            <w:r>
              <w:rPr>
                <w:b/>
                <w:bCs/>
                <w:kern w:val="0"/>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83" w:type="pct"/>
            <w:vAlign w:val="center"/>
          </w:tcPr>
          <w:p>
            <w:pPr>
              <w:widowControl/>
              <w:adjustRightInd/>
              <w:snapToGrid/>
              <w:spacing w:line="240" w:lineRule="auto"/>
              <w:ind w:firstLine="0" w:firstLineChars="0"/>
              <w:jc w:val="center"/>
              <w:rPr>
                <w:kern w:val="0"/>
                <w:sz w:val="21"/>
                <w:szCs w:val="21"/>
              </w:rPr>
            </w:pPr>
            <w:r>
              <w:rPr>
                <w:kern w:val="0"/>
                <w:sz w:val="21"/>
                <w:szCs w:val="21"/>
              </w:rPr>
              <w:t>采区</w:t>
            </w:r>
          </w:p>
        </w:tc>
        <w:tc>
          <w:tcPr>
            <w:tcW w:w="485" w:type="pct"/>
            <w:vAlign w:val="center"/>
          </w:tcPr>
          <w:p>
            <w:pPr>
              <w:widowControl/>
              <w:adjustRightInd/>
              <w:snapToGrid/>
              <w:spacing w:line="240" w:lineRule="auto"/>
              <w:ind w:firstLine="0" w:firstLineChars="0"/>
              <w:jc w:val="center"/>
              <w:rPr>
                <w:kern w:val="0"/>
                <w:sz w:val="21"/>
                <w:szCs w:val="21"/>
              </w:rPr>
            </w:pPr>
            <w:r>
              <w:rPr>
                <w:kern w:val="0"/>
                <w:sz w:val="21"/>
                <w:szCs w:val="21"/>
              </w:rPr>
              <w:t>12</w:t>
            </w:r>
          </w:p>
        </w:tc>
        <w:tc>
          <w:tcPr>
            <w:tcW w:w="312" w:type="pct"/>
            <w:vAlign w:val="center"/>
          </w:tcPr>
          <w:p>
            <w:pPr>
              <w:widowControl/>
              <w:adjustRightInd/>
              <w:snapToGrid/>
              <w:spacing w:line="240" w:lineRule="auto"/>
              <w:ind w:firstLine="0" w:firstLineChars="0"/>
              <w:jc w:val="center"/>
              <w:rPr>
                <w:kern w:val="0"/>
                <w:sz w:val="21"/>
                <w:szCs w:val="21"/>
              </w:rPr>
            </w:pPr>
            <w:r>
              <w:rPr>
                <w:kern w:val="0"/>
                <w:sz w:val="21"/>
                <w:szCs w:val="21"/>
              </w:rPr>
              <w:t>-27</w:t>
            </w:r>
          </w:p>
        </w:tc>
        <w:tc>
          <w:tcPr>
            <w:tcW w:w="317" w:type="pct"/>
            <w:vAlign w:val="center"/>
          </w:tcPr>
          <w:p>
            <w:pPr>
              <w:widowControl/>
              <w:adjustRightInd/>
              <w:snapToGrid/>
              <w:spacing w:line="240" w:lineRule="auto"/>
              <w:ind w:firstLine="0" w:firstLineChars="0"/>
              <w:jc w:val="center"/>
              <w:rPr>
                <w:sz w:val="21"/>
                <w:szCs w:val="21"/>
              </w:rPr>
            </w:pPr>
            <w:r>
              <w:rPr>
                <w:sz w:val="21"/>
                <w:szCs w:val="21"/>
              </w:rPr>
              <w:t>333</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350</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180</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30</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10</w:t>
            </w:r>
          </w:p>
        </w:tc>
        <w:tc>
          <w:tcPr>
            <w:tcW w:w="485" w:type="pct"/>
            <w:vAlign w:val="center"/>
          </w:tcPr>
          <w:p>
            <w:pPr>
              <w:widowControl/>
              <w:adjustRightInd/>
              <w:snapToGrid/>
              <w:spacing w:line="240" w:lineRule="auto"/>
              <w:ind w:firstLine="0" w:firstLineChars="0"/>
              <w:rPr>
                <w:kern w:val="0"/>
                <w:sz w:val="21"/>
                <w:szCs w:val="21"/>
              </w:rPr>
            </w:pPr>
            <w:r>
              <w:rPr>
                <w:sz w:val="21"/>
              </w:rPr>
              <w:t>4000</w:t>
            </w:r>
          </w:p>
        </w:tc>
        <w:tc>
          <w:tcPr>
            <w:tcW w:w="414" w:type="pct"/>
            <w:vAlign w:val="center"/>
          </w:tcPr>
          <w:p>
            <w:pPr>
              <w:widowControl/>
              <w:adjustRightInd/>
              <w:snapToGrid/>
              <w:spacing w:line="240" w:lineRule="auto"/>
              <w:ind w:firstLine="0" w:firstLineChars="0"/>
              <w:jc w:val="center"/>
              <w:rPr>
                <w:kern w:val="0"/>
                <w:sz w:val="21"/>
                <w:szCs w:val="21"/>
              </w:rPr>
            </w:pPr>
            <w:r>
              <w:rPr>
                <w:kern w:val="0"/>
                <w:sz w:val="21"/>
                <w:szCs w:val="21"/>
              </w:rPr>
              <w:t>正常</w:t>
            </w:r>
          </w:p>
        </w:tc>
        <w:tc>
          <w:tcPr>
            <w:tcW w:w="565" w:type="pct"/>
            <w:vAlign w:val="center"/>
          </w:tcPr>
          <w:p>
            <w:pPr>
              <w:widowControl/>
              <w:adjustRightInd/>
              <w:snapToGrid/>
              <w:spacing w:line="240" w:lineRule="auto"/>
              <w:ind w:firstLine="0" w:firstLineChars="0"/>
              <w:jc w:val="center"/>
              <w:rPr>
                <w:sz w:val="21"/>
                <w:szCs w:val="21"/>
              </w:rPr>
            </w:pPr>
            <w:r>
              <w:rPr>
                <w:sz w:val="21"/>
                <w:szCs w:val="21"/>
              </w:rPr>
              <w:t>0.810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83" w:type="pct"/>
            <w:vAlign w:val="center"/>
          </w:tcPr>
          <w:p>
            <w:pPr>
              <w:widowControl/>
              <w:adjustRightInd/>
              <w:snapToGrid/>
              <w:spacing w:line="240" w:lineRule="auto"/>
              <w:ind w:firstLine="0" w:firstLineChars="0"/>
              <w:jc w:val="center"/>
              <w:rPr>
                <w:kern w:val="0"/>
                <w:sz w:val="21"/>
                <w:szCs w:val="21"/>
              </w:rPr>
            </w:pPr>
            <w:r>
              <w:rPr>
                <w:kern w:val="0"/>
                <w:sz w:val="21"/>
                <w:szCs w:val="21"/>
              </w:rPr>
              <w:t>工业场地</w:t>
            </w:r>
          </w:p>
        </w:tc>
        <w:tc>
          <w:tcPr>
            <w:tcW w:w="485" w:type="pct"/>
            <w:vAlign w:val="center"/>
          </w:tcPr>
          <w:p>
            <w:pPr>
              <w:widowControl/>
              <w:adjustRightInd/>
              <w:snapToGrid/>
              <w:spacing w:line="240" w:lineRule="auto"/>
              <w:ind w:firstLine="0" w:firstLineChars="0"/>
              <w:jc w:val="center"/>
              <w:rPr>
                <w:kern w:val="0"/>
                <w:sz w:val="21"/>
                <w:szCs w:val="21"/>
              </w:rPr>
            </w:pPr>
            <w:r>
              <w:rPr>
                <w:kern w:val="0"/>
                <w:sz w:val="21"/>
                <w:szCs w:val="21"/>
              </w:rPr>
              <w:t>912</w:t>
            </w:r>
          </w:p>
        </w:tc>
        <w:tc>
          <w:tcPr>
            <w:tcW w:w="312" w:type="pct"/>
            <w:vAlign w:val="center"/>
          </w:tcPr>
          <w:p>
            <w:pPr>
              <w:widowControl/>
              <w:adjustRightInd/>
              <w:snapToGrid/>
              <w:spacing w:line="240" w:lineRule="auto"/>
              <w:ind w:firstLine="0" w:firstLineChars="0"/>
              <w:jc w:val="center"/>
              <w:rPr>
                <w:kern w:val="0"/>
                <w:sz w:val="21"/>
                <w:szCs w:val="21"/>
              </w:rPr>
            </w:pPr>
            <w:r>
              <w:rPr>
                <w:kern w:val="0"/>
                <w:sz w:val="21"/>
                <w:szCs w:val="21"/>
              </w:rPr>
              <w:t>540</w:t>
            </w:r>
          </w:p>
        </w:tc>
        <w:tc>
          <w:tcPr>
            <w:tcW w:w="317" w:type="pct"/>
            <w:vAlign w:val="center"/>
          </w:tcPr>
          <w:p>
            <w:pPr>
              <w:widowControl/>
              <w:adjustRightInd/>
              <w:snapToGrid/>
              <w:spacing w:line="240" w:lineRule="auto"/>
              <w:ind w:firstLine="0" w:firstLineChars="0"/>
              <w:jc w:val="center"/>
              <w:rPr>
                <w:kern w:val="0"/>
                <w:sz w:val="21"/>
                <w:szCs w:val="21"/>
              </w:rPr>
            </w:pPr>
            <w:r>
              <w:rPr>
                <w:kern w:val="0"/>
                <w:sz w:val="21"/>
                <w:szCs w:val="21"/>
              </w:rPr>
              <w:t>299</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170</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45</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36</w:t>
            </w:r>
          </w:p>
        </w:tc>
        <w:tc>
          <w:tcPr>
            <w:tcW w:w="485" w:type="pct"/>
            <w:vAlign w:val="center"/>
          </w:tcPr>
          <w:p>
            <w:pPr>
              <w:widowControl/>
              <w:adjustRightInd/>
              <w:snapToGrid/>
              <w:spacing w:line="240" w:lineRule="auto"/>
              <w:ind w:firstLine="0" w:firstLineChars="0"/>
              <w:jc w:val="center"/>
              <w:rPr>
                <w:kern w:val="0"/>
                <w:sz w:val="21"/>
                <w:szCs w:val="21"/>
              </w:rPr>
            </w:pPr>
            <w:r>
              <w:rPr>
                <w:sz w:val="21"/>
                <w:szCs w:val="21"/>
              </w:rPr>
              <w:t>10</w:t>
            </w:r>
          </w:p>
        </w:tc>
        <w:tc>
          <w:tcPr>
            <w:tcW w:w="485" w:type="pct"/>
            <w:vAlign w:val="center"/>
          </w:tcPr>
          <w:p>
            <w:pPr>
              <w:widowControl/>
              <w:adjustRightInd/>
              <w:snapToGrid/>
              <w:spacing w:line="240" w:lineRule="auto"/>
              <w:ind w:firstLine="0" w:firstLineChars="0"/>
              <w:rPr>
                <w:kern w:val="0"/>
                <w:sz w:val="21"/>
                <w:szCs w:val="21"/>
              </w:rPr>
            </w:pPr>
            <w:r>
              <w:rPr>
                <w:sz w:val="21"/>
              </w:rPr>
              <w:t>4000</w:t>
            </w:r>
          </w:p>
        </w:tc>
        <w:tc>
          <w:tcPr>
            <w:tcW w:w="414" w:type="pct"/>
            <w:vAlign w:val="center"/>
          </w:tcPr>
          <w:p>
            <w:pPr>
              <w:widowControl/>
              <w:adjustRightInd/>
              <w:snapToGrid/>
              <w:spacing w:line="240" w:lineRule="auto"/>
              <w:ind w:firstLine="0" w:firstLineChars="0"/>
              <w:jc w:val="center"/>
              <w:rPr>
                <w:kern w:val="0"/>
                <w:sz w:val="21"/>
                <w:szCs w:val="21"/>
              </w:rPr>
            </w:pPr>
            <w:r>
              <w:rPr>
                <w:kern w:val="0"/>
                <w:sz w:val="21"/>
                <w:szCs w:val="21"/>
              </w:rPr>
              <w:t>正常</w:t>
            </w:r>
          </w:p>
        </w:tc>
        <w:tc>
          <w:tcPr>
            <w:tcW w:w="565" w:type="pct"/>
            <w:vAlign w:val="center"/>
          </w:tcPr>
          <w:p>
            <w:pPr>
              <w:widowControl/>
              <w:adjustRightInd/>
              <w:snapToGrid/>
              <w:spacing w:line="240" w:lineRule="auto"/>
              <w:ind w:firstLine="0" w:firstLineChars="0"/>
              <w:jc w:val="center"/>
              <w:rPr>
                <w:sz w:val="21"/>
                <w:szCs w:val="21"/>
              </w:rPr>
            </w:pPr>
            <w:r>
              <w:rPr>
                <w:sz w:val="21"/>
                <w:szCs w:val="21"/>
              </w:rPr>
              <w:t>0.095</w:t>
            </w:r>
          </w:p>
        </w:tc>
      </w:tr>
    </w:tbl>
    <w:p>
      <w:pPr>
        <w:pStyle w:val="3219"/>
        <w:rPr>
          <w:color w:val="auto"/>
          <w:lang w:bidi="en-US"/>
        </w:rPr>
      </w:pPr>
      <w:r>
        <w:rPr>
          <w:color w:val="auto"/>
          <w:lang w:bidi="en-US"/>
        </w:rPr>
        <w:t>（2）区域削减源强</w:t>
      </w:r>
    </w:p>
    <w:p>
      <w:pPr>
        <w:pStyle w:val="3219"/>
        <w:rPr>
          <w:color w:val="auto"/>
          <w:lang w:bidi="en-US"/>
        </w:rPr>
      </w:pPr>
      <w:r>
        <w:rPr>
          <w:color w:val="auto"/>
          <w:lang w:bidi="en-US"/>
        </w:rPr>
        <w:t>本评价将现有工程的污染源作为区域削减，见表6.2-13~表6.2-14.</w:t>
      </w:r>
    </w:p>
    <w:p>
      <w:pPr>
        <w:pStyle w:val="84"/>
      </w:pPr>
      <w:r>
        <w:t>表6.2-13   区域现有削减点源参数表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9"/>
        <w:gridCol w:w="704"/>
        <w:gridCol w:w="841"/>
        <w:gridCol w:w="984"/>
        <w:gridCol w:w="776"/>
        <w:gridCol w:w="684"/>
        <w:gridCol w:w="1423"/>
        <w:gridCol w:w="595"/>
        <w:gridCol w:w="811"/>
        <w:gridCol w:w="648"/>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trPr>
        <w:tc>
          <w:tcPr>
            <w:tcW w:w="461" w:type="pct"/>
            <w:vMerge w:val="restart"/>
            <w:shd w:val="clear" w:color="auto" w:fill="D8D8D8" w:themeFill="background1" w:themeFillShade="D9"/>
            <w:vAlign w:val="center"/>
          </w:tcPr>
          <w:p>
            <w:pPr>
              <w:pStyle w:val="3238"/>
              <w:rPr>
                <w:b/>
              </w:rPr>
            </w:pPr>
            <w:r>
              <w:t>排气筒编号</w:t>
            </w:r>
          </w:p>
        </w:tc>
        <w:tc>
          <w:tcPr>
            <w:tcW w:w="867" w:type="pct"/>
            <w:gridSpan w:val="2"/>
            <w:shd w:val="clear" w:color="auto" w:fill="D8D8D8" w:themeFill="background1" w:themeFillShade="D9"/>
            <w:vAlign w:val="center"/>
          </w:tcPr>
          <w:p>
            <w:pPr>
              <w:pStyle w:val="3238"/>
              <w:rPr>
                <w:b/>
              </w:rPr>
            </w:pPr>
            <w:r>
              <w:t>排气筒底部中心坐标/m</w:t>
            </w:r>
          </w:p>
        </w:tc>
        <w:tc>
          <w:tcPr>
            <w:tcW w:w="547" w:type="pct"/>
            <w:vMerge w:val="restart"/>
            <w:shd w:val="clear" w:color="auto" w:fill="D8D8D8" w:themeFill="background1" w:themeFillShade="D9"/>
            <w:vAlign w:val="center"/>
          </w:tcPr>
          <w:p>
            <w:pPr>
              <w:pStyle w:val="3238"/>
              <w:rPr>
                <w:b/>
              </w:rPr>
            </w:pPr>
            <w:r>
              <w:t>排气筒底部海拔高度m</w:t>
            </w:r>
          </w:p>
        </w:tc>
        <w:tc>
          <w:tcPr>
            <w:tcW w:w="435" w:type="pct"/>
            <w:vMerge w:val="restart"/>
            <w:shd w:val="clear" w:color="auto" w:fill="D8D8D8" w:themeFill="background1" w:themeFillShade="D9"/>
            <w:vAlign w:val="center"/>
          </w:tcPr>
          <w:p>
            <w:pPr>
              <w:pStyle w:val="3238"/>
              <w:rPr>
                <w:b/>
              </w:rPr>
            </w:pPr>
            <w:r>
              <w:t>排气筒高度m</w:t>
            </w:r>
          </w:p>
        </w:tc>
        <w:tc>
          <w:tcPr>
            <w:tcW w:w="370" w:type="pct"/>
            <w:vMerge w:val="restart"/>
            <w:shd w:val="clear" w:color="auto" w:fill="D8D8D8" w:themeFill="background1" w:themeFillShade="D9"/>
            <w:vAlign w:val="center"/>
          </w:tcPr>
          <w:p>
            <w:pPr>
              <w:pStyle w:val="3238"/>
              <w:rPr>
                <w:b/>
              </w:rPr>
            </w:pPr>
            <w:r>
              <w:t>排气筒出口内径m</w:t>
            </w:r>
          </w:p>
        </w:tc>
        <w:tc>
          <w:tcPr>
            <w:tcW w:w="644" w:type="pct"/>
            <w:vMerge w:val="restart"/>
            <w:shd w:val="clear" w:color="auto" w:fill="D8D8D8" w:themeFill="background1" w:themeFillShade="D9"/>
            <w:vAlign w:val="center"/>
          </w:tcPr>
          <w:p>
            <w:pPr>
              <w:pStyle w:val="3238"/>
              <w:rPr>
                <w:b/>
              </w:rPr>
            </w:pPr>
            <w:r>
              <w:t>烟气流速m/s</w:t>
            </w:r>
          </w:p>
        </w:tc>
        <w:tc>
          <w:tcPr>
            <w:tcW w:w="353" w:type="pct"/>
            <w:vMerge w:val="restart"/>
            <w:shd w:val="clear" w:color="auto" w:fill="D8D8D8" w:themeFill="background1" w:themeFillShade="D9"/>
            <w:vAlign w:val="center"/>
          </w:tcPr>
          <w:p>
            <w:pPr>
              <w:pStyle w:val="3238"/>
              <w:rPr>
                <w:b/>
              </w:rPr>
            </w:pPr>
            <w:r>
              <w:t>烟气温度</w:t>
            </w:r>
          </w:p>
          <w:p>
            <w:pPr>
              <w:pStyle w:val="3238"/>
            </w:pPr>
            <w:r>
              <w:t>℃</w:t>
            </w:r>
          </w:p>
        </w:tc>
        <w:tc>
          <w:tcPr>
            <w:tcW w:w="454" w:type="pct"/>
            <w:vMerge w:val="restart"/>
            <w:shd w:val="clear" w:color="auto" w:fill="D8D8D8" w:themeFill="background1" w:themeFillShade="D9"/>
            <w:vAlign w:val="center"/>
          </w:tcPr>
          <w:p>
            <w:pPr>
              <w:pStyle w:val="3238"/>
              <w:rPr>
                <w:b/>
              </w:rPr>
            </w:pPr>
            <w:r>
              <w:t>年排放小时数h</w:t>
            </w:r>
          </w:p>
        </w:tc>
        <w:tc>
          <w:tcPr>
            <w:tcW w:w="366" w:type="pct"/>
            <w:vMerge w:val="restart"/>
            <w:shd w:val="clear" w:color="auto" w:fill="D8D8D8" w:themeFill="background1" w:themeFillShade="D9"/>
            <w:vAlign w:val="center"/>
          </w:tcPr>
          <w:p>
            <w:pPr>
              <w:pStyle w:val="3238"/>
              <w:rPr>
                <w:b/>
              </w:rPr>
            </w:pPr>
            <w:r>
              <w:t>排放工况</w:t>
            </w:r>
          </w:p>
        </w:tc>
        <w:tc>
          <w:tcPr>
            <w:tcW w:w="503" w:type="pct"/>
            <w:shd w:val="clear" w:color="auto" w:fill="D8D8D8" w:themeFill="background1" w:themeFillShade="D9"/>
            <w:vAlign w:val="center"/>
          </w:tcPr>
          <w:p>
            <w:pPr>
              <w:pStyle w:val="3238"/>
              <w:rPr>
                <w:b/>
              </w:rPr>
            </w:pPr>
            <w: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9" w:hRule="atLeast"/>
        </w:trPr>
        <w:tc>
          <w:tcPr>
            <w:tcW w:w="461" w:type="pct"/>
            <w:vMerge w:val="continue"/>
            <w:shd w:val="clear" w:color="auto" w:fill="D8D8D8" w:themeFill="background1" w:themeFillShade="D9"/>
            <w:vAlign w:val="center"/>
          </w:tcPr>
          <w:p>
            <w:pPr>
              <w:pStyle w:val="3238"/>
            </w:pPr>
          </w:p>
        </w:tc>
        <w:tc>
          <w:tcPr>
            <w:tcW w:w="397" w:type="pct"/>
            <w:shd w:val="clear" w:color="auto" w:fill="D8D8D8" w:themeFill="background1" w:themeFillShade="D9"/>
            <w:vAlign w:val="center"/>
          </w:tcPr>
          <w:p>
            <w:pPr>
              <w:pStyle w:val="3238"/>
            </w:pPr>
            <w:r>
              <w:t>X</w:t>
            </w:r>
          </w:p>
        </w:tc>
        <w:tc>
          <w:tcPr>
            <w:tcW w:w="470" w:type="pct"/>
            <w:shd w:val="clear" w:color="auto" w:fill="D8D8D8" w:themeFill="background1" w:themeFillShade="D9"/>
            <w:vAlign w:val="center"/>
          </w:tcPr>
          <w:p>
            <w:pPr>
              <w:pStyle w:val="3238"/>
            </w:pPr>
            <w:r>
              <w:t>Y</w:t>
            </w:r>
          </w:p>
        </w:tc>
        <w:tc>
          <w:tcPr>
            <w:tcW w:w="547" w:type="pct"/>
            <w:vMerge w:val="continue"/>
            <w:shd w:val="clear" w:color="auto" w:fill="D8D8D8" w:themeFill="background1" w:themeFillShade="D9"/>
            <w:vAlign w:val="center"/>
          </w:tcPr>
          <w:p>
            <w:pPr>
              <w:pStyle w:val="3238"/>
            </w:pPr>
          </w:p>
        </w:tc>
        <w:tc>
          <w:tcPr>
            <w:tcW w:w="435" w:type="pct"/>
            <w:vMerge w:val="continue"/>
            <w:shd w:val="clear" w:color="auto" w:fill="D8D8D8" w:themeFill="background1" w:themeFillShade="D9"/>
            <w:vAlign w:val="center"/>
          </w:tcPr>
          <w:p>
            <w:pPr>
              <w:pStyle w:val="3238"/>
            </w:pPr>
          </w:p>
        </w:tc>
        <w:tc>
          <w:tcPr>
            <w:tcW w:w="370" w:type="pct"/>
            <w:vMerge w:val="continue"/>
            <w:shd w:val="clear" w:color="auto" w:fill="D8D8D8" w:themeFill="background1" w:themeFillShade="D9"/>
            <w:vAlign w:val="center"/>
          </w:tcPr>
          <w:p>
            <w:pPr>
              <w:pStyle w:val="3238"/>
            </w:pPr>
          </w:p>
        </w:tc>
        <w:tc>
          <w:tcPr>
            <w:tcW w:w="644" w:type="pct"/>
            <w:vMerge w:val="continue"/>
            <w:shd w:val="clear" w:color="auto" w:fill="D8D8D8" w:themeFill="background1" w:themeFillShade="D9"/>
            <w:vAlign w:val="center"/>
          </w:tcPr>
          <w:p>
            <w:pPr>
              <w:pStyle w:val="3238"/>
            </w:pPr>
          </w:p>
        </w:tc>
        <w:tc>
          <w:tcPr>
            <w:tcW w:w="353" w:type="pct"/>
            <w:vMerge w:val="continue"/>
            <w:shd w:val="clear" w:color="auto" w:fill="D8D8D8" w:themeFill="background1" w:themeFillShade="D9"/>
            <w:vAlign w:val="center"/>
          </w:tcPr>
          <w:p>
            <w:pPr>
              <w:pStyle w:val="3238"/>
            </w:pPr>
          </w:p>
        </w:tc>
        <w:tc>
          <w:tcPr>
            <w:tcW w:w="454" w:type="pct"/>
            <w:vMerge w:val="continue"/>
            <w:shd w:val="clear" w:color="auto" w:fill="D8D8D8" w:themeFill="background1" w:themeFillShade="D9"/>
            <w:vAlign w:val="center"/>
          </w:tcPr>
          <w:p>
            <w:pPr>
              <w:pStyle w:val="3238"/>
            </w:pPr>
          </w:p>
        </w:tc>
        <w:tc>
          <w:tcPr>
            <w:tcW w:w="366" w:type="pct"/>
            <w:vMerge w:val="continue"/>
            <w:shd w:val="clear" w:color="auto" w:fill="D8D8D8" w:themeFill="background1" w:themeFillShade="D9"/>
            <w:vAlign w:val="center"/>
          </w:tcPr>
          <w:p>
            <w:pPr>
              <w:pStyle w:val="3238"/>
            </w:pPr>
          </w:p>
        </w:tc>
        <w:tc>
          <w:tcPr>
            <w:tcW w:w="503" w:type="pct"/>
            <w:shd w:val="clear" w:color="auto" w:fill="D8D8D8" w:themeFill="background1" w:themeFillShade="D9"/>
            <w:vAlign w:val="center"/>
          </w:tcPr>
          <w:p>
            <w:pPr>
              <w:pStyle w:val="3238"/>
              <w:rPr>
                <w:b/>
              </w:rPr>
            </w:pPr>
            <w:r>
              <w:t>PM</w:t>
            </w:r>
            <w:r>
              <w:rPr>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461" w:type="pct"/>
            <w:shd w:val="clear" w:color="auto" w:fill="auto"/>
            <w:vAlign w:val="center"/>
          </w:tcPr>
          <w:p>
            <w:pPr>
              <w:pStyle w:val="3238"/>
              <w:rPr>
                <w:b/>
              </w:rPr>
            </w:pPr>
            <w:r>
              <w:t>DA001</w:t>
            </w:r>
          </w:p>
        </w:tc>
        <w:tc>
          <w:tcPr>
            <w:tcW w:w="397" w:type="pct"/>
            <w:shd w:val="clear" w:color="auto" w:fill="auto"/>
            <w:vAlign w:val="center"/>
          </w:tcPr>
          <w:p>
            <w:pPr>
              <w:pStyle w:val="3238"/>
              <w:rPr>
                <w:b/>
              </w:rPr>
            </w:pPr>
            <w:r>
              <w:t>940</w:t>
            </w:r>
          </w:p>
        </w:tc>
        <w:tc>
          <w:tcPr>
            <w:tcW w:w="470" w:type="pct"/>
            <w:shd w:val="clear" w:color="auto" w:fill="auto"/>
            <w:vAlign w:val="center"/>
          </w:tcPr>
          <w:p>
            <w:pPr>
              <w:pStyle w:val="3238"/>
              <w:rPr>
                <w:b/>
              </w:rPr>
            </w:pPr>
            <w:r>
              <w:t>527</w:t>
            </w:r>
          </w:p>
        </w:tc>
        <w:tc>
          <w:tcPr>
            <w:tcW w:w="547" w:type="pct"/>
            <w:shd w:val="clear" w:color="auto" w:fill="auto"/>
            <w:vAlign w:val="center"/>
          </w:tcPr>
          <w:p>
            <w:pPr>
              <w:pStyle w:val="3238"/>
              <w:rPr>
                <w:b/>
              </w:rPr>
            </w:pPr>
            <w:r>
              <w:t>310</w:t>
            </w:r>
          </w:p>
        </w:tc>
        <w:tc>
          <w:tcPr>
            <w:tcW w:w="435" w:type="pct"/>
            <w:shd w:val="clear" w:color="auto" w:fill="auto"/>
            <w:vAlign w:val="center"/>
          </w:tcPr>
          <w:p>
            <w:pPr>
              <w:pStyle w:val="3238"/>
              <w:rPr>
                <w:b/>
              </w:rPr>
            </w:pPr>
            <w:r>
              <w:t>15</w:t>
            </w:r>
          </w:p>
        </w:tc>
        <w:tc>
          <w:tcPr>
            <w:tcW w:w="370" w:type="pct"/>
            <w:vAlign w:val="center"/>
          </w:tcPr>
          <w:p>
            <w:pPr>
              <w:pStyle w:val="3238"/>
              <w:rPr>
                <w:b/>
              </w:rPr>
            </w:pPr>
            <w:r>
              <w:t>0.3</w:t>
            </w:r>
          </w:p>
        </w:tc>
        <w:tc>
          <w:tcPr>
            <w:tcW w:w="644" w:type="pct"/>
            <w:shd w:val="clear" w:color="auto" w:fill="auto"/>
            <w:vAlign w:val="center"/>
          </w:tcPr>
          <w:p>
            <w:pPr>
              <w:pStyle w:val="3238"/>
              <w:rPr>
                <w:b/>
              </w:rPr>
            </w:pPr>
            <w:r>
              <w:t>19.6/5000</w:t>
            </w:r>
          </w:p>
        </w:tc>
        <w:tc>
          <w:tcPr>
            <w:tcW w:w="353" w:type="pct"/>
            <w:shd w:val="clear" w:color="auto" w:fill="auto"/>
            <w:vAlign w:val="center"/>
          </w:tcPr>
          <w:p>
            <w:pPr>
              <w:pStyle w:val="3238"/>
              <w:rPr>
                <w:b/>
              </w:rPr>
            </w:pPr>
            <w:r>
              <w:t>常温</w:t>
            </w:r>
          </w:p>
        </w:tc>
        <w:tc>
          <w:tcPr>
            <w:tcW w:w="454" w:type="pct"/>
            <w:shd w:val="clear" w:color="auto" w:fill="auto"/>
          </w:tcPr>
          <w:p>
            <w:pPr>
              <w:pStyle w:val="3238"/>
              <w:rPr>
                <w:b/>
              </w:rPr>
            </w:pPr>
            <w:r>
              <w:t>4000</w:t>
            </w:r>
          </w:p>
        </w:tc>
        <w:tc>
          <w:tcPr>
            <w:tcW w:w="366" w:type="pct"/>
            <w:shd w:val="clear" w:color="auto" w:fill="auto"/>
            <w:vAlign w:val="center"/>
          </w:tcPr>
          <w:p>
            <w:pPr>
              <w:pStyle w:val="3238"/>
              <w:rPr>
                <w:b/>
              </w:rPr>
            </w:pPr>
            <w:r>
              <w:t>正常</w:t>
            </w:r>
          </w:p>
        </w:tc>
        <w:tc>
          <w:tcPr>
            <w:tcW w:w="503" w:type="pct"/>
            <w:shd w:val="clear" w:color="auto" w:fill="auto"/>
            <w:vAlign w:val="center"/>
          </w:tcPr>
          <w:p>
            <w:pPr>
              <w:pStyle w:val="3238"/>
              <w:rPr>
                <w:b/>
              </w:rPr>
            </w:pPr>
            <w:r>
              <w:t>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461" w:type="pct"/>
            <w:shd w:val="clear" w:color="auto" w:fill="auto"/>
          </w:tcPr>
          <w:p>
            <w:pPr>
              <w:pStyle w:val="3238"/>
              <w:rPr>
                <w:b/>
              </w:rPr>
            </w:pPr>
            <w:r>
              <w:t>DA002</w:t>
            </w:r>
          </w:p>
        </w:tc>
        <w:tc>
          <w:tcPr>
            <w:tcW w:w="397" w:type="pct"/>
            <w:shd w:val="clear" w:color="auto" w:fill="auto"/>
            <w:vAlign w:val="center"/>
          </w:tcPr>
          <w:p>
            <w:pPr>
              <w:pStyle w:val="3238"/>
              <w:rPr>
                <w:b/>
              </w:rPr>
            </w:pPr>
            <w:r>
              <w:t>905</w:t>
            </w:r>
          </w:p>
        </w:tc>
        <w:tc>
          <w:tcPr>
            <w:tcW w:w="470" w:type="pct"/>
            <w:shd w:val="clear" w:color="auto" w:fill="auto"/>
            <w:vAlign w:val="center"/>
          </w:tcPr>
          <w:p>
            <w:pPr>
              <w:pStyle w:val="3238"/>
              <w:rPr>
                <w:b/>
              </w:rPr>
            </w:pPr>
            <w:r>
              <w:t>510</w:t>
            </w:r>
          </w:p>
        </w:tc>
        <w:tc>
          <w:tcPr>
            <w:tcW w:w="547" w:type="pct"/>
            <w:shd w:val="clear" w:color="auto" w:fill="auto"/>
            <w:vAlign w:val="center"/>
          </w:tcPr>
          <w:p>
            <w:pPr>
              <w:pStyle w:val="3238"/>
              <w:rPr>
                <w:b/>
              </w:rPr>
            </w:pPr>
            <w:r>
              <w:t>304</w:t>
            </w:r>
          </w:p>
        </w:tc>
        <w:tc>
          <w:tcPr>
            <w:tcW w:w="435" w:type="pct"/>
            <w:shd w:val="clear" w:color="auto" w:fill="auto"/>
            <w:vAlign w:val="center"/>
          </w:tcPr>
          <w:p>
            <w:pPr>
              <w:pStyle w:val="3238"/>
              <w:rPr>
                <w:b/>
              </w:rPr>
            </w:pPr>
            <w:r>
              <w:t>15</w:t>
            </w:r>
          </w:p>
        </w:tc>
        <w:tc>
          <w:tcPr>
            <w:tcW w:w="370" w:type="pct"/>
            <w:vAlign w:val="center"/>
          </w:tcPr>
          <w:p>
            <w:pPr>
              <w:pStyle w:val="3238"/>
              <w:rPr>
                <w:b/>
              </w:rPr>
            </w:pPr>
            <w:r>
              <w:t>0.3</w:t>
            </w:r>
          </w:p>
        </w:tc>
        <w:tc>
          <w:tcPr>
            <w:tcW w:w="644" w:type="pct"/>
            <w:shd w:val="clear" w:color="auto" w:fill="auto"/>
            <w:vAlign w:val="center"/>
          </w:tcPr>
          <w:p>
            <w:pPr>
              <w:pStyle w:val="3238"/>
              <w:rPr>
                <w:b/>
              </w:rPr>
            </w:pPr>
            <w:r>
              <w:t>19.6/5000</w:t>
            </w:r>
          </w:p>
        </w:tc>
        <w:tc>
          <w:tcPr>
            <w:tcW w:w="353" w:type="pct"/>
            <w:shd w:val="clear" w:color="auto" w:fill="auto"/>
            <w:vAlign w:val="center"/>
          </w:tcPr>
          <w:p>
            <w:pPr>
              <w:pStyle w:val="3238"/>
              <w:rPr>
                <w:b/>
              </w:rPr>
            </w:pPr>
            <w:r>
              <w:t>常温</w:t>
            </w:r>
          </w:p>
        </w:tc>
        <w:tc>
          <w:tcPr>
            <w:tcW w:w="454" w:type="pct"/>
            <w:shd w:val="clear" w:color="auto" w:fill="auto"/>
          </w:tcPr>
          <w:p>
            <w:pPr>
              <w:pStyle w:val="3238"/>
              <w:rPr>
                <w:b/>
              </w:rPr>
            </w:pPr>
            <w:r>
              <w:t>4000</w:t>
            </w:r>
          </w:p>
        </w:tc>
        <w:tc>
          <w:tcPr>
            <w:tcW w:w="366" w:type="pct"/>
            <w:shd w:val="clear" w:color="auto" w:fill="auto"/>
            <w:vAlign w:val="center"/>
          </w:tcPr>
          <w:p>
            <w:pPr>
              <w:pStyle w:val="3238"/>
              <w:rPr>
                <w:b/>
              </w:rPr>
            </w:pPr>
            <w:r>
              <w:t>正常</w:t>
            </w:r>
          </w:p>
        </w:tc>
        <w:tc>
          <w:tcPr>
            <w:tcW w:w="503" w:type="pct"/>
            <w:shd w:val="clear" w:color="auto" w:fill="auto"/>
            <w:vAlign w:val="center"/>
          </w:tcPr>
          <w:p>
            <w:pPr>
              <w:pStyle w:val="3238"/>
              <w:rPr>
                <w:b/>
              </w:rPr>
            </w:pPr>
            <w:r>
              <w:t>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461" w:type="pct"/>
            <w:shd w:val="clear" w:color="auto" w:fill="auto"/>
          </w:tcPr>
          <w:p>
            <w:pPr>
              <w:pStyle w:val="3238"/>
              <w:rPr>
                <w:b/>
              </w:rPr>
            </w:pPr>
            <w:r>
              <w:t>DA003</w:t>
            </w:r>
          </w:p>
        </w:tc>
        <w:tc>
          <w:tcPr>
            <w:tcW w:w="397" w:type="pct"/>
            <w:shd w:val="clear" w:color="auto" w:fill="auto"/>
            <w:vAlign w:val="center"/>
          </w:tcPr>
          <w:p>
            <w:pPr>
              <w:pStyle w:val="3238"/>
              <w:rPr>
                <w:b/>
                <w:snapToGrid w:val="0"/>
              </w:rPr>
            </w:pPr>
            <w:r>
              <w:rPr>
                <w:snapToGrid w:val="0"/>
              </w:rPr>
              <w:t>910</w:t>
            </w:r>
          </w:p>
        </w:tc>
        <w:tc>
          <w:tcPr>
            <w:tcW w:w="470" w:type="pct"/>
            <w:shd w:val="clear" w:color="auto" w:fill="auto"/>
            <w:vAlign w:val="center"/>
          </w:tcPr>
          <w:p>
            <w:pPr>
              <w:pStyle w:val="3238"/>
              <w:rPr>
                <w:b/>
                <w:snapToGrid w:val="0"/>
              </w:rPr>
            </w:pPr>
            <w:r>
              <w:rPr>
                <w:snapToGrid w:val="0"/>
              </w:rPr>
              <w:t>548</w:t>
            </w:r>
          </w:p>
        </w:tc>
        <w:tc>
          <w:tcPr>
            <w:tcW w:w="547" w:type="pct"/>
            <w:shd w:val="clear" w:color="auto" w:fill="auto"/>
            <w:vAlign w:val="center"/>
          </w:tcPr>
          <w:p>
            <w:pPr>
              <w:pStyle w:val="3238"/>
              <w:rPr>
                <w:b/>
              </w:rPr>
            </w:pPr>
            <w:r>
              <w:t>297</w:t>
            </w:r>
          </w:p>
        </w:tc>
        <w:tc>
          <w:tcPr>
            <w:tcW w:w="435" w:type="pct"/>
            <w:shd w:val="clear" w:color="auto" w:fill="auto"/>
            <w:vAlign w:val="center"/>
          </w:tcPr>
          <w:p>
            <w:pPr>
              <w:pStyle w:val="3238"/>
              <w:rPr>
                <w:b/>
              </w:rPr>
            </w:pPr>
            <w:r>
              <w:t>15</w:t>
            </w:r>
          </w:p>
        </w:tc>
        <w:tc>
          <w:tcPr>
            <w:tcW w:w="370" w:type="pct"/>
            <w:vAlign w:val="center"/>
          </w:tcPr>
          <w:p>
            <w:pPr>
              <w:pStyle w:val="3238"/>
              <w:rPr>
                <w:b/>
              </w:rPr>
            </w:pPr>
            <w:r>
              <w:t>0.75</w:t>
            </w:r>
          </w:p>
        </w:tc>
        <w:tc>
          <w:tcPr>
            <w:tcW w:w="644" w:type="pct"/>
            <w:shd w:val="clear" w:color="auto" w:fill="auto"/>
            <w:vAlign w:val="center"/>
          </w:tcPr>
          <w:p>
            <w:pPr>
              <w:pStyle w:val="3238"/>
              <w:rPr>
                <w:b/>
              </w:rPr>
            </w:pPr>
            <w:r>
              <w:t>15.7/25000</w:t>
            </w:r>
          </w:p>
        </w:tc>
        <w:tc>
          <w:tcPr>
            <w:tcW w:w="353" w:type="pct"/>
            <w:shd w:val="clear" w:color="auto" w:fill="auto"/>
            <w:vAlign w:val="center"/>
          </w:tcPr>
          <w:p>
            <w:pPr>
              <w:pStyle w:val="3238"/>
              <w:rPr>
                <w:b/>
              </w:rPr>
            </w:pPr>
            <w:r>
              <w:t>常温</w:t>
            </w:r>
          </w:p>
        </w:tc>
        <w:tc>
          <w:tcPr>
            <w:tcW w:w="454" w:type="pct"/>
            <w:shd w:val="clear" w:color="auto" w:fill="auto"/>
          </w:tcPr>
          <w:p>
            <w:pPr>
              <w:pStyle w:val="3238"/>
              <w:rPr>
                <w:b/>
              </w:rPr>
            </w:pPr>
            <w:r>
              <w:t>4000</w:t>
            </w:r>
          </w:p>
        </w:tc>
        <w:tc>
          <w:tcPr>
            <w:tcW w:w="366" w:type="pct"/>
            <w:shd w:val="clear" w:color="auto" w:fill="auto"/>
            <w:vAlign w:val="center"/>
          </w:tcPr>
          <w:p>
            <w:pPr>
              <w:pStyle w:val="3238"/>
              <w:rPr>
                <w:b/>
              </w:rPr>
            </w:pPr>
            <w:r>
              <w:t>正常</w:t>
            </w:r>
          </w:p>
        </w:tc>
        <w:tc>
          <w:tcPr>
            <w:tcW w:w="503" w:type="pct"/>
            <w:shd w:val="clear" w:color="auto" w:fill="auto"/>
            <w:vAlign w:val="center"/>
          </w:tcPr>
          <w:p>
            <w:pPr>
              <w:pStyle w:val="3238"/>
              <w:rPr>
                <w:b/>
              </w:rPr>
            </w:pPr>
            <w:r>
              <w:t>0.102</w:t>
            </w:r>
          </w:p>
        </w:tc>
      </w:tr>
    </w:tbl>
    <w:p>
      <w:pPr>
        <w:pStyle w:val="84"/>
      </w:pPr>
      <w:r>
        <w:t>表6.2-14   区域现有削减面源参数表</w:t>
      </w:r>
    </w:p>
    <w:tbl>
      <w:tblPr>
        <w:tblStyle w:val="319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4"/>
        <w:gridCol w:w="1270"/>
        <w:gridCol w:w="813"/>
        <w:gridCol w:w="845"/>
        <w:gridCol w:w="1275"/>
        <w:gridCol w:w="1275"/>
        <w:gridCol w:w="1088"/>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6" w:hRule="atLeast"/>
          <w:jc w:val="center"/>
        </w:trPr>
        <w:tc>
          <w:tcPr>
            <w:tcW w:w="681"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名称</w:t>
            </w:r>
          </w:p>
        </w:tc>
        <w:tc>
          <w:tcPr>
            <w:tcW w:w="1577" w:type="pct"/>
            <w:gridSpan w:val="3"/>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矩形面源坐标/m</w:t>
            </w:r>
          </w:p>
        </w:tc>
        <w:tc>
          <w:tcPr>
            <w:tcW w:w="687"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面源有效排放高度/m</w:t>
            </w:r>
          </w:p>
        </w:tc>
        <w:tc>
          <w:tcPr>
            <w:tcW w:w="687"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年排放小时数/h</w:t>
            </w:r>
          </w:p>
        </w:tc>
        <w:tc>
          <w:tcPr>
            <w:tcW w:w="586"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排放工况</w:t>
            </w:r>
          </w:p>
        </w:tc>
        <w:tc>
          <w:tcPr>
            <w:tcW w:w="782"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681"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684"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X</w:t>
            </w:r>
          </w:p>
        </w:tc>
        <w:tc>
          <w:tcPr>
            <w:tcW w:w="438"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Y</w:t>
            </w:r>
          </w:p>
        </w:tc>
        <w:tc>
          <w:tcPr>
            <w:tcW w:w="455" w:type="pct"/>
            <w:vMerge w:val="restar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Z</w:t>
            </w:r>
          </w:p>
        </w:tc>
        <w:tc>
          <w:tcPr>
            <w:tcW w:w="687"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687"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5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782"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684"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38"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455"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687"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687"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586" w:type="pct"/>
            <w:vMerge w:val="continue"/>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p>
        </w:tc>
        <w:tc>
          <w:tcPr>
            <w:tcW w:w="782"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restar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kern w:val="0"/>
                <w:sz w:val="21"/>
                <w:szCs w:val="21"/>
              </w:rPr>
              <w:t>采区、工业场地</w:t>
            </w: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687</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453</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restar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10</w:t>
            </w:r>
          </w:p>
        </w:tc>
        <w:tc>
          <w:tcPr>
            <w:tcW w:w="687" w:type="pct"/>
            <w:vMerge w:val="restar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4000</w:t>
            </w:r>
          </w:p>
        </w:tc>
        <w:tc>
          <w:tcPr>
            <w:tcW w:w="586" w:type="pct"/>
            <w:vMerge w:val="restar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正常</w:t>
            </w:r>
          </w:p>
        </w:tc>
        <w:tc>
          <w:tcPr>
            <w:tcW w:w="782" w:type="pct"/>
            <w:vMerge w:val="restar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1.112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719</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393</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586"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782"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814</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448</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586"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782"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878</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346</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586"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782"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1214</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548</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586"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782"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1113</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685</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586"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782"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 w:hRule="atLeast"/>
          <w:jc w:val="center"/>
        </w:trPr>
        <w:tc>
          <w:tcPr>
            <w:tcW w:w="681"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4"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687</w:t>
            </w:r>
          </w:p>
        </w:tc>
        <w:tc>
          <w:tcPr>
            <w:tcW w:w="438"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453</w:t>
            </w:r>
          </w:p>
        </w:tc>
        <w:tc>
          <w:tcPr>
            <w:tcW w:w="455" w:type="pct"/>
            <w:shd w:val="clear" w:color="auto" w:fill="FFFFFF" w:themeFill="background1"/>
            <w:vAlign w:val="center"/>
          </w:tcPr>
          <w:p>
            <w:pPr>
              <w:widowControl/>
              <w:adjustRightInd/>
              <w:snapToGrid/>
              <w:spacing w:line="240" w:lineRule="auto"/>
              <w:ind w:firstLine="0" w:firstLineChars="0"/>
              <w:jc w:val="center"/>
              <w:rPr>
                <w:bCs/>
                <w:kern w:val="0"/>
                <w:sz w:val="21"/>
                <w:szCs w:val="21"/>
              </w:rPr>
            </w:pPr>
            <w:r>
              <w:rPr>
                <w:bCs/>
                <w:kern w:val="0"/>
                <w:sz w:val="21"/>
                <w:szCs w:val="21"/>
              </w:rPr>
              <w:t>307</w:t>
            </w: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687"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586"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c>
          <w:tcPr>
            <w:tcW w:w="782" w:type="pct"/>
            <w:vMerge w:val="continue"/>
            <w:shd w:val="clear" w:color="auto" w:fill="FFFFFF" w:themeFill="background1"/>
            <w:vAlign w:val="center"/>
          </w:tcPr>
          <w:p>
            <w:pPr>
              <w:widowControl/>
              <w:adjustRightInd/>
              <w:snapToGrid/>
              <w:spacing w:line="240" w:lineRule="auto"/>
              <w:ind w:firstLine="0" w:firstLineChars="0"/>
              <w:jc w:val="center"/>
              <w:rPr>
                <w:bCs/>
                <w:kern w:val="0"/>
                <w:sz w:val="21"/>
                <w:szCs w:val="21"/>
              </w:rPr>
            </w:pPr>
          </w:p>
        </w:tc>
      </w:tr>
    </w:tbl>
    <w:p>
      <w:pPr>
        <w:pStyle w:val="3219"/>
        <w:rPr>
          <w:color w:val="auto"/>
          <w:lang w:bidi="en-US"/>
        </w:rPr>
      </w:pPr>
      <w:r>
        <w:rPr>
          <w:color w:val="auto"/>
          <w:lang w:bidi="en-US"/>
        </w:rPr>
        <w:t>（</w:t>
      </w:r>
      <w:r>
        <w:rPr>
          <w:color w:val="auto"/>
          <w:lang w:val="en-US" w:bidi="en-US"/>
        </w:rPr>
        <w:t>2</w:t>
      </w:r>
      <w:r>
        <w:rPr>
          <w:color w:val="auto"/>
          <w:lang w:bidi="en-US"/>
        </w:rPr>
        <w:t>）评价范围内在建、拟建污染源</w:t>
      </w:r>
    </w:p>
    <w:p>
      <w:pPr>
        <w:spacing w:line="360" w:lineRule="auto"/>
        <w:ind w:firstLine="480"/>
        <w:rPr>
          <w:sz w:val="24"/>
          <w:szCs w:val="24"/>
        </w:rPr>
      </w:pPr>
      <w:r>
        <w:rPr>
          <w:sz w:val="24"/>
          <w:szCs w:val="24"/>
        </w:rPr>
        <w:t>根据现场调查，本项目评价范围内不涉及在建</w:t>
      </w:r>
      <w:r>
        <w:rPr>
          <w:sz w:val="24"/>
          <w:szCs w:val="24"/>
          <w:lang w:bidi="en-US"/>
        </w:rPr>
        <w:t>、拟建污染源</w:t>
      </w:r>
      <w:r>
        <w:rPr>
          <w:sz w:val="24"/>
          <w:szCs w:val="24"/>
        </w:rPr>
        <w:t>。</w:t>
      </w:r>
    </w:p>
    <w:p>
      <w:pPr>
        <w:pStyle w:val="3219"/>
        <w:rPr>
          <w:color w:val="auto"/>
          <w:lang w:val="en-US" w:bidi="en-US"/>
        </w:rPr>
      </w:pPr>
      <w:r>
        <w:rPr>
          <w:color w:val="auto"/>
          <w:lang w:val="en-US" w:bidi="en-US"/>
        </w:rPr>
        <w:t>（3）</w:t>
      </w:r>
      <w:r>
        <w:rPr>
          <w:color w:val="auto"/>
          <w:lang w:bidi="en-US"/>
        </w:rPr>
        <w:t>非正常排放污染源</w:t>
      </w:r>
    </w:p>
    <w:p>
      <w:pPr>
        <w:pStyle w:val="3219"/>
        <w:rPr>
          <w:color w:val="auto"/>
        </w:rPr>
      </w:pPr>
      <w:r>
        <w:rPr>
          <w:bCs/>
          <w:color w:val="auto"/>
          <w:lang w:bidi="en-US"/>
        </w:rPr>
        <w:t>项目废气非正常排放即除尘设施维护、失效时造成除尘效率降低引起的排放情况</w:t>
      </w:r>
      <w:r>
        <w:rPr>
          <w:color w:val="auto"/>
        </w:rPr>
        <w:t>，因此在非正常排放下污染物颗粒物应以PM</w:t>
      </w:r>
      <w:r>
        <w:rPr>
          <w:color w:val="auto"/>
          <w:vertAlign w:val="subscript"/>
        </w:rPr>
        <w:t>10</w:t>
      </w:r>
      <w:r>
        <w:rPr>
          <w:color w:val="auto"/>
        </w:rPr>
        <w:t>进行评。本次评价考虑除尘效率为0的非正常排放，排放情况见下表。</w:t>
      </w:r>
    </w:p>
    <w:p>
      <w:pPr>
        <w:pStyle w:val="84"/>
      </w:pPr>
      <w:r>
        <w:t>表6.2-15  项目非正常排放清单</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254"/>
        <w:gridCol w:w="1135"/>
        <w:gridCol w:w="1843"/>
        <w:gridCol w:w="1700"/>
        <w:gridCol w:w="1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3" w:type="pct"/>
            <w:shd w:val="clear" w:color="auto" w:fill="D8D8D8" w:themeFill="background1" w:themeFillShade="D9"/>
            <w:vAlign w:val="center"/>
          </w:tcPr>
          <w:p>
            <w:pPr>
              <w:pStyle w:val="3238"/>
            </w:pPr>
            <w:r>
              <w:t>非正常排放源</w:t>
            </w:r>
          </w:p>
        </w:tc>
        <w:tc>
          <w:tcPr>
            <w:tcW w:w="675" w:type="pct"/>
            <w:shd w:val="clear" w:color="auto" w:fill="D8D8D8" w:themeFill="background1" w:themeFillShade="D9"/>
            <w:vAlign w:val="center"/>
          </w:tcPr>
          <w:p>
            <w:pPr>
              <w:pStyle w:val="3238"/>
            </w:pPr>
            <w:r>
              <w:t>非正常排放原因</w:t>
            </w:r>
          </w:p>
        </w:tc>
        <w:tc>
          <w:tcPr>
            <w:tcW w:w="611" w:type="pct"/>
            <w:shd w:val="clear" w:color="auto" w:fill="D8D8D8" w:themeFill="background1" w:themeFillShade="D9"/>
            <w:vAlign w:val="center"/>
          </w:tcPr>
          <w:p>
            <w:pPr>
              <w:pStyle w:val="3238"/>
            </w:pPr>
            <w:r>
              <w:t>污染物</w:t>
            </w:r>
          </w:p>
        </w:tc>
        <w:tc>
          <w:tcPr>
            <w:tcW w:w="992" w:type="pct"/>
            <w:shd w:val="clear" w:color="auto" w:fill="D8D8D8" w:themeFill="background1" w:themeFillShade="D9"/>
            <w:vAlign w:val="center"/>
          </w:tcPr>
          <w:p>
            <w:pPr>
              <w:pStyle w:val="3238"/>
            </w:pPr>
            <w:r>
              <w:t>非正常排放速率（kg/h）</w:t>
            </w:r>
          </w:p>
        </w:tc>
        <w:tc>
          <w:tcPr>
            <w:tcW w:w="915" w:type="pct"/>
            <w:shd w:val="clear" w:color="auto" w:fill="D8D8D8" w:themeFill="background1" w:themeFillShade="D9"/>
            <w:vAlign w:val="center"/>
          </w:tcPr>
          <w:p>
            <w:pPr>
              <w:pStyle w:val="3238"/>
            </w:pPr>
            <w:r>
              <w:t>单次持续时间/h</w:t>
            </w:r>
          </w:p>
        </w:tc>
        <w:tc>
          <w:tcPr>
            <w:tcW w:w="973" w:type="pct"/>
            <w:shd w:val="clear" w:color="auto" w:fill="D8D8D8" w:themeFill="background1" w:themeFillShade="D9"/>
            <w:vAlign w:val="center"/>
          </w:tcPr>
          <w:p>
            <w:pPr>
              <w:pStyle w:val="3238"/>
            </w:pPr>
            <w:r>
              <w:t>年发生频次/次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3" w:type="pct"/>
            <w:shd w:val="clear" w:color="auto" w:fill="auto"/>
            <w:vAlign w:val="center"/>
          </w:tcPr>
          <w:p>
            <w:pPr>
              <w:pStyle w:val="3238"/>
              <w:rPr>
                <w:b/>
              </w:rPr>
            </w:pPr>
            <w:r>
              <w:t>DA001</w:t>
            </w:r>
          </w:p>
        </w:tc>
        <w:tc>
          <w:tcPr>
            <w:tcW w:w="675" w:type="pct"/>
            <w:vMerge w:val="restart"/>
            <w:shd w:val="clear" w:color="auto" w:fill="auto"/>
            <w:vAlign w:val="center"/>
          </w:tcPr>
          <w:p>
            <w:pPr>
              <w:pStyle w:val="3238"/>
              <w:rPr>
                <w:b/>
              </w:rPr>
            </w:pPr>
            <w:r>
              <w:t>除尘系统失效</w:t>
            </w:r>
          </w:p>
        </w:tc>
        <w:tc>
          <w:tcPr>
            <w:tcW w:w="611" w:type="pct"/>
            <w:vMerge w:val="restart"/>
            <w:shd w:val="clear" w:color="auto" w:fill="auto"/>
            <w:vAlign w:val="center"/>
          </w:tcPr>
          <w:p>
            <w:pPr>
              <w:pStyle w:val="3238"/>
              <w:rPr>
                <w:b/>
                <w:vertAlign w:val="subscript"/>
              </w:rPr>
            </w:pPr>
            <w:r>
              <w:t>PM</w:t>
            </w:r>
            <w:r>
              <w:rPr>
                <w:vertAlign w:val="subscript"/>
              </w:rPr>
              <w:t>10</w:t>
            </w:r>
          </w:p>
        </w:tc>
        <w:tc>
          <w:tcPr>
            <w:tcW w:w="992" w:type="pct"/>
            <w:shd w:val="clear" w:color="auto" w:fill="auto"/>
            <w:vAlign w:val="center"/>
          </w:tcPr>
          <w:p>
            <w:pPr>
              <w:pStyle w:val="3238"/>
              <w:rPr>
                <w:b/>
              </w:rPr>
            </w:pPr>
            <w:r>
              <w:t>18.38</w:t>
            </w:r>
          </w:p>
        </w:tc>
        <w:tc>
          <w:tcPr>
            <w:tcW w:w="915" w:type="pct"/>
            <w:shd w:val="clear" w:color="auto" w:fill="auto"/>
            <w:vAlign w:val="center"/>
          </w:tcPr>
          <w:p>
            <w:pPr>
              <w:pStyle w:val="3238"/>
              <w:rPr>
                <w:b/>
              </w:rPr>
            </w:pPr>
            <w:r>
              <w:t>0.5</w:t>
            </w:r>
          </w:p>
        </w:tc>
        <w:tc>
          <w:tcPr>
            <w:tcW w:w="973" w:type="pct"/>
            <w:shd w:val="clear" w:color="auto" w:fill="auto"/>
            <w:vAlign w:val="center"/>
          </w:tcPr>
          <w:p>
            <w:pPr>
              <w:pStyle w:val="3238"/>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3" w:type="pct"/>
            <w:shd w:val="clear" w:color="auto" w:fill="auto"/>
          </w:tcPr>
          <w:p>
            <w:pPr>
              <w:pStyle w:val="3238"/>
              <w:rPr>
                <w:b/>
              </w:rPr>
            </w:pPr>
            <w:r>
              <w:t>DA002</w:t>
            </w:r>
          </w:p>
        </w:tc>
        <w:tc>
          <w:tcPr>
            <w:tcW w:w="675" w:type="pct"/>
            <w:vMerge w:val="continue"/>
            <w:shd w:val="clear" w:color="auto" w:fill="auto"/>
            <w:vAlign w:val="center"/>
          </w:tcPr>
          <w:p>
            <w:pPr>
              <w:pStyle w:val="3238"/>
            </w:pPr>
          </w:p>
        </w:tc>
        <w:tc>
          <w:tcPr>
            <w:tcW w:w="611" w:type="pct"/>
            <w:vMerge w:val="continue"/>
            <w:shd w:val="clear" w:color="auto" w:fill="auto"/>
            <w:vAlign w:val="center"/>
          </w:tcPr>
          <w:p>
            <w:pPr>
              <w:pStyle w:val="3238"/>
            </w:pPr>
          </w:p>
        </w:tc>
        <w:tc>
          <w:tcPr>
            <w:tcW w:w="992" w:type="pct"/>
            <w:shd w:val="clear" w:color="auto" w:fill="auto"/>
            <w:vAlign w:val="center"/>
          </w:tcPr>
          <w:p>
            <w:pPr>
              <w:pStyle w:val="3238"/>
              <w:rPr>
                <w:b/>
              </w:rPr>
            </w:pPr>
            <w:r>
              <w:t>10.50</w:t>
            </w:r>
          </w:p>
        </w:tc>
        <w:tc>
          <w:tcPr>
            <w:tcW w:w="915" w:type="pct"/>
            <w:shd w:val="clear" w:color="auto" w:fill="auto"/>
            <w:vAlign w:val="center"/>
          </w:tcPr>
          <w:p>
            <w:pPr>
              <w:pStyle w:val="3238"/>
              <w:rPr>
                <w:b/>
              </w:rPr>
            </w:pPr>
            <w:r>
              <w:t>0.5</w:t>
            </w:r>
          </w:p>
        </w:tc>
        <w:tc>
          <w:tcPr>
            <w:tcW w:w="973" w:type="pct"/>
            <w:shd w:val="clear" w:color="auto" w:fill="auto"/>
            <w:vAlign w:val="center"/>
          </w:tcPr>
          <w:p>
            <w:pPr>
              <w:pStyle w:val="3238"/>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3" w:type="pct"/>
            <w:shd w:val="clear" w:color="auto" w:fill="auto"/>
          </w:tcPr>
          <w:p>
            <w:pPr>
              <w:pStyle w:val="3238"/>
              <w:rPr>
                <w:b/>
              </w:rPr>
            </w:pPr>
            <w:r>
              <w:t>DA003</w:t>
            </w:r>
          </w:p>
        </w:tc>
        <w:tc>
          <w:tcPr>
            <w:tcW w:w="675" w:type="pct"/>
            <w:vMerge w:val="continue"/>
            <w:shd w:val="clear" w:color="auto" w:fill="auto"/>
            <w:vAlign w:val="center"/>
          </w:tcPr>
          <w:p>
            <w:pPr>
              <w:pStyle w:val="3238"/>
            </w:pPr>
          </w:p>
        </w:tc>
        <w:tc>
          <w:tcPr>
            <w:tcW w:w="611" w:type="pct"/>
            <w:vMerge w:val="continue"/>
            <w:shd w:val="clear" w:color="auto" w:fill="auto"/>
            <w:vAlign w:val="center"/>
          </w:tcPr>
          <w:p>
            <w:pPr>
              <w:pStyle w:val="3238"/>
            </w:pPr>
          </w:p>
        </w:tc>
        <w:tc>
          <w:tcPr>
            <w:tcW w:w="992" w:type="pct"/>
            <w:shd w:val="clear" w:color="auto" w:fill="auto"/>
            <w:vAlign w:val="center"/>
          </w:tcPr>
          <w:p>
            <w:pPr>
              <w:pStyle w:val="3238"/>
              <w:rPr>
                <w:b/>
              </w:rPr>
            </w:pPr>
            <w:r>
              <w:t>18.38</w:t>
            </w:r>
          </w:p>
        </w:tc>
        <w:tc>
          <w:tcPr>
            <w:tcW w:w="915" w:type="pct"/>
            <w:shd w:val="clear" w:color="auto" w:fill="auto"/>
            <w:vAlign w:val="center"/>
          </w:tcPr>
          <w:p>
            <w:pPr>
              <w:pStyle w:val="3238"/>
              <w:rPr>
                <w:b/>
              </w:rPr>
            </w:pPr>
            <w:r>
              <w:t>0.5</w:t>
            </w:r>
          </w:p>
        </w:tc>
        <w:tc>
          <w:tcPr>
            <w:tcW w:w="973" w:type="pct"/>
            <w:shd w:val="clear" w:color="auto" w:fill="auto"/>
            <w:vAlign w:val="center"/>
          </w:tcPr>
          <w:p>
            <w:pPr>
              <w:pStyle w:val="3238"/>
            </w:pPr>
            <w:r>
              <w:t>1</w:t>
            </w:r>
          </w:p>
        </w:tc>
      </w:tr>
    </w:tbl>
    <w:p>
      <w:pPr>
        <w:pStyle w:val="6"/>
        <w:numPr>
          <w:ilvl w:val="3"/>
          <w:numId w:val="0"/>
        </w:numPr>
      </w:pPr>
      <w:r>
        <w:t>6.2.1.6预测结果</w:t>
      </w:r>
    </w:p>
    <w:p>
      <w:pPr>
        <w:pStyle w:val="3219"/>
        <w:rPr>
          <w:color w:val="auto"/>
          <w:lang w:bidi="en-US"/>
        </w:rPr>
      </w:pPr>
      <w:r>
        <w:rPr>
          <w:color w:val="auto"/>
          <w:lang w:bidi="en-US"/>
        </w:rPr>
        <w:t>（1）正常工况质量浓度预测结果</w:t>
      </w:r>
    </w:p>
    <w:p>
      <w:pPr>
        <w:pStyle w:val="3219"/>
        <w:rPr>
          <w:color w:val="auto"/>
          <w:lang w:bidi="en-US"/>
        </w:rPr>
      </w:pPr>
      <w:r>
        <w:rPr>
          <w:rFonts w:hint="eastAsia" w:ascii="宋体" w:hAnsi="宋体" w:cs="宋体"/>
          <w:color w:val="auto"/>
          <w:lang w:bidi="en-US"/>
        </w:rPr>
        <w:t>①</w:t>
      </w:r>
      <w:r>
        <w:rPr>
          <w:color w:val="auto"/>
          <w:lang w:bidi="en-US"/>
        </w:rPr>
        <w:t>贡献浓度预测结果</w:t>
      </w:r>
    </w:p>
    <w:p>
      <w:pPr>
        <w:pStyle w:val="3219"/>
        <w:rPr>
          <w:color w:val="auto"/>
          <w:lang w:bidi="en-US"/>
        </w:rPr>
      </w:pPr>
      <w:r>
        <w:rPr>
          <w:color w:val="auto"/>
          <w:lang w:bidi="en-US"/>
        </w:rPr>
        <w:t>正常工况下，本项目新增污染源排放污染物PM</w:t>
      </w:r>
      <w:r>
        <w:rPr>
          <w:color w:val="auto"/>
          <w:vertAlign w:val="subscript"/>
          <w:lang w:bidi="en-US"/>
        </w:rPr>
        <w:t>10</w:t>
      </w:r>
      <w:r>
        <w:rPr>
          <w:color w:val="auto"/>
          <w:lang w:bidi="en-US"/>
        </w:rPr>
        <w:t>、TSP的贡献情况预测结果见下表。</w:t>
      </w:r>
    </w:p>
    <w:p>
      <w:pPr>
        <w:pStyle w:val="84"/>
      </w:pPr>
      <w:r>
        <w:t>表6.2-16  本项目贡献质量浓度预测结果表（PM</w:t>
      </w:r>
      <w:r>
        <w:rPr>
          <w:vertAlign w:val="subscript"/>
        </w:rPr>
        <w:t>10</w:t>
      </w:r>
      <w:r>
        <w:t>）</w:t>
      </w:r>
    </w:p>
    <w:tbl>
      <w:tblPr>
        <w:tblStyle w:val="88"/>
        <w:tblW w:w="4997" w:type="pct"/>
        <w:tblInd w:w="0" w:type="dxa"/>
        <w:tblLayout w:type="autofit"/>
        <w:tblCellMar>
          <w:top w:w="0" w:type="dxa"/>
          <w:left w:w="108" w:type="dxa"/>
          <w:bottom w:w="0" w:type="dxa"/>
          <w:right w:w="108" w:type="dxa"/>
        </w:tblCellMar>
      </w:tblPr>
      <w:tblGrid>
        <w:gridCol w:w="804"/>
        <w:gridCol w:w="1459"/>
        <w:gridCol w:w="1212"/>
        <w:gridCol w:w="1368"/>
        <w:gridCol w:w="1203"/>
        <w:gridCol w:w="1340"/>
        <w:gridCol w:w="961"/>
        <w:gridCol w:w="934"/>
      </w:tblGrid>
      <w:tr>
        <w:trPr>
          <w:trHeight w:val="567" w:hRule="atLeast"/>
        </w:trPr>
        <w:tc>
          <w:tcPr>
            <w:tcW w:w="447" w:type="pct"/>
            <w:tcBorders>
              <w:top w:val="single" w:color="auto" w:sz="8" w:space="0"/>
              <w:left w:val="single" w:color="auto" w:sz="8" w:space="0"/>
              <w:bottom w:val="single" w:color="auto" w:sz="8" w:space="0"/>
              <w:right w:val="single" w:color="auto" w:sz="4"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序号</w:t>
            </w:r>
          </w:p>
        </w:tc>
        <w:tc>
          <w:tcPr>
            <w:tcW w:w="799" w:type="pct"/>
            <w:tcBorders>
              <w:top w:val="single" w:color="auto" w:sz="8" w:space="0"/>
              <w:left w:val="single" w:color="auto" w:sz="4" w:space="0"/>
              <w:bottom w:val="single" w:color="auto" w:sz="8" w:space="0"/>
              <w:right w:val="single" w:color="000000"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预测点</w:t>
            </w:r>
          </w:p>
        </w:tc>
        <w:tc>
          <w:tcPr>
            <w:tcW w:w="666"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平均时段</w:t>
            </w:r>
          </w:p>
        </w:tc>
        <w:tc>
          <w:tcPr>
            <w:tcW w:w="750"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最大贡献值（μg/m</w:t>
            </w:r>
            <w:r>
              <w:rPr>
                <w:b/>
                <w:bCs/>
                <w:kern w:val="0"/>
                <w:sz w:val="21"/>
                <w:szCs w:val="21"/>
                <w:vertAlign w:val="superscript"/>
              </w:rPr>
              <w:t>3</w:t>
            </w:r>
            <w:r>
              <w:rPr>
                <w:b/>
                <w:bCs/>
                <w:kern w:val="0"/>
                <w:sz w:val="21"/>
                <w:szCs w:val="21"/>
              </w:rPr>
              <w:t>）</w:t>
            </w:r>
          </w:p>
        </w:tc>
        <w:tc>
          <w:tcPr>
            <w:tcW w:w="661"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出现时间</w:t>
            </w:r>
          </w:p>
        </w:tc>
        <w:tc>
          <w:tcPr>
            <w:tcW w:w="626"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评价标准（μg/m</w:t>
            </w:r>
            <w:r>
              <w:rPr>
                <w:b/>
                <w:bCs/>
                <w:kern w:val="0"/>
                <w:sz w:val="21"/>
                <w:szCs w:val="21"/>
                <w:vertAlign w:val="superscript"/>
              </w:rPr>
              <w:t>3</w:t>
            </w:r>
            <w:r>
              <w:rPr>
                <w:b/>
                <w:bCs/>
                <w:kern w:val="0"/>
                <w:sz w:val="21"/>
                <w:szCs w:val="21"/>
              </w:rPr>
              <w:t>）</w:t>
            </w:r>
          </w:p>
        </w:tc>
        <w:tc>
          <w:tcPr>
            <w:tcW w:w="531"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占标率/%</w:t>
            </w:r>
          </w:p>
        </w:tc>
        <w:tc>
          <w:tcPr>
            <w:tcW w:w="516" w:type="pct"/>
            <w:tcBorders>
              <w:top w:val="single" w:color="auto" w:sz="8" w:space="0"/>
              <w:left w:val="nil"/>
              <w:bottom w:val="single" w:color="auto" w:sz="8" w:space="0"/>
              <w:right w:val="single" w:color="auto" w:sz="8" w:space="0"/>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达标情况</w:t>
            </w:r>
          </w:p>
        </w:tc>
      </w:tr>
      <w:tr>
        <w:trPr>
          <w:trHeight w:val="9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开采区东侧居民</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221031</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2.00</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0.29</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2</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和尚坡</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0.54</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220704</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1.07</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0.07</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0.18</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3</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蚕桑局</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220115</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0.09</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4</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高滩岩</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220413</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0.25</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5</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王家纸厂</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0.25</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221210</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0.50</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0.06</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6</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马家坡</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220405</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0.41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0.05</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7</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酢坊沟</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0.08</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220711</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0.16</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8</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向家坡</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1.42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220807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2.84</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0.50</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9</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水洞子</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0.17</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220807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0.34</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10</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茶园村</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221207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0.63</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11</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米坊村</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0.19</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220614</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0.39</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0.06</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12</w:t>
            </w:r>
          </w:p>
        </w:tc>
        <w:tc>
          <w:tcPr>
            <w:tcW w:w="799" w:type="pct"/>
            <w:vMerge w:val="restart"/>
            <w:tcBorders>
              <w:top w:val="single" w:color="auto" w:sz="8" w:space="0"/>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银窝子</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220418</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0.08</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13</w:t>
            </w:r>
          </w:p>
        </w:tc>
        <w:tc>
          <w:tcPr>
            <w:tcW w:w="799" w:type="pct"/>
            <w:vMerge w:val="restart"/>
            <w:tcBorders>
              <w:top w:val="single" w:color="auto" w:sz="8" w:space="0"/>
              <w:left w:val="single" w:color="auto" w:sz="4" w:space="0"/>
              <w:bottom w:val="single" w:color="000000" w:sz="8" w:space="0"/>
              <w:right w:val="single" w:color="000000"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太石湾</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221202</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top w:val="single" w:color="auto" w:sz="8" w:space="0"/>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top w:val="single" w:color="auto" w:sz="8" w:space="0"/>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14</w:t>
            </w:r>
          </w:p>
        </w:tc>
        <w:tc>
          <w:tcPr>
            <w:tcW w:w="799" w:type="pct"/>
            <w:vMerge w:val="restart"/>
            <w:tcBorders>
              <w:top w:val="single" w:color="auto" w:sz="8" w:space="0"/>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陆家园子</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0.09</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221027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0.06</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15</w:t>
            </w:r>
          </w:p>
        </w:tc>
        <w:tc>
          <w:tcPr>
            <w:tcW w:w="799" w:type="pct"/>
            <w:vMerge w:val="restart"/>
            <w:tcBorders>
              <w:top w:val="single" w:color="auto" w:sz="8" w:space="0"/>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阎罔坡</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0.05</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221027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16</w:t>
            </w:r>
          </w:p>
        </w:tc>
        <w:tc>
          <w:tcPr>
            <w:tcW w:w="799" w:type="pct"/>
            <w:vMerge w:val="restart"/>
            <w:tcBorders>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上后厂</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221027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17</w:t>
            </w:r>
          </w:p>
        </w:tc>
        <w:tc>
          <w:tcPr>
            <w:tcW w:w="799" w:type="pct"/>
            <w:vMerge w:val="restart"/>
            <w:tcBorders>
              <w:top w:val="single" w:color="auto" w:sz="8" w:space="0"/>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风过丫</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220124</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18</w:t>
            </w:r>
          </w:p>
        </w:tc>
        <w:tc>
          <w:tcPr>
            <w:tcW w:w="799" w:type="pct"/>
            <w:vMerge w:val="restart"/>
            <w:tcBorders>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龙院村</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220304</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19</w:t>
            </w:r>
          </w:p>
        </w:tc>
        <w:tc>
          <w:tcPr>
            <w:tcW w:w="799" w:type="pct"/>
            <w:vMerge w:val="restart"/>
            <w:tcBorders>
              <w:top w:val="single" w:color="auto" w:sz="8" w:space="0"/>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宁家牛房</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220124</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top w:val="single" w:color="auto" w:sz="8" w:space="0"/>
              <w:left w:val="single" w:color="auto" w:sz="8" w:space="0"/>
              <w:right w:val="single" w:color="auto" w:sz="4" w:space="0"/>
            </w:tcBorders>
            <w:vAlign w:val="center"/>
          </w:tcPr>
          <w:p>
            <w:pPr>
              <w:widowControl/>
              <w:adjustRightInd/>
              <w:snapToGrid/>
              <w:spacing w:line="240" w:lineRule="auto"/>
              <w:ind w:firstLine="0" w:firstLineChars="0"/>
              <w:jc w:val="center"/>
              <w:rPr>
                <w:kern w:val="0"/>
                <w:sz w:val="21"/>
                <w:szCs w:val="21"/>
              </w:rPr>
            </w:pPr>
            <w:r>
              <w:rPr>
                <w:kern w:val="0"/>
                <w:sz w:val="21"/>
                <w:szCs w:val="21"/>
              </w:rPr>
              <w:t>20</w:t>
            </w:r>
          </w:p>
        </w:tc>
        <w:tc>
          <w:tcPr>
            <w:tcW w:w="799" w:type="pct"/>
            <w:vMerge w:val="restart"/>
            <w:tcBorders>
              <w:top w:val="single" w:color="auto" w:sz="8" w:space="0"/>
              <w:left w:val="single" w:color="auto" w:sz="4" w:space="0"/>
              <w:right w:val="single" w:color="000000" w:sz="8" w:space="0"/>
            </w:tcBorders>
            <w:vAlign w:val="center"/>
          </w:tcPr>
          <w:p>
            <w:pPr>
              <w:widowControl/>
              <w:adjustRightInd/>
              <w:snapToGrid/>
              <w:spacing w:line="240" w:lineRule="auto"/>
              <w:ind w:firstLine="0" w:firstLineChars="0"/>
              <w:jc w:val="center"/>
              <w:rPr>
                <w:kern w:val="0"/>
                <w:sz w:val="21"/>
                <w:szCs w:val="21"/>
              </w:rPr>
            </w:pPr>
            <w:r>
              <w:rPr>
                <w:kern w:val="0"/>
                <w:sz w:val="21"/>
                <w:szCs w:val="21"/>
              </w:rPr>
              <w:t>石龙门</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220301</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left w:val="single" w:color="auto" w:sz="8" w:space="0"/>
              <w:right w:val="single" w:color="auto" w:sz="4" w:space="0"/>
            </w:tcBorders>
            <w:vAlign w:val="center"/>
          </w:tcPr>
          <w:p>
            <w:pPr>
              <w:widowControl/>
              <w:adjustRightInd/>
              <w:snapToGrid/>
              <w:spacing w:line="240" w:lineRule="auto"/>
              <w:ind w:firstLine="0" w:firstLineChars="0"/>
              <w:jc w:val="center"/>
              <w:rPr>
                <w:sz w:val="21"/>
                <w:szCs w:val="21"/>
              </w:rPr>
            </w:pPr>
            <w:r>
              <w:rPr>
                <w:sz w:val="21"/>
                <w:szCs w:val="21"/>
              </w:rPr>
              <w:t>21</w:t>
            </w:r>
          </w:p>
        </w:tc>
        <w:tc>
          <w:tcPr>
            <w:tcW w:w="799" w:type="pct"/>
            <w:vMerge w:val="restart"/>
            <w:tcBorders>
              <w:left w:val="single" w:color="auto" w:sz="4" w:space="0"/>
              <w:right w:val="single" w:color="000000" w:sz="8" w:space="0"/>
            </w:tcBorders>
            <w:vAlign w:val="center"/>
          </w:tcPr>
          <w:p>
            <w:pPr>
              <w:widowControl/>
              <w:adjustRightInd/>
              <w:snapToGrid/>
              <w:spacing w:line="240" w:lineRule="auto"/>
              <w:ind w:firstLine="0" w:firstLineChars="0"/>
              <w:jc w:val="center"/>
              <w:rPr>
                <w:sz w:val="21"/>
                <w:szCs w:val="21"/>
              </w:rPr>
            </w:pPr>
            <w:r>
              <w:rPr>
                <w:sz w:val="21"/>
                <w:szCs w:val="21"/>
              </w:rPr>
              <w:t>杨柳沟</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220830</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left w:val="single" w:color="auto" w:sz="8" w:space="0"/>
              <w:right w:val="single" w:color="auto" w:sz="4" w:space="0"/>
            </w:tcBorders>
            <w:vAlign w:val="center"/>
          </w:tcPr>
          <w:p>
            <w:pPr>
              <w:widowControl/>
              <w:adjustRightInd/>
              <w:snapToGrid/>
              <w:spacing w:line="240" w:lineRule="auto"/>
              <w:ind w:firstLine="0" w:firstLineChars="0"/>
              <w:jc w:val="center"/>
              <w:rPr>
                <w:sz w:val="21"/>
                <w:szCs w:val="21"/>
              </w:rPr>
            </w:pPr>
            <w:r>
              <w:rPr>
                <w:sz w:val="21"/>
                <w:szCs w:val="21"/>
              </w:rPr>
              <w:t>22</w:t>
            </w:r>
          </w:p>
        </w:tc>
        <w:tc>
          <w:tcPr>
            <w:tcW w:w="799" w:type="pct"/>
            <w:vMerge w:val="restart"/>
            <w:tcBorders>
              <w:left w:val="single" w:color="auto" w:sz="4" w:space="0"/>
              <w:right w:val="single" w:color="000000" w:sz="8" w:space="0"/>
            </w:tcBorders>
            <w:vAlign w:val="center"/>
          </w:tcPr>
          <w:p>
            <w:pPr>
              <w:widowControl/>
              <w:adjustRightInd/>
              <w:snapToGrid/>
              <w:spacing w:line="240" w:lineRule="auto"/>
              <w:ind w:firstLine="0" w:firstLineChars="0"/>
              <w:jc w:val="center"/>
              <w:rPr>
                <w:sz w:val="21"/>
                <w:szCs w:val="21"/>
              </w:rPr>
            </w:pPr>
            <w:r>
              <w:rPr>
                <w:sz w:val="21"/>
                <w:szCs w:val="21"/>
              </w:rPr>
              <w:t>塘子湾院子</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220321</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70.00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left w:val="single" w:color="auto" w:sz="8" w:space="0"/>
              <w:right w:val="single" w:color="auto" w:sz="4" w:space="0"/>
            </w:tcBorders>
            <w:vAlign w:val="center"/>
          </w:tcPr>
          <w:p>
            <w:pPr>
              <w:widowControl/>
              <w:adjustRightInd/>
              <w:snapToGrid/>
              <w:spacing w:line="240" w:lineRule="auto"/>
              <w:ind w:firstLine="0" w:firstLineChars="0"/>
              <w:jc w:val="center"/>
              <w:rPr>
                <w:sz w:val="21"/>
                <w:szCs w:val="21"/>
              </w:rPr>
            </w:pPr>
            <w:r>
              <w:rPr>
                <w:sz w:val="21"/>
                <w:szCs w:val="21"/>
              </w:rPr>
              <w:t>23</w:t>
            </w:r>
          </w:p>
        </w:tc>
        <w:tc>
          <w:tcPr>
            <w:tcW w:w="799" w:type="pct"/>
            <w:vMerge w:val="restart"/>
            <w:tcBorders>
              <w:left w:val="single" w:color="auto" w:sz="4" w:space="0"/>
              <w:right w:val="single" w:color="000000" w:sz="8" w:space="0"/>
            </w:tcBorders>
            <w:vAlign w:val="center"/>
          </w:tcPr>
          <w:p>
            <w:pPr>
              <w:widowControl/>
              <w:adjustRightInd/>
              <w:snapToGrid/>
              <w:spacing w:line="240" w:lineRule="auto"/>
              <w:ind w:firstLine="0" w:firstLineChars="0"/>
              <w:jc w:val="center"/>
              <w:rPr>
                <w:sz w:val="21"/>
                <w:szCs w:val="21"/>
              </w:rPr>
            </w:pPr>
            <w:r>
              <w:rPr>
                <w:sz w:val="21"/>
                <w:szCs w:val="21"/>
              </w:rPr>
              <w:t>盐井街道</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0.16</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221207</w:t>
            </w:r>
          </w:p>
        </w:tc>
        <w:tc>
          <w:tcPr>
            <w:tcW w:w="1163" w:type="dxa"/>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0.32</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1163" w:type="dxa"/>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0.06</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restart"/>
            <w:tcBorders>
              <w:left w:val="single" w:color="auto" w:sz="8" w:space="0"/>
              <w:right w:val="single" w:color="auto" w:sz="4" w:space="0"/>
            </w:tcBorders>
            <w:vAlign w:val="center"/>
          </w:tcPr>
          <w:p>
            <w:pPr>
              <w:widowControl/>
              <w:adjustRightInd/>
              <w:snapToGrid/>
              <w:spacing w:line="240" w:lineRule="auto"/>
              <w:ind w:firstLine="0" w:firstLineChars="0"/>
              <w:jc w:val="center"/>
              <w:rPr>
                <w:sz w:val="21"/>
                <w:szCs w:val="21"/>
              </w:rPr>
            </w:pPr>
            <w:r>
              <w:rPr>
                <w:sz w:val="21"/>
                <w:szCs w:val="21"/>
              </w:rPr>
              <w:t>24</w:t>
            </w:r>
          </w:p>
        </w:tc>
        <w:tc>
          <w:tcPr>
            <w:tcW w:w="799" w:type="pct"/>
            <w:vMerge w:val="restart"/>
            <w:tcBorders>
              <w:left w:val="single" w:color="auto" w:sz="4" w:space="0"/>
              <w:right w:val="single" w:color="000000" w:sz="8" w:space="0"/>
            </w:tcBorders>
            <w:vAlign w:val="center"/>
          </w:tcPr>
          <w:p>
            <w:pPr>
              <w:widowControl/>
              <w:adjustRightInd/>
              <w:snapToGrid/>
              <w:spacing w:line="240" w:lineRule="auto"/>
              <w:ind w:firstLine="0" w:firstLineChars="0"/>
              <w:jc w:val="center"/>
              <w:rPr>
                <w:sz w:val="21"/>
                <w:szCs w:val="21"/>
              </w:rPr>
            </w:pPr>
            <w:r>
              <w:rPr>
                <w:sz w:val="21"/>
                <w:szCs w:val="21"/>
              </w:rPr>
              <w:t>九峰山森林公园</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0.75</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220704</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1.50</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300"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sz w:val="21"/>
                <w:szCs w:val="21"/>
              </w:rPr>
            </w:pPr>
          </w:p>
        </w:tc>
        <w:tc>
          <w:tcPr>
            <w:tcW w:w="799" w:type="pct"/>
            <w:vMerge w:val="continue"/>
            <w:tcBorders>
              <w:left w:val="single" w:color="auto" w:sz="4" w:space="0"/>
              <w:bottom w:val="single" w:color="000000" w:sz="8" w:space="0"/>
              <w:right w:val="single" w:color="000000" w:sz="8" w:space="0"/>
            </w:tcBorders>
            <w:vAlign w:val="center"/>
          </w:tcPr>
          <w:p>
            <w:pPr>
              <w:widowControl/>
              <w:adjustRightInd/>
              <w:snapToGrid/>
              <w:spacing w:line="240" w:lineRule="auto"/>
              <w:ind w:firstLine="0" w:firstLineChars="0"/>
              <w:jc w:val="center"/>
              <w:rPr>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0.24</w:t>
            </w:r>
          </w:p>
        </w:tc>
        <w:tc>
          <w:tcPr>
            <w:tcW w:w="516" w:type="pct"/>
            <w:tcBorders>
              <w:top w:val="nil"/>
              <w:left w:val="nil"/>
              <w:bottom w:val="single" w:color="auto" w:sz="8" w:space="0"/>
              <w:right w:val="single" w:color="auto" w:sz="8" w:space="0"/>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290" w:hRule="atLeast"/>
        </w:trPr>
        <w:tc>
          <w:tcPr>
            <w:tcW w:w="447" w:type="pct"/>
            <w:vMerge w:val="restart"/>
            <w:tcBorders>
              <w:top w:val="nil"/>
              <w:left w:val="single" w:color="auto" w:sz="8" w:space="0"/>
              <w:right w:val="single" w:color="auto" w:sz="4"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27</w:t>
            </w:r>
          </w:p>
        </w:tc>
        <w:tc>
          <w:tcPr>
            <w:tcW w:w="799" w:type="pct"/>
            <w:vMerge w:val="restart"/>
            <w:tcBorders>
              <w:top w:val="nil"/>
              <w:left w:val="single" w:color="auto" w:sz="4"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网格最大浓度点（处于一类区内）</w:t>
            </w: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8.56</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220927</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50.00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17.13</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rPr>
          <w:trHeight w:val="279" w:hRule="atLeast"/>
        </w:trPr>
        <w:tc>
          <w:tcPr>
            <w:tcW w:w="447" w:type="pct"/>
            <w:vMerge w:val="continue"/>
            <w:tcBorders>
              <w:left w:val="single" w:color="auto" w:sz="8" w:space="0"/>
              <w:bottom w:val="single" w:color="000000" w:sz="8" w:space="0"/>
              <w:right w:val="single" w:color="auto" w:sz="4" w:space="0"/>
            </w:tcBorders>
            <w:vAlign w:val="center"/>
          </w:tcPr>
          <w:p>
            <w:pPr>
              <w:widowControl/>
              <w:adjustRightInd/>
              <w:snapToGrid/>
              <w:spacing w:line="240" w:lineRule="auto"/>
              <w:ind w:firstLine="0" w:firstLineChars="0"/>
              <w:jc w:val="center"/>
              <w:rPr>
                <w:kern w:val="0"/>
                <w:sz w:val="21"/>
                <w:szCs w:val="21"/>
              </w:rPr>
            </w:pPr>
          </w:p>
        </w:tc>
        <w:tc>
          <w:tcPr>
            <w:tcW w:w="799" w:type="pct"/>
            <w:vMerge w:val="continue"/>
            <w:tcBorders>
              <w:left w:val="single" w:color="auto" w:sz="4" w:space="0"/>
              <w:bottom w:val="single" w:color="000000" w:sz="8" w:space="0"/>
              <w:right w:val="single" w:color="auto" w:sz="8" w:space="0"/>
            </w:tcBorders>
            <w:vAlign w:val="center"/>
          </w:tcPr>
          <w:p>
            <w:pPr>
              <w:widowControl/>
              <w:adjustRightInd/>
              <w:snapToGrid/>
              <w:spacing w:line="240" w:lineRule="auto"/>
              <w:ind w:firstLine="0" w:firstLineChars="0"/>
              <w:jc w:val="center"/>
              <w:rPr>
                <w:kern w:val="0"/>
                <w:sz w:val="21"/>
                <w:szCs w:val="21"/>
              </w:rPr>
            </w:pPr>
          </w:p>
        </w:tc>
        <w:tc>
          <w:tcPr>
            <w:tcW w:w="66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0"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1.60</w:t>
            </w:r>
          </w:p>
        </w:tc>
        <w:tc>
          <w:tcPr>
            <w:tcW w:w="66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40.00</w:t>
            </w:r>
          </w:p>
        </w:tc>
        <w:tc>
          <w:tcPr>
            <w:tcW w:w="531"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3.99</w:t>
            </w:r>
          </w:p>
        </w:tc>
        <w:tc>
          <w:tcPr>
            <w:tcW w:w="516" w:type="pct"/>
            <w:tcBorders>
              <w:top w:val="nil"/>
              <w:left w:val="nil"/>
              <w:bottom w:val="single" w:color="auto" w:sz="8" w:space="0"/>
              <w:right w:val="single" w:color="auto" w:sz="8" w:space="0"/>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bl>
    <w:p>
      <w:pPr>
        <w:pStyle w:val="84"/>
      </w:pPr>
      <w:r>
        <w:t>表6.2-17  本项目贡献质量浓度预测结果表（TSP）</w:t>
      </w:r>
    </w:p>
    <w:tbl>
      <w:tblPr>
        <w:tblStyle w:val="88"/>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07"/>
        <w:gridCol w:w="266"/>
        <w:gridCol w:w="1156"/>
        <w:gridCol w:w="1219"/>
        <w:gridCol w:w="1375"/>
        <w:gridCol w:w="1209"/>
        <w:gridCol w:w="1340"/>
        <w:gridCol w:w="968"/>
        <w:gridCol w:w="94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567" w:hRule="atLeast"/>
          <w:jc w:val="center"/>
        </w:trPr>
        <w:tc>
          <w:tcPr>
            <w:tcW w:w="602" w:type="pct"/>
            <w:gridSpan w:val="2"/>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序号</w:t>
            </w:r>
          </w:p>
        </w:tc>
        <w:tc>
          <w:tcPr>
            <w:tcW w:w="634"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预测点</w:t>
            </w:r>
          </w:p>
        </w:tc>
        <w:tc>
          <w:tcPr>
            <w:tcW w:w="668"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平均时段</w:t>
            </w:r>
          </w:p>
        </w:tc>
        <w:tc>
          <w:tcPr>
            <w:tcW w:w="752"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最大贡献值（μg/m</w:t>
            </w:r>
            <w:r>
              <w:rPr>
                <w:b/>
                <w:bCs/>
                <w:kern w:val="0"/>
                <w:sz w:val="21"/>
                <w:szCs w:val="21"/>
                <w:vertAlign w:val="superscript"/>
              </w:rPr>
              <w:t>3</w:t>
            </w:r>
            <w:r>
              <w:rPr>
                <w:b/>
                <w:bCs/>
                <w:kern w:val="0"/>
                <w:sz w:val="21"/>
                <w:szCs w:val="21"/>
              </w:rPr>
              <w:t>）</w:t>
            </w:r>
          </w:p>
        </w:tc>
        <w:tc>
          <w:tcPr>
            <w:tcW w:w="663"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出现时间</w:t>
            </w:r>
          </w:p>
        </w:tc>
        <w:tc>
          <w:tcPr>
            <w:tcW w:w="626"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评价标准（μg/m</w:t>
            </w:r>
            <w:r>
              <w:rPr>
                <w:b/>
                <w:bCs/>
                <w:kern w:val="0"/>
                <w:sz w:val="21"/>
                <w:szCs w:val="21"/>
                <w:vertAlign w:val="superscript"/>
              </w:rPr>
              <w:t>3</w:t>
            </w:r>
            <w:r>
              <w:rPr>
                <w:b/>
                <w:bCs/>
                <w:kern w:val="0"/>
                <w:sz w:val="21"/>
                <w:szCs w:val="21"/>
              </w:rPr>
              <w:t>）</w:t>
            </w:r>
          </w:p>
        </w:tc>
        <w:tc>
          <w:tcPr>
            <w:tcW w:w="533"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占标率/%</w:t>
            </w:r>
          </w:p>
        </w:tc>
        <w:tc>
          <w:tcPr>
            <w:tcW w:w="518" w:type="pct"/>
            <w:tcBorders>
              <w:tl2br w:val="nil"/>
              <w:tr2bl w:val="nil"/>
            </w:tcBorders>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达标情况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73"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开采区东侧居民</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12.50</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220222</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10.42</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3.22</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4.03</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2</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和尚坡</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7.28</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220117</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6.06</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1.16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1.45</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3</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蚕桑局</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0.37</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221122</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0.31</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0.07</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4</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高滩岩</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1.53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220413</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1.28</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0.18</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5</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王家纸厂</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1.56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221018</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1.30</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0.20</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6</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马家坡</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3.41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221218</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2.84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0.30</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7</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酢坊沟</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0.37</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220807</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0.31</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0.05</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8</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向家坡</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2.33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220222</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1.94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0.45</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0.56</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9</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水洞子</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1.34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221008</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1.12</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10</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茶园村</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1.34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220116</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1.12</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11</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米坊村</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1.31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221229</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1.09</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12</w:t>
            </w:r>
          </w:p>
        </w:tc>
        <w:tc>
          <w:tcPr>
            <w:tcW w:w="634"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银窝子</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0.17</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220104</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13</w:t>
            </w:r>
          </w:p>
        </w:tc>
        <w:tc>
          <w:tcPr>
            <w:tcW w:w="634"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太石湾</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220321</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14</w:t>
            </w:r>
          </w:p>
        </w:tc>
        <w:tc>
          <w:tcPr>
            <w:tcW w:w="634"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陆家园子</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220830</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0.35</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0.08</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15</w:t>
            </w:r>
          </w:p>
        </w:tc>
        <w:tc>
          <w:tcPr>
            <w:tcW w:w="634"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阎罔坡</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0.64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220124</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0.21</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0.06</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16</w:t>
            </w:r>
          </w:p>
        </w:tc>
        <w:tc>
          <w:tcPr>
            <w:tcW w:w="634"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上后厂</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220124</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0.08</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17</w:t>
            </w:r>
          </w:p>
        </w:tc>
        <w:tc>
          <w:tcPr>
            <w:tcW w:w="634"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风过丫</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220127</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0.07</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602"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34"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18</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龙院村</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220304</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19</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宁家牛房</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220124</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20</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石龙门</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220830</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21</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杨柳沟</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220830</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22</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塘子湾院子</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0.10</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220321</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0.01</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23</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盐井街道</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220116</w:t>
            </w:r>
          </w:p>
        </w:tc>
        <w:tc>
          <w:tcPr>
            <w:tcW w:w="1163" w:type="dxa"/>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0.86</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9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0.07</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1163" w:type="dxa"/>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0.09</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24</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sz w:val="21"/>
                <w:szCs w:val="21"/>
              </w:rPr>
            </w:pPr>
            <w:r>
              <w:rPr>
                <w:sz w:val="21"/>
                <w:szCs w:val="21"/>
              </w:rPr>
              <w:t>九峰山森林公园</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8.16</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221229</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6.80</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2.93</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3.66</w:t>
            </w:r>
          </w:p>
        </w:tc>
        <w:tc>
          <w:tcPr>
            <w:tcW w:w="518" w:type="pct"/>
            <w:tcBorders>
              <w:tl2br w:val="nil"/>
              <w:tr2bl w:val="nil"/>
            </w:tcBorders>
            <w:shd w:val="clear" w:color="auto" w:fill="auto"/>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532" w:hRule="atLeast"/>
          <w:jc w:val="center"/>
        </w:trPr>
        <w:tc>
          <w:tcPr>
            <w:tcW w:w="447" w:type="pct"/>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25</w:t>
            </w:r>
          </w:p>
        </w:tc>
        <w:tc>
          <w:tcPr>
            <w:tcW w:w="789" w:type="pct"/>
            <w:gridSpan w:val="2"/>
            <w:vMerge w:val="restar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网格最大浓度点（二类区）</w:t>
            </w: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31.89</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220210</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300.00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10.63</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79"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66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8.04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200.00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4.02</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79" w:hRule="atLeast"/>
          <w:jc w:val="center"/>
        </w:trPr>
        <w:tc>
          <w:tcPr>
            <w:tcW w:w="447" w:type="pct"/>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26</w:t>
            </w:r>
          </w:p>
        </w:tc>
        <w:tc>
          <w:tcPr>
            <w:tcW w:w="789" w:type="pct"/>
            <w:gridSpan w:val="2"/>
            <w:vMerge w:val="restart"/>
            <w:tcBorders>
              <w:tl2br w:val="nil"/>
              <w:tr2bl w:val="nil"/>
            </w:tcBorders>
            <w:vAlign w:val="center"/>
          </w:tcPr>
          <w:p>
            <w:pPr>
              <w:widowControl/>
              <w:adjustRightInd/>
              <w:snapToGrid/>
              <w:spacing w:line="240" w:lineRule="auto"/>
              <w:ind w:firstLine="0" w:firstLineChars="0"/>
              <w:jc w:val="center"/>
              <w:rPr>
                <w:kern w:val="0"/>
                <w:sz w:val="21"/>
                <w:szCs w:val="21"/>
              </w:rPr>
            </w:pPr>
            <w:r>
              <w:rPr>
                <w:kern w:val="0"/>
                <w:sz w:val="21"/>
                <w:szCs w:val="21"/>
              </w:rPr>
              <w:t>网格最大浓度点（一类区）</w:t>
            </w:r>
          </w:p>
        </w:tc>
        <w:tc>
          <w:tcPr>
            <w:tcW w:w="1241" w:type="dxa"/>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15.32</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220102</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120.00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12.77</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79" w:hRule="atLeast"/>
          <w:jc w:val="center"/>
        </w:trPr>
        <w:tc>
          <w:tcPr>
            <w:tcW w:w="447" w:type="pct"/>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789" w:type="pct"/>
            <w:gridSpan w:val="2"/>
            <w:vMerge w:val="continue"/>
            <w:tcBorders>
              <w:tl2br w:val="nil"/>
              <w:tr2bl w:val="nil"/>
            </w:tcBorders>
            <w:vAlign w:val="center"/>
          </w:tcPr>
          <w:p>
            <w:pPr>
              <w:widowControl/>
              <w:adjustRightInd/>
              <w:snapToGrid/>
              <w:spacing w:line="240" w:lineRule="auto"/>
              <w:ind w:firstLine="0" w:firstLineChars="0"/>
              <w:jc w:val="center"/>
              <w:rPr>
                <w:kern w:val="0"/>
                <w:sz w:val="21"/>
                <w:szCs w:val="21"/>
              </w:rPr>
            </w:pPr>
          </w:p>
        </w:tc>
        <w:tc>
          <w:tcPr>
            <w:tcW w:w="1241" w:type="dxa"/>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年平均</w:t>
            </w:r>
          </w:p>
        </w:tc>
        <w:tc>
          <w:tcPr>
            <w:tcW w:w="752"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8.04</w:t>
            </w:r>
          </w:p>
        </w:tc>
        <w:tc>
          <w:tcPr>
            <w:tcW w:w="66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平均值</w:t>
            </w:r>
          </w:p>
        </w:tc>
        <w:tc>
          <w:tcPr>
            <w:tcW w:w="626" w:type="pct"/>
            <w:tcBorders>
              <w:tl2br w:val="nil"/>
              <w:tr2bl w:val="nil"/>
            </w:tcBorders>
            <w:shd w:val="clear" w:color="auto" w:fill="auto"/>
            <w:vAlign w:val="center"/>
          </w:tcPr>
          <w:p>
            <w:pPr>
              <w:widowControl/>
              <w:adjustRightInd/>
              <w:snapToGrid/>
              <w:spacing w:line="240" w:lineRule="auto"/>
              <w:ind w:firstLine="0" w:firstLineChars="0"/>
              <w:jc w:val="center"/>
              <w:rPr>
                <w:sz w:val="21"/>
                <w:szCs w:val="21"/>
              </w:rPr>
            </w:pPr>
            <w:r>
              <w:rPr>
                <w:sz w:val="21"/>
                <w:szCs w:val="21"/>
              </w:rPr>
              <w:t>80.00</w:t>
            </w:r>
          </w:p>
        </w:tc>
        <w:tc>
          <w:tcPr>
            <w:tcW w:w="533"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10.05</w:t>
            </w:r>
          </w:p>
        </w:tc>
        <w:tc>
          <w:tcPr>
            <w:tcW w:w="518" w:type="pct"/>
            <w:tcBorders>
              <w:tl2br w:val="nil"/>
              <w:tr2bl w:val="nil"/>
            </w:tcBorders>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bl>
    <w:p>
      <w:pPr>
        <w:spacing w:line="360" w:lineRule="auto"/>
        <w:ind w:firstLine="480"/>
        <w:rPr>
          <w:sz w:val="24"/>
          <w:szCs w:val="24"/>
        </w:rPr>
      </w:pPr>
      <w:r>
        <w:rPr>
          <w:sz w:val="24"/>
          <w:szCs w:val="24"/>
        </w:rPr>
        <w:t>根据以上预测结果可知，PM</w:t>
      </w:r>
      <w:r>
        <w:rPr>
          <w:sz w:val="24"/>
          <w:szCs w:val="24"/>
          <w:vertAlign w:val="subscript"/>
        </w:rPr>
        <w:t>10</w:t>
      </w:r>
      <w:r>
        <w:rPr>
          <w:sz w:val="24"/>
          <w:szCs w:val="24"/>
        </w:rPr>
        <w:t>各网格点的最大日平均质量浓度占标率为17.13%，PM</w:t>
      </w:r>
      <w:r>
        <w:rPr>
          <w:sz w:val="24"/>
          <w:szCs w:val="24"/>
          <w:vertAlign w:val="subscript"/>
        </w:rPr>
        <w:t>10</w:t>
      </w:r>
      <w:r>
        <w:rPr>
          <w:sz w:val="24"/>
          <w:szCs w:val="24"/>
        </w:rPr>
        <w:t>各网格点的年平均质量浓度占标率为3.99%。污染物在各环境空气保护目标处的日均质量浓度达标。</w:t>
      </w:r>
    </w:p>
    <w:p>
      <w:pPr>
        <w:spacing w:line="360" w:lineRule="auto"/>
        <w:ind w:firstLine="520"/>
      </w:pPr>
      <w:r>
        <w:t>TSP网格最大浓度点位于二类区，日平均质量浓度占标率为10.63%，年均最大浓度占标率4.02%；一类区内网格点日平均质量浓度占标率12.77%，年均最大浓度占标率10.05%，</w:t>
      </w:r>
    </w:p>
    <w:p>
      <w:pPr>
        <w:spacing w:line="360" w:lineRule="auto"/>
        <w:ind w:firstLine="520"/>
      </w:pPr>
      <w:r>
        <w:rPr>
          <w:rFonts w:hint="eastAsia" w:ascii="宋体" w:hAnsi="宋体" w:cs="宋体"/>
        </w:rPr>
        <w:t>②</w:t>
      </w:r>
      <w:r>
        <w:t>叠加背景浓度预测结果</w:t>
      </w:r>
    </w:p>
    <w:p>
      <w:pPr>
        <w:spacing w:line="360" w:lineRule="auto"/>
        <w:ind w:firstLine="520"/>
      </w:pPr>
      <w:r>
        <w:t>本项目因污染物PM</w:t>
      </w:r>
      <w:r>
        <w:rPr>
          <w:vertAlign w:val="subscript"/>
        </w:rPr>
        <w:t>10</w:t>
      </w:r>
      <w:r>
        <w:t>只有二类区有全年逐日例行监测数据，一类区仅有补充监测7天的监测数据，故本评价仅对二类区PM</w:t>
      </w:r>
      <w:r>
        <w:rPr>
          <w:vertAlign w:val="subscript"/>
        </w:rPr>
        <w:t>10</w:t>
      </w:r>
      <w:r>
        <w:t>叠加背景95%保证率日平均质量浓度和年平均质量浓度进行预测，一类区PM</w:t>
      </w:r>
      <w:r>
        <w:rPr>
          <w:vertAlign w:val="subscript"/>
        </w:rPr>
        <w:t>10</w:t>
      </w:r>
      <w:r>
        <w:t>叠加背景日平均质量浓度进行预测；一类区和二类区TSP仅有补充监测7天的监测数据，故本评价仅对一类区和二类区TSP叠加环境质量现状浓度后的日平均质量浓度进行评价，年均质量浓度不预测。</w:t>
      </w:r>
    </w:p>
    <w:p>
      <w:pPr>
        <w:spacing w:line="360" w:lineRule="auto"/>
        <w:ind w:firstLine="520"/>
      </w:pPr>
      <w:r>
        <w:t>正常工况下，本项目废气污染物PM</w:t>
      </w:r>
      <w:r>
        <w:rPr>
          <w:vertAlign w:val="subscript"/>
        </w:rPr>
        <w:t>10</w:t>
      </w:r>
      <w:r>
        <w:t>、TSP叠加背景后浓度预测结果见下表。</w:t>
      </w:r>
    </w:p>
    <w:p>
      <w:pPr>
        <w:pStyle w:val="3219"/>
        <w:rPr>
          <w:color w:val="auto"/>
          <w:szCs w:val="24"/>
        </w:rPr>
      </w:pPr>
      <w:r>
        <w:rPr>
          <w:snapToGrid w:val="0"/>
          <w:color w:val="auto"/>
          <w:kern w:val="0"/>
          <w:lang w:val="ru-RU"/>
        </w:rPr>
        <w:t>表6.2-</w:t>
      </w:r>
      <w:r>
        <w:rPr>
          <w:snapToGrid w:val="0"/>
          <w:color w:val="auto"/>
          <w:kern w:val="0"/>
          <w:lang w:val="en-US"/>
        </w:rPr>
        <w:t xml:space="preserve">18   </w:t>
      </w:r>
      <w:r>
        <w:rPr>
          <w:color w:val="auto"/>
        </w:rPr>
        <w:t>叠加</w:t>
      </w:r>
      <w:r>
        <w:rPr>
          <w:color w:val="auto"/>
          <w:lang w:val="en-US"/>
        </w:rPr>
        <w:t>背景</w:t>
      </w:r>
      <w:r>
        <w:rPr>
          <w:color w:val="auto"/>
        </w:rPr>
        <w:t>后保证率日平均环境质量浓度预测结果表（PM</w:t>
      </w:r>
      <w:r>
        <w:rPr>
          <w:color w:val="auto"/>
          <w:vertAlign w:val="subscript"/>
        </w:rPr>
        <w:t>10</w:t>
      </w:r>
      <w:r>
        <w:rPr>
          <w:color w:val="auto"/>
        </w:rPr>
        <w:t>）</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1064"/>
        <w:gridCol w:w="643"/>
        <w:gridCol w:w="1379"/>
        <w:gridCol w:w="1340"/>
        <w:gridCol w:w="1340"/>
        <w:gridCol w:w="1340"/>
        <w:gridCol w:w="818"/>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256"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序号</w:t>
            </w:r>
          </w:p>
        </w:tc>
        <w:tc>
          <w:tcPr>
            <w:tcW w:w="600"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预测点</w:t>
            </w:r>
          </w:p>
        </w:tc>
        <w:tc>
          <w:tcPr>
            <w:tcW w:w="373"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平均时段</w:t>
            </w:r>
          </w:p>
        </w:tc>
        <w:tc>
          <w:tcPr>
            <w:tcW w:w="769"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sz w:val="21"/>
                <w:szCs w:val="21"/>
              </w:rPr>
              <w:t>最大贡献值</w:t>
            </w:r>
            <w:r>
              <w:rPr>
                <w:b/>
                <w:bCs/>
                <w:kern w:val="0"/>
                <w:sz w:val="21"/>
                <w:szCs w:val="21"/>
              </w:rPr>
              <w:t>（μg/m</w:t>
            </w:r>
            <w:r>
              <w:rPr>
                <w:b/>
                <w:bCs/>
                <w:kern w:val="0"/>
                <w:sz w:val="21"/>
                <w:szCs w:val="21"/>
                <w:vertAlign w:val="superscript"/>
              </w:rPr>
              <w:t>3</w:t>
            </w:r>
            <w:r>
              <w:rPr>
                <w:b/>
                <w:bCs/>
                <w:kern w:val="0"/>
                <w:sz w:val="21"/>
                <w:szCs w:val="21"/>
              </w:rPr>
              <w:t>）</w:t>
            </w:r>
          </w:p>
        </w:tc>
        <w:tc>
          <w:tcPr>
            <w:tcW w:w="655"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sz w:val="21"/>
                <w:szCs w:val="21"/>
              </w:rPr>
              <w:t>现状浓度</w:t>
            </w:r>
            <w:r>
              <w:rPr>
                <w:b/>
                <w:bCs/>
                <w:kern w:val="0"/>
                <w:sz w:val="21"/>
                <w:szCs w:val="21"/>
              </w:rPr>
              <w:t>（μg/m</w:t>
            </w:r>
            <w:r>
              <w:rPr>
                <w:b/>
                <w:bCs/>
                <w:kern w:val="0"/>
                <w:sz w:val="21"/>
                <w:szCs w:val="21"/>
                <w:vertAlign w:val="superscript"/>
              </w:rPr>
              <w:t>3</w:t>
            </w:r>
            <w:r>
              <w:rPr>
                <w:b/>
                <w:bCs/>
                <w:kern w:val="0"/>
                <w:sz w:val="21"/>
                <w:szCs w:val="21"/>
              </w:rPr>
              <w:t>）</w:t>
            </w:r>
          </w:p>
        </w:tc>
        <w:tc>
          <w:tcPr>
            <w:tcW w:w="748"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叠加后浓度（μg/m</w:t>
            </w:r>
            <w:r>
              <w:rPr>
                <w:b/>
                <w:bCs/>
                <w:kern w:val="0"/>
                <w:sz w:val="21"/>
                <w:szCs w:val="21"/>
                <w:vertAlign w:val="superscript"/>
              </w:rPr>
              <w:t>3</w:t>
            </w:r>
            <w:r>
              <w:rPr>
                <w:b/>
                <w:bCs/>
                <w:kern w:val="0"/>
                <w:sz w:val="21"/>
                <w:szCs w:val="21"/>
              </w:rPr>
              <w:t>）</w:t>
            </w:r>
          </w:p>
        </w:tc>
        <w:tc>
          <w:tcPr>
            <w:tcW w:w="653"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评价标准（μg/m</w:t>
            </w:r>
            <w:r>
              <w:rPr>
                <w:b/>
                <w:bCs/>
                <w:kern w:val="0"/>
                <w:sz w:val="21"/>
                <w:szCs w:val="21"/>
                <w:vertAlign w:val="superscript"/>
              </w:rPr>
              <w:t>3</w:t>
            </w:r>
            <w:r>
              <w:rPr>
                <w:b/>
                <w:bCs/>
                <w:kern w:val="0"/>
                <w:sz w:val="21"/>
                <w:szCs w:val="21"/>
              </w:rPr>
              <w:t>）</w:t>
            </w:r>
          </w:p>
        </w:tc>
        <w:tc>
          <w:tcPr>
            <w:tcW w:w="440"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占标率/%</w:t>
            </w:r>
          </w:p>
        </w:tc>
        <w:tc>
          <w:tcPr>
            <w:tcW w:w="500" w:type="pct"/>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1</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开采区东北侧居民</w:t>
            </w:r>
          </w:p>
        </w:tc>
        <w:tc>
          <w:tcPr>
            <w:tcW w:w="373" w:type="pct"/>
            <w:vMerge w:val="restar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日平均</w:t>
            </w: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0.17</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43.17</w:t>
            </w:r>
          </w:p>
        </w:tc>
        <w:tc>
          <w:tcPr>
            <w:tcW w:w="653"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86.34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2</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和尚坡</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0.15</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43.15</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86.30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3</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蚕桑局</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0.01</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43.01</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86.02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4</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高滩岩</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0.02</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43.02</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86.04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5</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王家纸厂</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0.05</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43.05</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86.10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6</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马家坡</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0.04</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43.04</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86.08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7</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酢坊沟</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0.01</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43.01</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86.02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8</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向家坡</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0.30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43.3</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86.60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9</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水洞子</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0.03</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43.03</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86.06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10</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茶园村</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0.08</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43.08</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86.16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11</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米坊村</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0.05</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43.05</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86.10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12</w:t>
            </w:r>
          </w:p>
        </w:tc>
        <w:tc>
          <w:tcPr>
            <w:tcW w:w="600" w:type="pct"/>
            <w:vAlign w:val="center"/>
          </w:tcPr>
          <w:p>
            <w:pPr>
              <w:spacing w:line="240" w:lineRule="auto"/>
              <w:ind w:firstLine="0" w:firstLineChars="0"/>
              <w:jc w:val="center"/>
              <w:rPr>
                <w:kern w:val="0"/>
                <w:sz w:val="21"/>
                <w:szCs w:val="21"/>
              </w:rPr>
            </w:pPr>
            <w:r>
              <w:rPr>
                <w:sz w:val="21"/>
                <w:szCs w:val="21"/>
                <w:lang w:bidi="en-US"/>
              </w:rPr>
              <w:t>银窝子</w:t>
            </w:r>
          </w:p>
        </w:tc>
        <w:tc>
          <w:tcPr>
            <w:tcW w:w="373" w:type="pct"/>
            <w:vMerge w:val="continue"/>
            <w:shd w:val="clear" w:color="auto" w:fill="auto"/>
            <w:vAlign w:val="center"/>
          </w:tcPr>
          <w:p>
            <w:pPr>
              <w:widowControl/>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0.01</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43.01</w:t>
            </w:r>
          </w:p>
        </w:tc>
        <w:tc>
          <w:tcPr>
            <w:tcW w:w="653"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86.02 </w:t>
            </w:r>
          </w:p>
        </w:tc>
        <w:tc>
          <w:tcPr>
            <w:tcW w:w="500" w:type="pct"/>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13</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太石湾</w:t>
            </w:r>
          </w:p>
        </w:tc>
        <w:tc>
          <w:tcPr>
            <w:tcW w:w="373" w:type="pct"/>
            <w:vMerge w:val="restar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保证率日平均</w:t>
            </w: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14</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陆家园子</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0.01</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123.76</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82.51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15</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阎罔坡</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0.01</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123.76</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82.51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16</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上后厂</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17</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风过丫</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18</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龙院村</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19</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宁家牛房</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20</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石龙门</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21</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杨柳沟</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22</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塘子湾院子</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123.75</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123.75</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82.50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shd w:val="clear" w:color="auto" w:fill="auto"/>
            <w:vAlign w:val="center"/>
          </w:tcPr>
          <w:p>
            <w:pPr>
              <w:spacing w:line="240" w:lineRule="auto"/>
              <w:ind w:firstLine="0" w:firstLineChars="0"/>
              <w:jc w:val="center"/>
              <w:rPr>
                <w:kern w:val="0"/>
                <w:sz w:val="21"/>
                <w:szCs w:val="21"/>
              </w:rPr>
            </w:pPr>
            <w:r>
              <w:rPr>
                <w:sz w:val="21"/>
                <w:szCs w:val="21"/>
                <w:lang w:bidi="en-US"/>
              </w:rPr>
              <w:t>23</w:t>
            </w:r>
          </w:p>
        </w:tc>
        <w:tc>
          <w:tcPr>
            <w:tcW w:w="600" w:type="pct"/>
            <w:shd w:val="clear" w:color="auto" w:fill="auto"/>
            <w:vAlign w:val="center"/>
          </w:tcPr>
          <w:p>
            <w:pPr>
              <w:spacing w:line="240" w:lineRule="auto"/>
              <w:ind w:firstLine="0" w:firstLineChars="0"/>
              <w:jc w:val="center"/>
              <w:rPr>
                <w:kern w:val="0"/>
                <w:sz w:val="21"/>
                <w:szCs w:val="21"/>
              </w:rPr>
            </w:pPr>
            <w:r>
              <w:rPr>
                <w:sz w:val="21"/>
                <w:szCs w:val="21"/>
                <w:lang w:bidi="en-US"/>
              </w:rPr>
              <w:t>盐井街道</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0.04</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43.04</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50</w:t>
            </w:r>
          </w:p>
        </w:tc>
        <w:tc>
          <w:tcPr>
            <w:tcW w:w="440" w:type="pct"/>
            <w:shd w:val="clear" w:color="auto" w:fill="auto"/>
            <w:vAlign w:val="center"/>
          </w:tcPr>
          <w:p>
            <w:pPr>
              <w:widowControl/>
              <w:ind w:firstLine="0" w:firstLineChars="0"/>
              <w:jc w:val="center"/>
              <w:textAlignment w:val="center"/>
              <w:rPr>
                <w:sz w:val="21"/>
                <w:szCs w:val="21"/>
              </w:rPr>
            </w:pPr>
            <w:r>
              <w:rPr>
                <w:kern w:val="0"/>
                <w:sz w:val="21"/>
                <w:szCs w:val="21"/>
                <w:lang w:bidi="ar"/>
              </w:rPr>
              <w:t>86.08</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kern w:val="0"/>
                <w:sz w:val="21"/>
                <w:szCs w:val="21"/>
              </w:rPr>
            </w:pPr>
            <w:r>
              <w:rPr>
                <w:sz w:val="21"/>
                <w:szCs w:val="21"/>
                <w:lang w:bidi="en-US"/>
              </w:rPr>
              <w:t>24</w:t>
            </w:r>
          </w:p>
        </w:tc>
        <w:tc>
          <w:tcPr>
            <w:tcW w:w="600" w:type="pct"/>
            <w:vAlign w:val="center"/>
          </w:tcPr>
          <w:p>
            <w:pPr>
              <w:spacing w:line="240" w:lineRule="auto"/>
              <w:ind w:firstLine="0" w:firstLineChars="0"/>
              <w:jc w:val="center"/>
              <w:rPr>
                <w:kern w:val="0"/>
                <w:sz w:val="21"/>
                <w:szCs w:val="21"/>
              </w:rPr>
            </w:pPr>
            <w:r>
              <w:rPr>
                <w:sz w:val="21"/>
                <w:szCs w:val="21"/>
                <w:lang w:bidi="en-US"/>
              </w:rPr>
              <w:t>九峰山森林公园</w:t>
            </w:r>
          </w:p>
        </w:tc>
        <w:tc>
          <w:tcPr>
            <w:tcW w:w="373" w:type="pct"/>
            <w:vMerge w:val="restar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日平均</w:t>
            </w: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0.18</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43.18</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86.36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256" w:type="pct"/>
            <w:vAlign w:val="center"/>
          </w:tcPr>
          <w:p>
            <w:pPr>
              <w:spacing w:line="240" w:lineRule="auto"/>
              <w:ind w:firstLine="0" w:firstLineChars="0"/>
              <w:jc w:val="center"/>
              <w:rPr>
                <w:sz w:val="21"/>
                <w:szCs w:val="21"/>
                <w:lang w:bidi="en-US"/>
              </w:rPr>
            </w:pPr>
            <w:r>
              <w:rPr>
                <w:sz w:val="21"/>
                <w:szCs w:val="21"/>
                <w:lang w:bidi="en-US"/>
              </w:rPr>
              <w:t>25</w:t>
            </w:r>
          </w:p>
        </w:tc>
        <w:tc>
          <w:tcPr>
            <w:tcW w:w="600" w:type="pct"/>
            <w:vAlign w:val="center"/>
          </w:tcPr>
          <w:p>
            <w:pPr>
              <w:spacing w:line="240" w:lineRule="auto"/>
              <w:ind w:firstLine="0" w:firstLineChars="0"/>
              <w:jc w:val="center"/>
              <w:rPr>
                <w:sz w:val="21"/>
                <w:szCs w:val="21"/>
                <w:lang w:bidi="en-US"/>
              </w:rPr>
            </w:pPr>
            <w:r>
              <w:rPr>
                <w:kern w:val="0"/>
                <w:sz w:val="21"/>
                <w:szCs w:val="21"/>
              </w:rPr>
              <w:t>网格最大浓度点（处于一</w:t>
            </w:r>
          </w:p>
        </w:tc>
        <w:tc>
          <w:tcPr>
            <w:tcW w:w="373" w:type="pct"/>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769"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1.42</w:t>
            </w:r>
          </w:p>
        </w:tc>
        <w:tc>
          <w:tcPr>
            <w:tcW w:w="655" w:type="pct"/>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43</w:t>
            </w:r>
          </w:p>
        </w:tc>
        <w:tc>
          <w:tcPr>
            <w:tcW w:w="748"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44.42</w:t>
            </w:r>
          </w:p>
        </w:tc>
        <w:tc>
          <w:tcPr>
            <w:tcW w:w="65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50</w:t>
            </w:r>
          </w:p>
        </w:tc>
        <w:tc>
          <w:tcPr>
            <w:tcW w:w="440"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88.84 </w:t>
            </w:r>
          </w:p>
        </w:tc>
        <w:tc>
          <w:tcPr>
            <w:tcW w:w="50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bl>
    <w:p>
      <w:pPr>
        <w:pStyle w:val="3219"/>
        <w:rPr>
          <w:color w:val="auto"/>
          <w:szCs w:val="24"/>
        </w:rPr>
      </w:pPr>
      <w:r>
        <w:rPr>
          <w:snapToGrid w:val="0"/>
          <w:color w:val="auto"/>
          <w:kern w:val="0"/>
          <w:lang w:val="ru-RU"/>
        </w:rPr>
        <w:t>表6.2-</w:t>
      </w:r>
      <w:r>
        <w:rPr>
          <w:snapToGrid w:val="0"/>
          <w:color w:val="auto"/>
          <w:kern w:val="0"/>
          <w:lang w:val="en-US"/>
        </w:rPr>
        <w:t xml:space="preserve">19   </w:t>
      </w:r>
      <w:r>
        <w:rPr>
          <w:color w:val="auto"/>
        </w:rPr>
        <w:t>叠加</w:t>
      </w:r>
      <w:r>
        <w:rPr>
          <w:color w:val="auto"/>
          <w:lang w:val="en-US"/>
        </w:rPr>
        <w:t>背景</w:t>
      </w:r>
      <w:r>
        <w:rPr>
          <w:color w:val="auto"/>
        </w:rPr>
        <w:t>后</w:t>
      </w:r>
      <w:r>
        <w:rPr>
          <w:color w:val="auto"/>
          <w:lang w:val="en-US"/>
        </w:rPr>
        <w:t>年</w:t>
      </w:r>
      <w:r>
        <w:rPr>
          <w:color w:val="auto"/>
        </w:rPr>
        <w:t>平均环境质量浓度预测结果表（PM</w:t>
      </w:r>
      <w:r>
        <w:rPr>
          <w:color w:val="auto"/>
          <w:vertAlign w:val="subscript"/>
        </w:rPr>
        <w:t>10</w:t>
      </w:r>
      <w:r>
        <w:rPr>
          <w:color w:val="auto"/>
        </w:rPr>
        <w:t>）</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1104"/>
        <w:gridCol w:w="743"/>
        <w:gridCol w:w="1340"/>
        <w:gridCol w:w="1340"/>
        <w:gridCol w:w="1340"/>
        <w:gridCol w:w="1382"/>
        <w:gridCol w:w="818"/>
        <w:gridCol w:w="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428"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序号</w:t>
            </w:r>
          </w:p>
        </w:tc>
        <w:tc>
          <w:tcPr>
            <w:tcW w:w="1268"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预测点</w:t>
            </w:r>
          </w:p>
        </w:tc>
        <w:tc>
          <w:tcPr>
            <w:tcW w:w="853"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平均时段</w:t>
            </w:r>
          </w:p>
        </w:tc>
        <w:tc>
          <w:tcPr>
            <w:tcW w:w="1272"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sz w:val="21"/>
                <w:szCs w:val="21"/>
              </w:rPr>
              <w:t>最大贡献值</w:t>
            </w:r>
            <w:r>
              <w:rPr>
                <w:b/>
                <w:bCs/>
                <w:kern w:val="0"/>
                <w:sz w:val="21"/>
                <w:szCs w:val="21"/>
              </w:rPr>
              <w:t>（μg/m</w:t>
            </w:r>
            <w:r>
              <w:rPr>
                <w:b/>
                <w:bCs/>
                <w:kern w:val="0"/>
                <w:sz w:val="21"/>
                <w:szCs w:val="21"/>
                <w:vertAlign w:val="superscript"/>
              </w:rPr>
              <w:t>3</w:t>
            </w:r>
            <w:r>
              <w:rPr>
                <w:b/>
                <w:bCs/>
                <w:kern w:val="0"/>
                <w:sz w:val="21"/>
                <w:szCs w:val="21"/>
              </w:rPr>
              <w:t>）</w:t>
            </w:r>
          </w:p>
        </w:tc>
        <w:tc>
          <w:tcPr>
            <w:tcW w:w="1171"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sz w:val="21"/>
                <w:szCs w:val="21"/>
              </w:rPr>
              <w:t>现状浓度</w:t>
            </w:r>
            <w:r>
              <w:rPr>
                <w:b/>
                <w:bCs/>
                <w:kern w:val="0"/>
                <w:sz w:val="21"/>
                <w:szCs w:val="21"/>
              </w:rPr>
              <w:t>（μg/m</w:t>
            </w:r>
            <w:r>
              <w:rPr>
                <w:b/>
                <w:bCs/>
                <w:kern w:val="0"/>
                <w:sz w:val="21"/>
                <w:szCs w:val="21"/>
                <w:vertAlign w:val="superscript"/>
              </w:rPr>
              <w:t>3</w:t>
            </w:r>
            <w:r>
              <w:rPr>
                <w:b/>
                <w:bCs/>
                <w:kern w:val="0"/>
                <w:sz w:val="21"/>
                <w:szCs w:val="21"/>
              </w:rPr>
              <w:t>）</w:t>
            </w:r>
          </w:p>
        </w:tc>
        <w:tc>
          <w:tcPr>
            <w:tcW w:w="1280"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叠加后浓度（μg/m</w:t>
            </w:r>
            <w:r>
              <w:rPr>
                <w:b/>
                <w:bCs/>
                <w:kern w:val="0"/>
                <w:sz w:val="21"/>
                <w:szCs w:val="21"/>
                <w:vertAlign w:val="superscript"/>
              </w:rPr>
              <w:t>3</w:t>
            </w:r>
            <w:r>
              <w:rPr>
                <w:b/>
                <w:bCs/>
                <w:kern w:val="0"/>
                <w:sz w:val="21"/>
                <w:szCs w:val="21"/>
              </w:rPr>
              <w:t>）</w:t>
            </w:r>
          </w:p>
        </w:tc>
        <w:tc>
          <w:tcPr>
            <w:tcW w:w="1396" w:type="dxa"/>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评价标准（μg/m</w:t>
            </w:r>
            <w:r>
              <w:rPr>
                <w:b/>
                <w:bCs/>
                <w:kern w:val="0"/>
                <w:sz w:val="21"/>
                <w:szCs w:val="21"/>
                <w:vertAlign w:val="superscript"/>
              </w:rPr>
              <w:t>3</w:t>
            </w:r>
            <w:r>
              <w:rPr>
                <w:b/>
                <w:bCs/>
                <w:kern w:val="0"/>
                <w:sz w:val="21"/>
                <w:szCs w:val="21"/>
              </w:rPr>
              <w:t>）</w:t>
            </w:r>
          </w:p>
        </w:tc>
        <w:tc>
          <w:tcPr>
            <w:tcW w:w="549"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占标率/%</w:t>
            </w:r>
          </w:p>
        </w:tc>
        <w:tc>
          <w:tcPr>
            <w:tcW w:w="844" w:type="dxa"/>
            <w:shd w:val="clear" w:color="auto" w:fill="D8D8D8" w:themeFill="background1" w:themeFillShade="D9"/>
            <w:vAlign w:val="center"/>
          </w:tcPr>
          <w:p>
            <w:pPr>
              <w:widowControl/>
              <w:spacing w:line="240" w:lineRule="auto"/>
              <w:ind w:firstLine="0" w:firstLineChars="0"/>
              <w:jc w:val="center"/>
              <w:rPr>
                <w:b/>
                <w:bCs/>
                <w:kern w:val="0"/>
                <w:sz w:val="21"/>
                <w:szCs w:val="21"/>
              </w:rPr>
            </w:pPr>
            <w:r>
              <w:rPr>
                <w:b/>
                <w:bCs/>
                <w:kern w:val="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1</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开采区东北侧居民</w:t>
            </w:r>
          </w:p>
        </w:tc>
        <w:tc>
          <w:tcPr>
            <w:tcW w:w="853" w:type="dxa"/>
            <w:vMerge w:val="restar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年平均</w:t>
            </w:r>
          </w:p>
        </w:tc>
        <w:tc>
          <w:tcPr>
            <w:tcW w:w="1272" w:type="dxa"/>
            <w:shd w:val="clear" w:color="auto" w:fill="auto"/>
            <w:vAlign w:val="center"/>
          </w:tcPr>
          <w:p>
            <w:pPr>
              <w:widowControl/>
              <w:spacing w:line="240" w:lineRule="auto"/>
              <w:ind w:firstLine="0" w:firstLineChars="0"/>
              <w:jc w:val="center"/>
              <w:rPr>
                <w:kern w:val="0"/>
                <w:sz w:val="21"/>
                <w:szCs w:val="21"/>
              </w:rPr>
            </w:pPr>
            <w:r>
              <w:rPr>
                <w:sz w:val="21"/>
                <w:szCs w:val="21"/>
              </w:rPr>
              <w:t>0.04</w:t>
            </w:r>
          </w:p>
        </w:tc>
        <w:tc>
          <w:tcPr>
            <w:tcW w:w="1171"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40.00</w:t>
            </w:r>
          </w:p>
        </w:tc>
        <w:tc>
          <w:tcPr>
            <w:tcW w:w="549"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2</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和尚坡</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0.04</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3</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蚕桑局</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0.00</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4</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高滩岩</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0.00</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5</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王家纸厂</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0.01</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6</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马家坡</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0.01</w:t>
            </w:r>
          </w:p>
        </w:tc>
        <w:tc>
          <w:tcPr>
            <w:tcW w:w="1171" w:type="dxa"/>
            <w:shd w:val="clear" w:color="auto" w:fill="auto"/>
          </w:tcPr>
          <w:p>
            <w:pPr>
              <w:widowControl/>
              <w:spacing w:line="240" w:lineRule="auto"/>
              <w:ind w:firstLine="0" w:firstLineChars="0"/>
              <w:jc w:val="center"/>
              <w:rPr>
                <w:kern w:val="0"/>
                <w:sz w:val="21"/>
                <w:szCs w:val="21"/>
              </w:rPr>
            </w:pPr>
          </w:p>
        </w:tc>
        <w:tc>
          <w:tcPr>
            <w:tcW w:w="1280" w:type="dxa"/>
            <w:shd w:val="clear" w:color="auto" w:fill="auto"/>
          </w:tcPr>
          <w:p>
            <w:pPr>
              <w:widowControl/>
              <w:spacing w:line="240" w:lineRule="auto"/>
              <w:ind w:firstLine="0" w:firstLineChars="0"/>
              <w:jc w:val="center"/>
              <w:rPr>
                <w:kern w:val="0"/>
                <w:sz w:val="21"/>
                <w:szCs w:val="21"/>
              </w:rPr>
            </w:pP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7</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酢坊沟</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0.00</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8</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向家坡</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0.09</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9</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水洞子</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0.01</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10</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茶园村</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0.02</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11</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米坊村</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0.01</w:t>
            </w:r>
          </w:p>
        </w:tc>
        <w:tc>
          <w:tcPr>
            <w:tcW w:w="1171"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12</w:t>
            </w:r>
          </w:p>
        </w:tc>
        <w:tc>
          <w:tcPr>
            <w:tcW w:w="1268" w:type="dxa"/>
            <w:vAlign w:val="center"/>
          </w:tcPr>
          <w:p>
            <w:pPr>
              <w:spacing w:line="240" w:lineRule="auto"/>
              <w:ind w:firstLine="0" w:firstLineChars="0"/>
              <w:jc w:val="center"/>
              <w:rPr>
                <w:kern w:val="0"/>
                <w:sz w:val="21"/>
                <w:szCs w:val="21"/>
              </w:rPr>
            </w:pPr>
            <w:r>
              <w:rPr>
                <w:sz w:val="21"/>
                <w:szCs w:val="21"/>
                <w:lang w:bidi="en-US"/>
              </w:rPr>
              <w:t>银窝子</w:t>
            </w:r>
          </w:p>
        </w:tc>
        <w:tc>
          <w:tcPr>
            <w:tcW w:w="853" w:type="dxa"/>
            <w:vMerge w:val="continue"/>
            <w:shd w:val="clear" w:color="auto" w:fill="auto"/>
            <w:vAlign w:val="center"/>
          </w:tcPr>
          <w:p>
            <w:pPr>
              <w:widowControl/>
              <w:spacing w:line="240" w:lineRule="auto"/>
              <w:ind w:firstLine="0" w:firstLineChars="0"/>
              <w:jc w:val="center"/>
              <w:rPr>
                <w:kern w:val="0"/>
                <w:sz w:val="21"/>
                <w:szCs w:val="21"/>
              </w:rPr>
            </w:pPr>
          </w:p>
        </w:tc>
        <w:tc>
          <w:tcPr>
            <w:tcW w:w="1272" w:type="dxa"/>
            <w:shd w:val="clear" w:color="auto" w:fill="auto"/>
          </w:tcPr>
          <w:p>
            <w:pPr>
              <w:widowControl/>
              <w:spacing w:line="240" w:lineRule="auto"/>
              <w:ind w:firstLine="0" w:firstLineChars="0"/>
              <w:jc w:val="center"/>
              <w:rPr>
                <w:kern w:val="0"/>
                <w:sz w:val="21"/>
                <w:szCs w:val="21"/>
              </w:rPr>
            </w:pPr>
            <w:r>
              <w:rPr>
                <w:sz w:val="21"/>
                <w:szCs w:val="21"/>
              </w:rPr>
              <w:t>0.00</w:t>
            </w:r>
          </w:p>
        </w:tc>
        <w:tc>
          <w:tcPr>
            <w:tcW w:w="1171"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tcPr>
          <w:p>
            <w:pPr>
              <w:widowControl/>
              <w:spacing w:line="240" w:lineRule="auto"/>
              <w:ind w:firstLine="0" w:firstLineChars="0"/>
              <w:jc w:val="center"/>
              <w:rPr>
                <w:sz w:val="21"/>
                <w:szCs w:val="21"/>
              </w:rPr>
            </w:pPr>
            <w:r>
              <w:rPr>
                <w:sz w:val="21"/>
                <w:szCs w:val="21"/>
              </w:rPr>
              <w:t>40.00</w:t>
            </w:r>
          </w:p>
        </w:tc>
        <w:tc>
          <w:tcPr>
            <w:tcW w:w="549"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13</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太石湾</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14</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陆家园子</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15</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阎罔坡</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16</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上后厂</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17</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风过丫</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18</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龙院村</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19</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宁家牛房</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20</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石龙门</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21</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杨柳沟</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22</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塘子湾院子</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0.00</w:t>
            </w:r>
          </w:p>
        </w:tc>
        <w:tc>
          <w:tcPr>
            <w:tcW w:w="1171" w:type="dxa"/>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51.0</w:t>
            </w:r>
          </w:p>
        </w:tc>
        <w:tc>
          <w:tcPr>
            <w:tcW w:w="1280"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51.0</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70</w:t>
            </w:r>
            <w:r>
              <w:rPr>
                <w:sz w:val="21"/>
                <w:szCs w:val="21"/>
              </w:rPr>
              <w:t>.00</w:t>
            </w:r>
          </w:p>
        </w:tc>
        <w:tc>
          <w:tcPr>
            <w:tcW w:w="549" w:type="dxa"/>
            <w:shd w:val="clear" w:color="auto" w:fill="auto"/>
            <w:vAlign w:val="center"/>
          </w:tcPr>
          <w:p>
            <w:pPr>
              <w:widowControl/>
              <w:spacing w:line="240" w:lineRule="auto"/>
              <w:ind w:firstLine="0" w:firstLineChars="0"/>
              <w:jc w:val="right"/>
              <w:textAlignment w:val="center"/>
              <w:rPr>
                <w:kern w:val="0"/>
                <w:sz w:val="21"/>
                <w:szCs w:val="21"/>
              </w:rPr>
            </w:pPr>
            <w:r>
              <w:rPr>
                <w:kern w:val="0"/>
                <w:sz w:val="21"/>
                <w:szCs w:val="21"/>
                <w:lang w:bidi="ar"/>
              </w:rPr>
              <w:t xml:space="preserve">72.86 </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shd w:val="clear" w:color="auto" w:fill="auto"/>
            <w:vAlign w:val="center"/>
          </w:tcPr>
          <w:p>
            <w:pPr>
              <w:spacing w:line="240" w:lineRule="auto"/>
              <w:ind w:firstLine="0" w:firstLineChars="0"/>
              <w:jc w:val="center"/>
              <w:rPr>
                <w:kern w:val="0"/>
                <w:sz w:val="21"/>
                <w:szCs w:val="21"/>
              </w:rPr>
            </w:pPr>
            <w:r>
              <w:rPr>
                <w:sz w:val="21"/>
                <w:szCs w:val="21"/>
                <w:lang w:bidi="en-US"/>
              </w:rPr>
              <w:t>23</w:t>
            </w:r>
          </w:p>
        </w:tc>
        <w:tc>
          <w:tcPr>
            <w:tcW w:w="1268" w:type="dxa"/>
            <w:shd w:val="clear" w:color="auto" w:fill="auto"/>
            <w:vAlign w:val="center"/>
          </w:tcPr>
          <w:p>
            <w:pPr>
              <w:spacing w:line="240" w:lineRule="auto"/>
              <w:ind w:firstLine="0" w:firstLineChars="0"/>
              <w:jc w:val="center"/>
              <w:rPr>
                <w:kern w:val="0"/>
                <w:sz w:val="21"/>
                <w:szCs w:val="21"/>
              </w:rPr>
            </w:pPr>
            <w:r>
              <w:rPr>
                <w:sz w:val="21"/>
                <w:szCs w:val="21"/>
                <w:lang w:bidi="en-US"/>
              </w:rPr>
              <w:t>盐井街道</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lang w:bidi="ar"/>
              </w:rPr>
            </w:pPr>
            <w:r>
              <w:rPr>
                <w:sz w:val="21"/>
                <w:szCs w:val="21"/>
              </w:rPr>
              <w:t>0.01</w:t>
            </w:r>
          </w:p>
        </w:tc>
        <w:tc>
          <w:tcPr>
            <w:tcW w:w="1171" w:type="dxa"/>
            <w:shd w:val="clear" w:color="auto" w:fill="auto"/>
          </w:tcPr>
          <w:p>
            <w:pPr>
              <w:widowControl/>
              <w:spacing w:line="240" w:lineRule="auto"/>
              <w:ind w:firstLine="0" w:firstLineChars="0"/>
              <w:jc w:val="center"/>
              <w:rPr>
                <w:kern w:val="0"/>
                <w:sz w:val="21"/>
                <w:szCs w:val="21"/>
                <w:lang w:bidi="ar"/>
              </w:rPr>
            </w:pPr>
            <w:r>
              <w:rPr>
                <w:kern w:val="0"/>
                <w:sz w:val="21"/>
                <w:szCs w:val="21"/>
              </w:rPr>
              <w:t>-</w:t>
            </w:r>
          </w:p>
        </w:tc>
        <w:tc>
          <w:tcPr>
            <w:tcW w:w="1280"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sz w:val="21"/>
                <w:szCs w:val="21"/>
              </w:rPr>
              <w:t>40.00</w:t>
            </w:r>
          </w:p>
        </w:tc>
        <w:tc>
          <w:tcPr>
            <w:tcW w:w="549" w:type="dxa"/>
            <w:shd w:val="clear" w:color="auto" w:fill="auto"/>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28" w:type="dxa"/>
            <w:vAlign w:val="center"/>
          </w:tcPr>
          <w:p>
            <w:pPr>
              <w:spacing w:line="240" w:lineRule="auto"/>
              <w:ind w:firstLine="0" w:firstLineChars="0"/>
              <w:jc w:val="center"/>
              <w:rPr>
                <w:kern w:val="0"/>
                <w:sz w:val="21"/>
                <w:szCs w:val="21"/>
              </w:rPr>
            </w:pPr>
            <w:r>
              <w:rPr>
                <w:sz w:val="21"/>
                <w:szCs w:val="21"/>
                <w:lang w:bidi="en-US"/>
              </w:rPr>
              <w:t>24</w:t>
            </w:r>
          </w:p>
        </w:tc>
        <w:tc>
          <w:tcPr>
            <w:tcW w:w="1268" w:type="dxa"/>
            <w:vAlign w:val="center"/>
          </w:tcPr>
          <w:p>
            <w:pPr>
              <w:spacing w:line="240" w:lineRule="auto"/>
              <w:ind w:firstLine="0" w:firstLineChars="0"/>
              <w:jc w:val="center"/>
              <w:rPr>
                <w:kern w:val="0"/>
                <w:sz w:val="21"/>
                <w:szCs w:val="21"/>
              </w:rPr>
            </w:pPr>
            <w:r>
              <w:rPr>
                <w:sz w:val="21"/>
                <w:szCs w:val="21"/>
                <w:lang w:bidi="en-US"/>
              </w:rPr>
              <w:t>九峰山森林公园</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spacing w:line="240" w:lineRule="auto"/>
              <w:ind w:firstLine="0" w:firstLineChars="0"/>
              <w:jc w:val="center"/>
              <w:textAlignment w:val="center"/>
              <w:rPr>
                <w:kern w:val="0"/>
                <w:sz w:val="21"/>
                <w:szCs w:val="21"/>
              </w:rPr>
            </w:pPr>
            <w:r>
              <w:rPr>
                <w:sz w:val="21"/>
                <w:szCs w:val="21"/>
              </w:rPr>
              <w:t>0.05</w:t>
            </w:r>
          </w:p>
        </w:tc>
        <w:tc>
          <w:tcPr>
            <w:tcW w:w="1171"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1280"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1396" w:type="dxa"/>
            <w:shd w:val="clear" w:color="auto" w:fill="auto"/>
            <w:vAlign w:val="center"/>
          </w:tcPr>
          <w:p>
            <w:pPr>
              <w:widowControl/>
              <w:spacing w:line="240" w:lineRule="auto"/>
              <w:ind w:firstLine="0" w:firstLineChars="0"/>
              <w:jc w:val="center"/>
              <w:textAlignment w:val="center"/>
              <w:rPr>
                <w:sz w:val="21"/>
                <w:szCs w:val="21"/>
              </w:rPr>
            </w:pPr>
            <w:r>
              <w:rPr>
                <w:sz w:val="21"/>
                <w:szCs w:val="21"/>
              </w:rPr>
              <w:t>40.00</w:t>
            </w:r>
          </w:p>
        </w:tc>
        <w:tc>
          <w:tcPr>
            <w:tcW w:w="549" w:type="dxa"/>
            <w:shd w:val="clear" w:color="auto" w:fill="auto"/>
            <w:vAlign w:val="center"/>
          </w:tcPr>
          <w:p>
            <w:pPr>
              <w:widowControl/>
              <w:spacing w:line="240" w:lineRule="auto"/>
              <w:ind w:firstLine="0" w:firstLineChars="0"/>
              <w:jc w:val="center"/>
              <w:rPr>
                <w:kern w:val="0"/>
                <w:sz w:val="21"/>
                <w:szCs w:val="21"/>
              </w:rPr>
            </w:pPr>
            <w:r>
              <w:rPr>
                <w:kern w:val="0"/>
                <w:sz w:val="21"/>
                <w:szCs w:val="21"/>
              </w:rPr>
              <w:t>-</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5" w:hRule="atLeast"/>
          <w:jc w:val="center"/>
        </w:trPr>
        <w:tc>
          <w:tcPr>
            <w:tcW w:w="428" w:type="dxa"/>
            <w:vAlign w:val="center"/>
          </w:tcPr>
          <w:p>
            <w:pPr>
              <w:spacing w:line="240" w:lineRule="auto"/>
              <w:ind w:firstLine="0" w:firstLineChars="0"/>
              <w:jc w:val="center"/>
              <w:rPr>
                <w:sz w:val="21"/>
                <w:szCs w:val="21"/>
                <w:lang w:bidi="en-US"/>
              </w:rPr>
            </w:pPr>
            <w:r>
              <w:rPr>
                <w:sz w:val="21"/>
                <w:szCs w:val="21"/>
                <w:lang w:bidi="en-US"/>
              </w:rPr>
              <w:t>25</w:t>
            </w:r>
          </w:p>
        </w:tc>
        <w:tc>
          <w:tcPr>
            <w:tcW w:w="1268" w:type="dxa"/>
            <w:vAlign w:val="center"/>
          </w:tcPr>
          <w:p>
            <w:pPr>
              <w:spacing w:line="240" w:lineRule="auto"/>
              <w:ind w:firstLine="0" w:firstLineChars="0"/>
              <w:jc w:val="center"/>
              <w:rPr>
                <w:sz w:val="21"/>
                <w:szCs w:val="21"/>
                <w:lang w:bidi="en-US"/>
              </w:rPr>
            </w:pPr>
            <w:r>
              <w:rPr>
                <w:kern w:val="0"/>
                <w:sz w:val="21"/>
                <w:szCs w:val="21"/>
              </w:rPr>
              <w:t>网格最大浓度点（处于二类区）</w:t>
            </w:r>
          </w:p>
        </w:tc>
        <w:tc>
          <w:tcPr>
            <w:tcW w:w="853" w:type="dxa"/>
            <w:vMerge w:val="continue"/>
            <w:shd w:val="clear" w:color="auto" w:fill="auto"/>
            <w:vAlign w:val="center"/>
          </w:tcPr>
          <w:p>
            <w:pPr>
              <w:widowControl/>
              <w:adjustRightInd/>
              <w:snapToGrid/>
              <w:spacing w:line="240" w:lineRule="auto"/>
              <w:ind w:firstLine="0" w:firstLineChars="0"/>
              <w:jc w:val="center"/>
              <w:rPr>
                <w:kern w:val="0"/>
                <w:sz w:val="21"/>
                <w:szCs w:val="21"/>
              </w:rPr>
            </w:pPr>
          </w:p>
        </w:tc>
        <w:tc>
          <w:tcPr>
            <w:tcW w:w="1272" w:type="dxa"/>
            <w:shd w:val="clear" w:color="auto" w:fill="auto"/>
            <w:vAlign w:val="center"/>
          </w:tcPr>
          <w:p>
            <w:pPr>
              <w:widowControl/>
              <w:adjustRightInd/>
              <w:snapToGrid/>
              <w:spacing w:line="240" w:lineRule="auto"/>
              <w:ind w:firstLine="0" w:firstLineChars="0"/>
              <w:jc w:val="center"/>
              <w:rPr>
                <w:sz w:val="21"/>
                <w:szCs w:val="21"/>
              </w:rPr>
            </w:pPr>
            <w:r>
              <w:rPr>
                <w:sz w:val="21"/>
                <w:szCs w:val="21"/>
              </w:rPr>
              <w:t>0.37</w:t>
            </w:r>
          </w:p>
        </w:tc>
        <w:tc>
          <w:tcPr>
            <w:tcW w:w="1171" w:type="dxa"/>
            <w:shd w:val="clear" w:color="auto" w:fill="auto"/>
            <w:vAlign w:val="center"/>
          </w:tcPr>
          <w:p>
            <w:pPr>
              <w:widowControl/>
              <w:adjustRightInd/>
              <w:snapToGrid/>
              <w:spacing w:line="240" w:lineRule="auto"/>
              <w:ind w:firstLine="0" w:firstLineChars="0"/>
              <w:jc w:val="center"/>
              <w:rPr>
                <w:sz w:val="21"/>
                <w:szCs w:val="21"/>
              </w:rPr>
            </w:pPr>
            <w:r>
              <w:rPr>
                <w:kern w:val="0"/>
                <w:sz w:val="21"/>
                <w:szCs w:val="21"/>
                <w:lang w:bidi="ar"/>
              </w:rPr>
              <w:t>51.0</w:t>
            </w:r>
          </w:p>
        </w:tc>
        <w:tc>
          <w:tcPr>
            <w:tcW w:w="1280" w:type="dxa"/>
            <w:shd w:val="clear" w:color="auto" w:fill="auto"/>
            <w:vAlign w:val="center"/>
          </w:tcPr>
          <w:p>
            <w:pPr>
              <w:widowControl/>
              <w:adjustRightInd/>
              <w:snapToGrid/>
              <w:spacing w:line="240" w:lineRule="auto"/>
              <w:ind w:firstLine="0" w:firstLineChars="0"/>
              <w:jc w:val="center"/>
              <w:rPr>
                <w:sz w:val="21"/>
                <w:szCs w:val="21"/>
              </w:rPr>
            </w:pPr>
            <w:r>
              <w:rPr>
                <w:sz w:val="21"/>
                <w:szCs w:val="21"/>
              </w:rPr>
              <w:t>51.37</w:t>
            </w:r>
          </w:p>
        </w:tc>
        <w:tc>
          <w:tcPr>
            <w:tcW w:w="1396" w:type="dxa"/>
            <w:shd w:val="clear" w:color="auto" w:fill="auto"/>
            <w:vAlign w:val="center"/>
          </w:tcPr>
          <w:p>
            <w:pPr>
              <w:widowControl/>
              <w:adjustRightInd/>
              <w:snapToGrid/>
              <w:spacing w:line="240" w:lineRule="auto"/>
              <w:ind w:firstLine="0" w:firstLineChars="0"/>
              <w:jc w:val="center"/>
              <w:rPr>
                <w:sz w:val="21"/>
                <w:szCs w:val="21"/>
              </w:rPr>
            </w:pPr>
            <w:r>
              <w:rPr>
                <w:sz w:val="21"/>
                <w:szCs w:val="21"/>
              </w:rPr>
              <w:t>70</w:t>
            </w:r>
          </w:p>
        </w:tc>
        <w:tc>
          <w:tcPr>
            <w:tcW w:w="549" w:type="dxa"/>
            <w:shd w:val="clear" w:color="auto" w:fill="auto"/>
            <w:vAlign w:val="center"/>
          </w:tcPr>
          <w:p>
            <w:pPr>
              <w:widowControl/>
              <w:spacing w:line="240" w:lineRule="auto"/>
              <w:ind w:firstLine="0" w:firstLineChars="0"/>
              <w:jc w:val="center"/>
              <w:textAlignment w:val="center"/>
              <w:rPr>
                <w:sz w:val="21"/>
                <w:szCs w:val="21"/>
              </w:rPr>
            </w:pPr>
            <w:r>
              <w:rPr>
                <w:sz w:val="21"/>
                <w:szCs w:val="21"/>
              </w:rPr>
              <w:t>73.39</w:t>
            </w:r>
          </w:p>
        </w:tc>
        <w:tc>
          <w:tcPr>
            <w:tcW w:w="844" w:type="dxa"/>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bl>
    <w:p>
      <w:pPr>
        <w:pStyle w:val="84"/>
      </w:pPr>
      <w:r>
        <w:t>表6.2-20  叠加后日平均质量浓度预测结果表（TSP）</w:t>
      </w:r>
    </w:p>
    <w:tbl>
      <w:tblPr>
        <w:tblStyle w:val="8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909"/>
        <w:gridCol w:w="779"/>
        <w:gridCol w:w="1340"/>
        <w:gridCol w:w="1340"/>
        <w:gridCol w:w="1340"/>
        <w:gridCol w:w="1341"/>
        <w:gridCol w:w="929"/>
        <w:gridCol w:w="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344"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序号</w:t>
            </w:r>
          </w:p>
        </w:tc>
        <w:tc>
          <w:tcPr>
            <w:tcW w:w="560"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预测点</w:t>
            </w:r>
          </w:p>
        </w:tc>
        <w:tc>
          <w:tcPr>
            <w:tcW w:w="490"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平均时段</w:t>
            </w:r>
          </w:p>
        </w:tc>
        <w:tc>
          <w:tcPr>
            <w:tcW w:w="711"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贡献值（μg/m</w:t>
            </w:r>
            <w:r>
              <w:rPr>
                <w:b/>
                <w:bCs/>
                <w:kern w:val="0"/>
                <w:sz w:val="21"/>
                <w:szCs w:val="21"/>
                <w:vertAlign w:val="superscript"/>
              </w:rPr>
              <w:t>3</w:t>
            </w:r>
            <w:r>
              <w:rPr>
                <w:b/>
                <w:bCs/>
                <w:kern w:val="0"/>
                <w:sz w:val="21"/>
                <w:szCs w:val="21"/>
              </w:rPr>
              <w:t>）</w:t>
            </w:r>
          </w:p>
        </w:tc>
        <w:tc>
          <w:tcPr>
            <w:tcW w:w="626"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现状浓度（μg/m</w:t>
            </w:r>
            <w:r>
              <w:rPr>
                <w:b/>
                <w:bCs/>
                <w:kern w:val="0"/>
                <w:sz w:val="21"/>
                <w:szCs w:val="21"/>
                <w:vertAlign w:val="superscript"/>
              </w:rPr>
              <w:t>3</w:t>
            </w:r>
            <w:r>
              <w:rPr>
                <w:b/>
                <w:bCs/>
                <w:kern w:val="0"/>
                <w:sz w:val="21"/>
                <w:szCs w:val="21"/>
              </w:rPr>
              <w:t>）</w:t>
            </w:r>
          </w:p>
        </w:tc>
        <w:tc>
          <w:tcPr>
            <w:tcW w:w="626"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叠加后浓度（μg/m</w:t>
            </w:r>
            <w:r>
              <w:rPr>
                <w:b/>
                <w:bCs/>
                <w:kern w:val="0"/>
                <w:sz w:val="21"/>
                <w:szCs w:val="21"/>
                <w:vertAlign w:val="superscript"/>
              </w:rPr>
              <w:t>3</w:t>
            </w:r>
            <w:r>
              <w:rPr>
                <w:b/>
                <w:bCs/>
                <w:kern w:val="0"/>
                <w:sz w:val="21"/>
                <w:szCs w:val="21"/>
              </w:rPr>
              <w:t>）</w:t>
            </w:r>
          </w:p>
        </w:tc>
        <w:tc>
          <w:tcPr>
            <w:tcW w:w="570"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评价标准（μg/m</w:t>
            </w:r>
            <w:r>
              <w:rPr>
                <w:b/>
                <w:bCs/>
                <w:kern w:val="0"/>
                <w:sz w:val="21"/>
                <w:szCs w:val="21"/>
                <w:vertAlign w:val="superscript"/>
              </w:rPr>
              <w:t>3</w:t>
            </w:r>
            <w:r>
              <w:rPr>
                <w:b/>
                <w:bCs/>
                <w:kern w:val="0"/>
                <w:sz w:val="21"/>
                <w:szCs w:val="21"/>
              </w:rPr>
              <w:t>）</w:t>
            </w:r>
          </w:p>
        </w:tc>
        <w:tc>
          <w:tcPr>
            <w:tcW w:w="570"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占标率/%</w:t>
            </w:r>
          </w:p>
        </w:tc>
        <w:tc>
          <w:tcPr>
            <w:tcW w:w="498" w:type="pct"/>
            <w:shd w:val="clear" w:color="auto" w:fill="D8D8D8" w:themeFill="background1" w:themeFillShade="D9"/>
            <w:vAlign w:val="center"/>
          </w:tcPr>
          <w:p>
            <w:pPr>
              <w:widowControl/>
              <w:adjustRightInd/>
              <w:snapToGrid/>
              <w:spacing w:line="240" w:lineRule="auto"/>
              <w:ind w:firstLine="0" w:firstLineChars="0"/>
              <w:jc w:val="center"/>
              <w:rPr>
                <w:b/>
                <w:bCs/>
                <w:kern w:val="0"/>
                <w:sz w:val="21"/>
                <w:szCs w:val="21"/>
              </w:rPr>
            </w:pPr>
            <w:r>
              <w:rPr>
                <w:b/>
                <w:bCs/>
                <w:kern w:val="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开采区东侧居民</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12.48</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114.48</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95.40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2</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和尚坡</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5.02</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107.02</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89.18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3</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蚕桑局</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0.24</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102.24</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85.20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4</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高滩岩</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0.93</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102.93</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85.78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5</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王家纸厂</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1.20</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103.2</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86.00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6</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马家坡</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3.40</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105.4</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87.83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7</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酢坊沟</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0.31</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102.31</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85.26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8</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向家坡</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0.90</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102.9</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85.75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9</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水洞子</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1.23</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103.23</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86.03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10</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茶园村</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85.00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11</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米坊村</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1.19</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103.19</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85.99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12</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银窝子</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0.11</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102.11</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85.09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13</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太石湾</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0.04</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102.04</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34.01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14</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陆家园子</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1.06</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103.06</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34.35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15</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阎罔坡</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0.59</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102.59</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34.20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16</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上后厂</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0.21</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102.21</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34.07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17</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风过丫</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0.15</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102.15</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34.05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18</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龙院村</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0.09</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102.09</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34.03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19</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宁家牛房</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0.09</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102.09</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34.03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kern w:val="0"/>
                <w:sz w:val="21"/>
                <w:szCs w:val="21"/>
              </w:rPr>
            </w:pPr>
            <w:r>
              <w:rPr>
                <w:kern w:val="0"/>
                <w:sz w:val="21"/>
                <w:szCs w:val="21"/>
              </w:rPr>
              <w:t>20</w:t>
            </w:r>
          </w:p>
        </w:tc>
        <w:tc>
          <w:tcPr>
            <w:tcW w:w="560" w:type="pct"/>
            <w:vAlign w:val="center"/>
          </w:tcPr>
          <w:p>
            <w:pPr>
              <w:widowControl/>
              <w:adjustRightInd/>
              <w:snapToGrid/>
              <w:spacing w:line="240" w:lineRule="auto"/>
              <w:ind w:firstLine="0" w:firstLineChars="0"/>
              <w:jc w:val="center"/>
              <w:rPr>
                <w:kern w:val="0"/>
                <w:sz w:val="21"/>
                <w:szCs w:val="21"/>
              </w:rPr>
            </w:pPr>
            <w:r>
              <w:rPr>
                <w:kern w:val="0"/>
                <w:sz w:val="21"/>
                <w:szCs w:val="21"/>
              </w:rPr>
              <w:t>石龙门</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0.03</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102.03</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34.01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sz w:val="21"/>
                <w:szCs w:val="21"/>
              </w:rPr>
            </w:pPr>
            <w:r>
              <w:rPr>
                <w:sz w:val="21"/>
                <w:szCs w:val="21"/>
              </w:rPr>
              <w:t>21</w:t>
            </w:r>
          </w:p>
        </w:tc>
        <w:tc>
          <w:tcPr>
            <w:tcW w:w="560" w:type="pct"/>
            <w:vAlign w:val="center"/>
          </w:tcPr>
          <w:p>
            <w:pPr>
              <w:widowControl/>
              <w:adjustRightInd/>
              <w:snapToGrid/>
              <w:spacing w:line="240" w:lineRule="auto"/>
              <w:ind w:firstLine="0" w:firstLineChars="0"/>
              <w:jc w:val="center"/>
              <w:rPr>
                <w:sz w:val="21"/>
                <w:szCs w:val="21"/>
              </w:rPr>
            </w:pPr>
            <w:r>
              <w:rPr>
                <w:sz w:val="21"/>
                <w:szCs w:val="21"/>
              </w:rPr>
              <w:t>杨柳沟</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102.02</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34.01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sz w:val="21"/>
                <w:szCs w:val="21"/>
              </w:rPr>
            </w:pPr>
            <w:r>
              <w:rPr>
                <w:sz w:val="21"/>
                <w:szCs w:val="21"/>
              </w:rPr>
              <w:t>22</w:t>
            </w:r>
          </w:p>
        </w:tc>
        <w:tc>
          <w:tcPr>
            <w:tcW w:w="560" w:type="pct"/>
            <w:vAlign w:val="center"/>
          </w:tcPr>
          <w:p>
            <w:pPr>
              <w:widowControl/>
              <w:adjustRightInd/>
              <w:snapToGrid/>
              <w:spacing w:line="240" w:lineRule="auto"/>
              <w:ind w:firstLine="0" w:firstLineChars="0"/>
              <w:jc w:val="center"/>
              <w:rPr>
                <w:sz w:val="21"/>
                <w:szCs w:val="21"/>
              </w:rPr>
            </w:pPr>
            <w:r>
              <w:rPr>
                <w:sz w:val="21"/>
                <w:szCs w:val="21"/>
              </w:rPr>
              <w:t>塘子湾院子</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0.02</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102.02</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34.01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sz w:val="21"/>
                <w:szCs w:val="21"/>
              </w:rPr>
            </w:pPr>
            <w:r>
              <w:rPr>
                <w:sz w:val="21"/>
                <w:szCs w:val="21"/>
              </w:rPr>
              <w:t>23</w:t>
            </w:r>
          </w:p>
        </w:tc>
        <w:tc>
          <w:tcPr>
            <w:tcW w:w="560" w:type="pct"/>
            <w:vAlign w:val="center"/>
          </w:tcPr>
          <w:p>
            <w:pPr>
              <w:widowControl/>
              <w:adjustRightInd/>
              <w:snapToGrid/>
              <w:spacing w:line="240" w:lineRule="auto"/>
              <w:ind w:firstLine="0" w:firstLineChars="0"/>
              <w:jc w:val="center"/>
              <w:rPr>
                <w:sz w:val="21"/>
                <w:szCs w:val="21"/>
              </w:rPr>
            </w:pPr>
            <w:r>
              <w:rPr>
                <w:sz w:val="21"/>
                <w:szCs w:val="21"/>
              </w:rPr>
              <w:t>盐井街道</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0.00</w:t>
            </w:r>
          </w:p>
        </w:tc>
        <w:tc>
          <w:tcPr>
            <w:tcW w:w="626" w:type="pct"/>
            <w:vAlign w:val="center"/>
          </w:tcPr>
          <w:p>
            <w:pPr>
              <w:widowControl/>
              <w:adjustRightInd/>
              <w:snapToGrid/>
              <w:spacing w:line="240" w:lineRule="auto"/>
              <w:ind w:firstLine="0" w:firstLineChars="0"/>
              <w:jc w:val="center"/>
              <w:rPr>
                <w:sz w:val="21"/>
                <w:szCs w:val="21"/>
              </w:rPr>
            </w:pPr>
            <w:r>
              <w:rPr>
                <w:sz w:val="21"/>
                <w:szCs w:val="21"/>
              </w:rPr>
              <w:t>110</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102</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300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34.00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344" w:type="pct"/>
            <w:vAlign w:val="center"/>
          </w:tcPr>
          <w:p>
            <w:pPr>
              <w:widowControl/>
              <w:adjustRightInd/>
              <w:snapToGrid/>
              <w:spacing w:line="240" w:lineRule="auto"/>
              <w:ind w:firstLine="0" w:firstLineChars="0"/>
              <w:jc w:val="center"/>
              <w:rPr>
                <w:sz w:val="21"/>
                <w:szCs w:val="21"/>
              </w:rPr>
            </w:pPr>
            <w:r>
              <w:rPr>
                <w:sz w:val="21"/>
                <w:szCs w:val="21"/>
              </w:rPr>
              <w:t>24</w:t>
            </w:r>
          </w:p>
        </w:tc>
        <w:tc>
          <w:tcPr>
            <w:tcW w:w="560" w:type="pct"/>
            <w:vAlign w:val="center"/>
          </w:tcPr>
          <w:p>
            <w:pPr>
              <w:widowControl/>
              <w:adjustRightInd/>
              <w:snapToGrid/>
              <w:spacing w:line="240" w:lineRule="auto"/>
              <w:ind w:firstLine="0" w:firstLineChars="0"/>
              <w:jc w:val="center"/>
              <w:rPr>
                <w:sz w:val="21"/>
                <w:szCs w:val="21"/>
              </w:rPr>
            </w:pPr>
            <w:r>
              <w:rPr>
                <w:sz w:val="21"/>
                <w:szCs w:val="21"/>
              </w:rPr>
              <w:t>九峰山森林公园</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7.65</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109.65</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91.38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2" w:hRule="atLeast"/>
          <w:jc w:val="center"/>
        </w:trPr>
        <w:tc>
          <w:tcPr>
            <w:tcW w:w="344"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27</w:t>
            </w:r>
          </w:p>
        </w:tc>
        <w:tc>
          <w:tcPr>
            <w:tcW w:w="56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网格最大浓度点（处于一类区内）</w:t>
            </w:r>
          </w:p>
        </w:tc>
        <w:tc>
          <w:tcPr>
            <w:tcW w:w="490"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日平均</w:t>
            </w:r>
          </w:p>
        </w:tc>
        <w:tc>
          <w:tcPr>
            <w:tcW w:w="711" w:type="pct"/>
            <w:shd w:val="clear" w:color="auto" w:fill="auto"/>
            <w:vAlign w:val="center"/>
          </w:tcPr>
          <w:p>
            <w:pPr>
              <w:widowControl/>
              <w:adjustRightInd/>
              <w:snapToGrid/>
              <w:spacing w:line="240" w:lineRule="auto"/>
              <w:ind w:firstLine="0" w:firstLineChars="0"/>
              <w:jc w:val="center"/>
              <w:rPr>
                <w:kern w:val="0"/>
                <w:sz w:val="21"/>
                <w:szCs w:val="21"/>
              </w:rPr>
            </w:pPr>
            <w:r>
              <w:rPr>
                <w:sz w:val="21"/>
                <w:szCs w:val="21"/>
              </w:rPr>
              <w:t>14.08</w:t>
            </w:r>
          </w:p>
        </w:tc>
        <w:tc>
          <w:tcPr>
            <w:tcW w:w="626" w:type="pct"/>
            <w:vAlign w:val="center"/>
          </w:tcPr>
          <w:p>
            <w:pPr>
              <w:widowControl/>
              <w:adjustRightInd/>
              <w:snapToGrid/>
              <w:spacing w:line="240" w:lineRule="auto"/>
              <w:ind w:firstLine="0" w:firstLineChars="0"/>
              <w:jc w:val="center"/>
              <w:rPr>
                <w:sz w:val="21"/>
                <w:szCs w:val="21"/>
              </w:rPr>
            </w:pPr>
            <w:r>
              <w:rPr>
                <w:sz w:val="21"/>
                <w:szCs w:val="21"/>
              </w:rPr>
              <w:t>102</w:t>
            </w:r>
          </w:p>
        </w:tc>
        <w:tc>
          <w:tcPr>
            <w:tcW w:w="1163"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116.08</w:t>
            </w:r>
          </w:p>
        </w:tc>
        <w:tc>
          <w:tcPr>
            <w:tcW w:w="1164" w:type="dxa"/>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120</w:t>
            </w:r>
          </w:p>
        </w:tc>
        <w:tc>
          <w:tcPr>
            <w:tcW w:w="1039" w:type="dxa"/>
            <w:shd w:val="clear" w:color="auto" w:fill="auto"/>
            <w:vAlign w:val="center"/>
          </w:tcPr>
          <w:p>
            <w:pPr>
              <w:widowControl/>
              <w:spacing w:line="240" w:lineRule="auto"/>
              <w:ind w:firstLine="0" w:firstLineChars="0"/>
              <w:jc w:val="center"/>
              <w:textAlignment w:val="center"/>
              <w:rPr>
                <w:kern w:val="0"/>
                <w:sz w:val="21"/>
                <w:szCs w:val="21"/>
              </w:rPr>
            </w:pPr>
            <w:r>
              <w:rPr>
                <w:kern w:val="0"/>
                <w:sz w:val="21"/>
                <w:szCs w:val="21"/>
                <w:lang w:bidi="ar"/>
              </w:rPr>
              <w:t xml:space="preserve">96.73 </w:t>
            </w:r>
          </w:p>
        </w:tc>
        <w:tc>
          <w:tcPr>
            <w:tcW w:w="498" w:type="pct"/>
            <w:shd w:val="clear" w:color="auto" w:fill="auto"/>
            <w:vAlign w:val="center"/>
          </w:tcPr>
          <w:p>
            <w:pPr>
              <w:widowControl/>
              <w:adjustRightInd/>
              <w:snapToGrid/>
              <w:spacing w:line="240" w:lineRule="auto"/>
              <w:ind w:firstLine="0" w:firstLineChars="0"/>
              <w:jc w:val="center"/>
              <w:rPr>
                <w:kern w:val="0"/>
                <w:sz w:val="21"/>
                <w:szCs w:val="21"/>
              </w:rPr>
            </w:pPr>
            <w:r>
              <w:rPr>
                <w:kern w:val="0"/>
                <w:sz w:val="21"/>
                <w:szCs w:val="21"/>
              </w:rPr>
              <w:t>达标</w:t>
            </w:r>
          </w:p>
        </w:tc>
      </w:tr>
    </w:tbl>
    <w:p>
      <w:pPr>
        <w:pStyle w:val="3219"/>
        <w:rPr>
          <w:color w:val="auto"/>
        </w:rPr>
      </w:pPr>
    </w:p>
    <w:p>
      <w:pPr>
        <w:pStyle w:val="3219"/>
        <w:ind w:firstLine="0" w:firstLineChars="0"/>
        <w:jc w:val="center"/>
        <w:rPr>
          <w:color w:val="auto"/>
        </w:rPr>
      </w:pPr>
      <w:r>
        <w:rPr>
          <w:color w:val="auto"/>
        </w:rPr>
        <w:drawing>
          <wp:inline distT="0" distB="0" distL="114300" distR="114300">
            <wp:extent cx="5311775" cy="4413885"/>
            <wp:effectExtent l="0" t="0" r="3175" b="5715"/>
            <wp:docPr id="32"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true"/>
                    </pic:cNvPicPr>
                  </pic:nvPicPr>
                  <pic:blipFill>
                    <a:blip r:embed="rId91"/>
                    <a:stretch>
                      <a:fillRect/>
                    </a:stretch>
                  </pic:blipFill>
                  <pic:spPr>
                    <a:xfrm>
                      <a:off x="0" y="0"/>
                      <a:ext cx="5311775" cy="4413885"/>
                    </a:xfrm>
                    <a:prstGeom prst="rect">
                      <a:avLst/>
                    </a:prstGeom>
                    <a:noFill/>
                    <a:ln>
                      <a:noFill/>
                    </a:ln>
                  </pic:spPr>
                </pic:pic>
              </a:graphicData>
            </a:graphic>
          </wp:inline>
        </w:drawing>
      </w:r>
    </w:p>
    <w:p>
      <w:pPr>
        <w:pStyle w:val="3219"/>
        <w:jc w:val="center"/>
        <w:rPr>
          <w:color w:val="auto"/>
        </w:rPr>
      </w:pPr>
      <w:r>
        <w:rPr>
          <w:color w:val="auto"/>
        </w:rPr>
        <w:t>图6-6  叠加</w:t>
      </w:r>
      <w:r>
        <w:rPr>
          <w:color w:val="auto"/>
          <w:lang w:val="en-US"/>
        </w:rPr>
        <w:t>背景</w:t>
      </w:r>
      <w:r>
        <w:rPr>
          <w:color w:val="auto"/>
        </w:rPr>
        <w:t>后保证率日平均环境质量浓度</w:t>
      </w:r>
      <w:r>
        <w:rPr>
          <w:color w:val="auto"/>
          <w:lang w:val="en-US"/>
        </w:rPr>
        <w:t>等值线图</w:t>
      </w:r>
      <w:r>
        <w:rPr>
          <w:color w:val="auto"/>
        </w:rPr>
        <w:t>（PM</w:t>
      </w:r>
      <w:r>
        <w:rPr>
          <w:color w:val="auto"/>
          <w:vertAlign w:val="subscript"/>
        </w:rPr>
        <w:t>10</w:t>
      </w:r>
      <w:r>
        <w:rPr>
          <w:color w:val="auto"/>
        </w:rPr>
        <w:t>）</w:t>
      </w:r>
    </w:p>
    <w:p>
      <w:pPr>
        <w:pStyle w:val="3219"/>
        <w:rPr>
          <w:color w:val="auto"/>
        </w:rPr>
      </w:pPr>
    </w:p>
    <w:p>
      <w:pPr>
        <w:pStyle w:val="3219"/>
        <w:rPr>
          <w:color w:val="auto"/>
        </w:rPr>
      </w:pPr>
    </w:p>
    <w:p>
      <w:pPr>
        <w:pStyle w:val="3219"/>
        <w:rPr>
          <w:color w:val="auto"/>
        </w:rPr>
      </w:pPr>
    </w:p>
    <w:p>
      <w:pPr>
        <w:pStyle w:val="3219"/>
        <w:ind w:firstLine="0" w:firstLineChars="0"/>
        <w:jc w:val="center"/>
        <w:rPr>
          <w:color w:val="auto"/>
        </w:rPr>
      </w:pPr>
      <w:r>
        <w:rPr>
          <w:color w:val="auto"/>
        </w:rPr>
        <w:drawing>
          <wp:inline distT="0" distB="0" distL="114300" distR="114300">
            <wp:extent cx="5036185" cy="4113530"/>
            <wp:effectExtent l="0" t="0" r="12065" b="1270"/>
            <wp:docPr id="3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true"/>
                    </pic:cNvPicPr>
                  </pic:nvPicPr>
                  <pic:blipFill>
                    <a:blip r:embed="rId92"/>
                    <a:stretch>
                      <a:fillRect/>
                    </a:stretch>
                  </pic:blipFill>
                  <pic:spPr>
                    <a:xfrm>
                      <a:off x="0" y="0"/>
                      <a:ext cx="5036185" cy="4113530"/>
                    </a:xfrm>
                    <a:prstGeom prst="rect">
                      <a:avLst/>
                    </a:prstGeom>
                    <a:noFill/>
                    <a:ln>
                      <a:noFill/>
                    </a:ln>
                  </pic:spPr>
                </pic:pic>
              </a:graphicData>
            </a:graphic>
          </wp:inline>
        </w:drawing>
      </w:r>
    </w:p>
    <w:p>
      <w:pPr>
        <w:pStyle w:val="3219"/>
        <w:jc w:val="center"/>
        <w:rPr>
          <w:color w:val="auto"/>
        </w:rPr>
      </w:pPr>
      <w:r>
        <w:rPr>
          <w:color w:val="auto"/>
        </w:rPr>
        <w:t>图6-7  叠加</w:t>
      </w:r>
      <w:r>
        <w:rPr>
          <w:color w:val="auto"/>
          <w:lang w:val="en-US"/>
        </w:rPr>
        <w:t>背景</w:t>
      </w:r>
      <w:r>
        <w:rPr>
          <w:color w:val="auto"/>
        </w:rPr>
        <w:t>后</w:t>
      </w:r>
      <w:r>
        <w:rPr>
          <w:color w:val="auto"/>
          <w:lang w:val="en-US"/>
        </w:rPr>
        <w:t>年</w:t>
      </w:r>
      <w:r>
        <w:rPr>
          <w:color w:val="auto"/>
        </w:rPr>
        <w:t>平均环境质量浓度</w:t>
      </w:r>
      <w:r>
        <w:rPr>
          <w:color w:val="auto"/>
          <w:lang w:val="en-US"/>
        </w:rPr>
        <w:t>等值线图</w:t>
      </w:r>
      <w:r>
        <w:rPr>
          <w:color w:val="auto"/>
        </w:rPr>
        <w:t>（PM</w:t>
      </w:r>
      <w:r>
        <w:rPr>
          <w:color w:val="auto"/>
          <w:vertAlign w:val="subscript"/>
        </w:rPr>
        <w:t>10</w:t>
      </w:r>
      <w:r>
        <w:rPr>
          <w:color w:val="auto"/>
        </w:rPr>
        <w:t>）</w:t>
      </w:r>
    </w:p>
    <w:p>
      <w:pPr>
        <w:pStyle w:val="3219"/>
        <w:ind w:firstLine="0" w:firstLineChars="0"/>
        <w:jc w:val="center"/>
        <w:rPr>
          <w:color w:val="auto"/>
        </w:rPr>
      </w:pPr>
      <w:r>
        <w:rPr>
          <w:color w:val="auto"/>
        </w:rPr>
        <w:drawing>
          <wp:inline distT="0" distB="0" distL="114300" distR="114300">
            <wp:extent cx="4936490" cy="4051300"/>
            <wp:effectExtent l="0" t="0" r="16510" b="6350"/>
            <wp:docPr id="34"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true"/>
                    </pic:cNvPicPr>
                  </pic:nvPicPr>
                  <pic:blipFill>
                    <a:blip r:embed="rId93"/>
                    <a:stretch>
                      <a:fillRect/>
                    </a:stretch>
                  </pic:blipFill>
                  <pic:spPr>
                    <a:xfrm>
                      <a:off x="0" y="0"/>
                      <a:ext cx="4936490" cy="4051300"/>
                    </a:xfrm>
                    <a:prstGeom prst="rect">
                      <a:avLst/>
                    </a:prstGeom>
                    <a:noFill/>
                    <a:ln>
                      <a:noFill/>
                    </a:ln>
                  </pic:spPr>
                </pic:pic>
              </a:graphicData>
            </a:graphic>
          </wp:inline>
        </w:drawing>
      </w:r>
    </w:p>
    <w:p>
      <w:pPr>
        <w:pStyle w:val="3219"/>
        <w:jc w:val="center"/>
        <w:rPr>
          <w:color w:val="auto"/>
          <w:szCs w:val="24"/>
          <w:lang w:bidi="en-US"/>
        </w:rPr>
      </w:pPr>
      <w:r>
        <w:rPr>
          <w:color w:val="auto"/>
        </w:rPr>
        <w:t>图6-8  叠加后</w:t>
      </w:r>
      <w:r>
        <w:rPr>
          <w:color w:val="auto"/>
          <w:lang w:val="en-US"/>
        </w:rPr>
        <w:t>日平均</w:t>
      </w:r>
      <w:r>
        <w:rPr>
          <w:color w:val="auto"/>
        </w:rPr>
        <w:t>质量浓度</w:t>
      </w:r>
      <w:r>
        <w:rPr>
          <w:color w:val="auto"/>
          <w:lang w:val="en-US"/>
        </w:rPr>
        <w:t>等值线图</w:t>
      </w:r>
      <w:r>
        <w:rPr>
          <w:color w:val="auto"/>
        </w:rPr>
        <w:t>（TSP）</w:t>
      </w:r>
    </w:p>
    <w:p>
      <w:pPr>
        <w:pStyle w:val="3219"/>
        <w:rPr>
          <w:color w:val="auto"/>
          <w:lang w:bidi="en-US"/>
        </w:rPr>
      </w:pPr>
      <w:r>
        <w:rPr>
          <w:color w:val="auto"/>
          <w:lang w:bidi="en-US"/>
        </w:rPr>
        <w:t>根据上述预测结果，</w:t>
      </w:r>
      <w:r>
        <w:rPr>
          <w:color w:val="auto"/>
          <w:lang w:val="en-US" w:bidi="en-US"/>
        </w:rPr>
        <w:t>考虑削减源并</w:t>
      </w:r>
      <w:r>
        <w:rPr>
          <w:color w:val="auto"/>
          <w:lang w:bidi="en-US"/>
        </w:rPr>
        <w:t>叠加环境质量现状浓度后，二类区各预测点PM</w:t>
      </w:r>
      <w:r>
        <w:rPr>
          <w:color w:val="auto"/>
          <w:vertAlign w:val="subscript"/>
          <w:lang w:bidi="en-US"/>
        </w:rPr>
        <w:t>10</w:t>
      </w:r>
      <w:r>
        <w:rPr>
          <w:color w:val="auto"/>
          <w:lang w:bidi="en-US"/>
        </w:rPr>
        <w:t>95%保证率日均浓度和年均浓度均满足《环境空气质量标准》（GB3095-2012）二级标准限值；一类区各预测点PM</w:t>
      </w:r>
      <w:r>
        <w:rPr>
          <w:color w:val="auto"/>
          <w:vertAlign w:val="subscript"/>
          <w:lang w:bidi="en-US"/>
        </w:rPr>
        <w:t>10</w:t>
      </w:r>
      <w:r>
        <w:rPr>
          <w:color w:val="auto"/>
          <w:lang w:bidi="en-US"/>
        </w:rPr>
        <w:t>日均质量浓度满足《环境空气质量标准》（GB3095-2012）一级标准限值；二类区各预测点TSP日均质量浓度满足《环境空气质量标准》（GB3095-2012）二级标准限值；一类区各预测点TSP日均质量浓度满足《环境空气质量标准》（GB3095-2012）一级标准限值。</w:t>
      </w:r>
    </w:p>
    <w:p>
      <w:pPr>
        <w:pStyle w:val="3219"/>
        <w:rPr>
          <w:color w:val="auto"/>
        </w:rPr>
      </w:pPr>
      <w:r>
        <w:rPr>
          <w:color w:val="auto"/>
          <w:lang w:bidi="en-US"/>
        </w:rPr>
        <w:t>（2）</w:t>
      </w:r>
      <w:r>
        <w:rPr>
          <w:color w:val="auto"/>
        </w:rPr>
        <w:t>非正常排放预测结果</w:t>
      </w:r>
    </w:p>
    <w:p>
      <w:pPr>
        <w:pStyle w:val="3219"/>
        <w:rPr>
          <w:color w:val="auto"/>
        </w:rPr>
      </w:pPr>
      <w:r>
        <w:rPr>
          <w:color w:val="auto"/>
        </w:rPr>
        <w:t>项目污染物非正常排放条件下，环境空气保护目标和网格点各污染物的1h最大浓度贡献值及达标情况，见下表。</w:t>
      </w:r>
    </w:p>
    <w:p>
      <w:pPr>
        <w:pStyle w:val="84"/>
      </w:pPr>
      <w:r>
        <w:t>表6.2-21  项目非正常排放预测结果（PM10）</w:t>
      </w:r>
    </w:p>
    <w:tbl>
      <w:tblPr>
        <w:tblStyle w:val="8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0"/>
        <w:gridCol w:w="1631"/>
        <w:gridCol w:w="1405"/>
        <w:gridCol w:w="1579"/>
        <w:gridCol w:w="1511"/>
        <w:gridCol w:w="1185"/>
        <w:gridCol w:w="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D8D8D8" w:themeFill="background1" w:themeFillShade="D9"/>
            <w:vAlign w:val="center"/>
          </w:tcPr>
          <w:p>
            <w:pPr>
              <w:pStyle w:val="3238"/>
            </w:pPr>
            <w:r>
              <w:t>序号</w:t>
            </w:r>
          </w:p>
        </w:tc>
        <w:tc>
          <w:tcPr>
            <w:tcW w:w="888" w:type="pct"/>
            <w:shd w:val="clear" w:color="auto" w:fill="D8D8D8" w:themeFill="background1" w:themeFillShade="D9"/>
            <w:vAlign w:val="center"/>
          </w:tcPr>
          <w:p>
            <w:pPr>
              <w:pStyle w:val="3238"/>
            </w:pPr>
            <w:r>
              <w:t>预测点</w:t>
            </w:r>
          </w:p>
        </w:tc>
        <w:tc>
          <w:tcPr>
            <w:tcW w:w="766" w:type="pct"/>
            <w:shd w:val="clear" w:color="auto" w:fill="D8D8D8" w:themeFill="background1" w:themeFillShade="D9"/>
            <w:vAlign w:val="center"/>
          </w:tcPr>
          <w:p>
            <w:pPr>
              <w:pStyle w:val="3238"/>
            </w:pPr>
            <w:r>
              <w:t>平均时段</w:t>
            </w:r>
          </w:p>
        </w:tc>
        <w:tc>
          <w:tcPr>
            <w:tcW w:w="860" w:type="pct"/>
            <w:shd w:val="clear" w:color="auto" w:fill="D8D8D8" w:themeFill="background1" w:themeFillShade="D9"/>
            <w:vAlign w:val="center"/>
          </w:tcPr>
          <w:p>
            <w:pPr>
              <w:pStyle w:val="3238"/>
            </w:pPr>
            <w:r>
              <w:t>贡献值（μg/m</w:t>
            </w:r>
            <w:r>
              <w:rPr>
                <w:vertAlign w:val="superscript"/>
              </w:rPr>
              <w:t>3</w:t>
            </w:r>
            <w:r>
              <w:t>）</w:t>
            </w:r>
          </w:p>
        </w:tc>
        <w:tc>
          <w:tcPr>
            <w:tcW w:w="823" w:type="pct"/>
            <w:shd w:val="clear" w:color="auto" w:fill="D8D8D8" w:themeFill="background1" w:themeFillShade="D9"/>
            <w:vAlign w:val="center"/>
          </w:tcPr>
          <w:p>
            <w:pPr>
              <w:pStyle w:val="3238"/>
            </w:pPr>
            <w:r>
              <w:t>占标率/%</w:t>
            </w:r>
          </w:p>
        </w:tc>
        <w:tc>
          <w:tcPr>
            <w:tcW w:w="577" w:type="pct"/>
            <w:shd w:val="clear" w:color="auto" w:fill="D8D8D8" w:themeFill="background1" w:themeFillShade="D9"/>
            <w:vAlign w:val="center"/>
          </w:tcPr>
          <w:p>
            <w:pPr>
              <w:widowControl/>
              <w:adjustRightInd/>
              <w:snapToGrid/>
              <w:spacing w:line="240" w:lineRule="auto"/>
              <w:ind w:left="-78" w:leftChars="-30" w:right="-78" w:rightChars="-30" w:firstLine="0" w:firstLineChars="0"/>
              <w:jc w:val="center"/>
              <w:rPr>
                <w:b/>
                <w:bCs/>
                <w:sz w:val="21"/>
                <w:szCs w:val="21"/>
              </w:rPr>
            </w:pPr>
            <w:r>
              <w:rPr>
                <w:b/>
                <w:bCs/>
                <w:kern w:val="0"/>
                <w:sz w:val="21"/>
                <w:szCs w:val="21"/>
              </w:rPr>
              <w:t>评价标准（μg/m</w:t>
            </w:r>
            <w:r>
              <w:rPr>
                <w:b/>
                <w:bCs/>
                <w:kern w:val="0"/>
                <w:sz w:val="21"/>
                <w:szCs w:val="21"/>
                <w:vertAlign w:val="superscript"/>
              </w:rPr>
              <w:t>3</w:t>
            </w:r>
            <w:r>
              <w:rPr>
                <w:b/>
                <w:bCs/>
                <w:kern w:val="0"/>
                <w:sz w:val="21"/>
                <w:szCs w:val="21"/>
              </w:rPr>
              <w:t>）</w:t>
            </w:r>
          </w:p>
        </w:tc>
        <w:tc>
          <w:tcPr>
            <w:tcW w:w="538" w:type="pct"/>
            <w:shd w:val="clear" w:color="auto" w:fill="D8D8D8" w:themeFill="background1" w:themeFillShade="D9"/>
            <w:vAlign w:val="center"/>
          </w:tcPr>
          <w:p>
            <w:pPr>
              <w:pStyle w:val="3238"/>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1</w:t>
            </w:r>
          </w:p>
        </w:tc>
        <w:tc>
          <w:tcPr>
            <w:tcW w:w="888" w:type="pct"/>
            <w:shd w:val="clear" w:color="auto" w:fill="auto"/>
            <w:vAlign w:val="center"/>
          </w:tcPr>
          <w:p>
            <w:pPr>
              <w:pStyle w:val="3238"/>
              <w:rPr>
                <w:b/>
              </w:rPr>
            </w:pPr>
            <w:r>
              <w:t>开采区东侧居民</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201.02</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402.04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50</w:t>
            </w:r>
          </w:p>
        </w:tc>
        <w:tc>
          <w:tcPr>
            <w:tcW w:w="538" w:type="pct"/>
            <w:shd w:val="clear" w:color="auto" w:fill="auto"/>
            <w:vAlign w:val="center"/>
          </w:tcPr>
          <w:p>
            <w:pPr>
              <w:pStyle w:val="3238"/>
              <w:rPr>
                <w:b/>
                <w:lang w:bidi="en-US"/>
              </w:rPr>
            </w:pPr>
            <w: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2</w:t>
            </w:r>
          </w:p>
        </w:tc>
        <w:tc>
          <w:tcPr>
            <w:tcW w:w="888" w:type="pct"/>
            <w:shd w:val="clear" w:color="auto" w:fill="auto"/>
            <w:vAlign w:val="center"/>
          </w:tcPr>
          <w:p>
            <w:pPr>
              <w:pStyle w:val="3238"/>
              <w:rPr>
                <w:b/>
              </w:rPr>
            </w:pPr>
            <w:r>
              <w:t>和尚坡</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107.71</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215.42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3</w:t>
            </w:r>
          </w:p>
        </w:tc>
        <w:tc>
          <w:tcPr>
            <w:tcW w:w="888" w:type="pct"/>
            <w:shd w:val="clear" w:color="auto" w:fill="auto"/>
            <w:vAlign w:val="center"/>
          </w:tcPr>
          <w:p>
            <w:pPr>
              <w:pStyle w:val="3238"/>
              <w:rPr>
                <w:b/>
              </w:rPr>
            </w:pPr>
            <w:r>
              <w:t>蚕桑局</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8.87</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17.74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4</w:t>
            </w:r>
          </w:p>
        </w:tc>
        <w:tc>
          <w:tcPr>
            <w:tcW w:w="888" w:type="pct"/>
            <w:shd w:val="clear" w:color="auto" w:fill="auto"/>
            <w:vAlign w:val="center"/>
          </w:tcPr>
          <w:p>
            <w:pPr>
              <w:pStyle w:val="3238"/>
              <w:rPr>
                <w:b/>
              </w:rPr>
            </w:pPr>
            <w:r>
              <w:t>高滩岩</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24.81</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49.62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5</w:t>
            </w:r>
          </w:p>
        </w:tc>
        <w:tc>
          <w:tcPr>
            <w:tcW w:w="888" w:type="pct"/>
            <w:shd w:val="clear" w:color="auto" w:fill="auto"/>
            <w:vAlign w:val="center"/>
          </w:tcPr>
          <w:p>
            <w:pPr>
              <w:pStyle w:val="3238"/>
              <w:rPr>
                <w:b/>
              </w:rPr>
            </w:pPr>
            <w:r>
              <w:t>王家纸厂</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50.60</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101.20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6</w:t>
            </w:r>
          </w:p>
        </w:tc>
        <w:tc>
          <w:tcPr>
            <w:tcW w:w="888" w:type="pct"/>
            <w:shd w:val="clear" w:color="auto" w:fill="auto"/>
            <w:vAlign w:val="center"/>
          </w:tcPr>
          <w:p>
            <w:pPr>
              <w:pStyle w:val="3238"/>
              <w:rPr>
                <w:b/>
              </w:rPr>
            </w:pPr>
            <w:r>
              <w:t>马家坡</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40.77</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81.54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7</w:t>
            </w:r>
          </w:p>
        </w:tc>
        <w:tc>
          <w:tcPr>
            <w:tcW w:w="888" w:type="pct"/>
            <w:shd w:val="clear" w:color="auto" w:fill="auto"/>
            <w:vAlign w:val="center"/>
          </w:tcPr>
          <w:p>
            <w:pPr>
              <w:pStyle w:val="3238"/>
              <w:rPr>
                <w:b/>
              </w:rPr>
            </w:pPr>
            <w:r>
              <w:t>酢坊沟</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16.04</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32.08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8</w:t>
            </w:r>
          </w:p>
        </w:tc>
        <w:tc>
          <w:tcPr>
            <w:tcW w:w="888" w:type="pct"/>
            <w:shd w:val="clear" w:color="auto" w:fill="auto"/>
            <w:vAlign w:val="center"/>
          </w:tcPr>
          <w:p>
            <w:pPr>
              <w:pStyle w:val="3238"/>
              <w:rPr>
                <w:b/>
              </w:rPr>
            </w:pPr>
            <w:r>
              <w:t>向家坡</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286.08</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572.16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pPr>
            <w:r>
              <w:t>9</w:t>
            </w:r>
          </w:p>
        </w:tc>
        <w:tc>
          <w:tcPr>
            <w:tcW w:w="888" w:type="pct"/>
            <w:shd w:val="clear" w:color="auto" w:fill="auto"/>
            <w:vAlign w:val="center"/>
          </w:tcPr>
          <w:p>
            <w:pPr>
              <w:pStyle w:val="3238"/>
              <w:rPr>
                <w:b/>
              </w:rPr>
            </w:pPr>
            <w:r>
              <w:t>水洞子</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34.12</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68.24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10</w:t>
            </w:r>
          </w:p>
        </w:tc>
        <w:tc>
          <w:tcPr>
            <w:tcW w:w="888" w:type="pct"/>
            <w:shd w:val="clear" w:color="auto" w:fill="auto"/>
            <w:vAlign w:val="center"/>
          </w:tcPr>
          <w:p>
            <w:pPr>
              <w:pStyle w:val="3238"/>
              <w:rPr>
                <w:b/>
              </w:rPr>
            </w:pPr>
            <w:r>
              <w:t>茶园村</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63.72</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127.44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11</w:t>
            </w:r>
          </w:p>
        </w:tc>
        <w:tc>
          <w:tcPr>
            <w:tcW w:w="888" w:type="pct"/>
            <w:shd w:val="clear" w:color="auto" w:fill="auto"/>
            <w:vAlign w:val="center"/>
          </w:tcPr>
          <w:p>
            <w:pPr>
              <w:pStyle w:val="3238"/>
              <w:rPr>
                <w:b/>
              </w:rPr>
            </w:pPr>
            <w:r>
              <w:t>米坊村</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38.94</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77.88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12</w:t>
            </w:r>
          </w:p>
        </w:tc>
        <w:tc>
          <w:tcPr>
            <w:tcW w:w="888" w:type="pct"/>
            <w:shd w:val="clear" w:color="auto" w:fill="auto"/>
            <w:vAlign w:val="center"/>
          </w:tcPr>
          <w:p>
            <w:pPr>
              <w:pStyle w:val="3238"/>
              <w:rPr>
                <w:b/>
              </w:rPr>
            </w:pPr>
            <w:r>
              <w:t>银窝子</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7.83</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15.66 </w:t>
            </w:r>
          </w:p>
        </w:tc>
        <w:tc>
          <w:tcPr>
            <w:tcW w:w="577" w:type="pct"/>
            <w:shd w:val="clear" w:color="auto" w:fill="auto"/>
          </w:tcPr>
          <w:p>
            <w:pPr>
              <w:widowControl/>
              <w:spacing w:line="240" w:lineRule="auto"/>
              <w:ind w:firstLine="0" w:firstLineChars="0"/>
              <w:jc w:val="center"/>
              <w:textAlignment w:val="top"/>
              <w:rPr>
                <w:sz w:val="21"/>
                <w:szCs w:val="21"/>
              </w:rPr>
            </w:pPr>
            <w:r>
              <w:rPr>
                <w:kern w:val="0"/>
                <w:sz w:val="21"/>
                <w:szCs w:val="21"/>
                <w:lang w:bidi="ar"/>
              </w:rPr>
              <w:t>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13</w:t>
            </w:r>
          </w:p>
        </w:tc>
        <w:tc>
          <w:tcPr>
            <w:tcW w:w="888" w:type="pct"/>
            <w:shd w:val="clear" w:color="auto" w:fill="auto"/>
            <w:vAlign w:val="center"/>
          </w:tcPr>
          <w:p>
            <w:pPr>
              <w:pStyle w:val="3238"/>
              <w:rPr>
                <w:b/>
              </w:rPr>
            </w:pPr>
            <w:r>
              <w:t>太石湾</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5.99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3.99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14</w:t>
            </w:r>
          </w:p>
        </w:tc>
        <w:tc>
          <w:tcPr>
            <w:tcW w:w="888" w:type="pct"/>
            <w:shd w:val="clear" w:color="auto" w:fill="auto"/>
            <w:vAlign w:val="center"/>
          </w:tcPr>
          <w:p>
            <w:pPr>
              <w:pStyle w:val="3238"/>
              <w:rPr>
                <w:b/>
              </w:rPr>
            </w:pPr>
            <w:r>
              <w:t>陆家园子</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17.91</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11.94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15</w:t>
            </w:r>
          </w:p>
        </w:tc>
        <w:tc>
          <w:tcPr>
            <w:tcW w:w="888" w:type="pct"/>
            <w:shd w:val="clear" w:color="auto" w:fill="auto"/>
            <w:vAlign w:val="center"/>
          </w:tcPr>
          <w:p>
            <w:pPr>
              <w:pStyle w:val="3238"/>
              <w:rPr>
                <w:b/>
              </w:rPr>
            </w:pPr>
            <w:r>
              <w:t>阎罔坡</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9.16</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6.11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16</w:t>
            </w:r>
          </w:p>
        </w:tc>
        <w:tc>
          <w:tcPr>
            <w:tcW w:w="888" w:type="pct"/>
            <w:shd w:val="clear" w:color="auto" w:fill="auto"/>
            <w:vAlign w:val="center"/>
          </w:tcPr>
          <w:p>
            <w:pPr>
              <w:pStyle w:val="3238"/>
              <w:rPr>
                <w:b/>
              </w:rPr>
            </w:pPr>
            <w:r>
              <w:t>上后厂</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5.28</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3.52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17</w:t>
            </w:r>
          </w:p>
        </w:tc>
        <w:tc>
          <w:tcPr>
            <w:tcW w:w="888" w:type="pct"/>
            <w:shd w:val="clear" w:color="auto" w:fill="auto"/>
            <w:vAlign w:val="center"/>
          </w:tcPr>
          <w:p>
            <w:pPr>
              <w:pStyle w:val="3238"/>
              <w:rPr>
                <w:b/>
              </w:rPr>
            </w:pPr>
            <w:r>
              <w:t>风过丫</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6.49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4.33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18</w:t>
            </w:r>
          </w:p>
        </w:tc>
        <w:tc>
          <w:tcPr>
            <w:tcW w:w="888" w:type="pct"/>
            <w:shd w:val="clear" w:color="auto" w:fill="auto"/>
            <w:vAlign w:val="center"/>
          </w:tcPr>
          <w:p>
            <w:pPr>
              <w:pStyle w:val="3238"/>
              <w:rPr>
                <w:b/>
              </w:rPr>
            </w:pPr>
            <w:r>
              <w:t>龙院村</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2.89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1.93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19</w:t>
            </w:r>
          </w:p>
        </w:tc>
        <w:tc>
          <w:tcPr>
            <w:tcW w:w="888" w:type="pct"/>
            <w:shd w:val="clear" w:color="auto" w:fill="auto"/>
            <w:vAlign w:val="center"/>
          </w:tcPr>
          <w:p>
            <w:pPr>
              <w:pStyle w:val="3238"/>
              <w:rPr>
                <w:b/>
              </w:rPr>
            </w:pPr>
            <w:r>
              <w:t>宁家牛房</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6.28</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4.19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20</w:t>
            </w:r>
          </w:p>
        </w:tc>
        <w:tc>
          <w:tcPr>
            <w:tcW w:w="888" w:type="pct"/>
            <w:shd w:val="clear" w:color="auto" w:fill="auto"/>
            <w:vAlign w:val="center"/>
          </w:tcPr>
          <w:p>
            <w:pPr>
              <w:pStyle w:val="3238"/>
              <w:rPr>
                <w:b/>
              </w:rPr>
            </w:pPr>
            <w:r>
              <w:t>石龙门</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3.49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2.33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21</w:t>
            </w:r>
          </w:p>
        </w:tc>
        <w:tc>
          <w:tcPr>
            <w:tcW w:w="888" w:type="pct"/>
            <w:shd w:val="clear" w:color="auto" w:fill="auto"/>
            <w:vAlign w:val="center"/>
          </w:tcPr>
          <w:p>
            <w:pPr>
              <w:pStyle w:val="3238"/>
              <w:rPr>
                <w:b/>
              </w:rPr>
            </w:pPr>
            <w:r>
              <w:t>杨柳沟</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2.90</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1.93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22</w:t>
            </w:r>
          </w:p>
        </w:tc>
        <w:tc>
          <w:tcPr>
            <w:tcW w:w="888" w:type="pct"/>
            <w:shd w:val="clear" w:color="auto" w:fill="auto"/>
            <w:vAlign w:val="center"/>
          </w:tcPr>
          <w:p>
            <w:pPr>
              <w:pStyle w:val="3238"/>
              <w:rPr>
                <w:b/>
              </w:rPr>
            </w:pPr>
            <w:r>
              <w:t>塘子湾院子</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6.59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4.39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23</w:t>
            </w:r>
          </w:p>
        </w:tc>
        <w:tc>
          <w:tcPr>
            <w:tcW w:w="888" w:type="pct"/>
            <w:shd w:val="clear" w:color="auto" w:fill="auto"/>
            <w:vAlign w:val="center"/>
          </w:tcPr>
          <w:p>
            <w:pPr>
              <w:pStyle w:val="3238"/>
              <w:rPr>
                <w:b/>
              </w:rPr>
            </w:pPr>
            <w:r>
              <w:t>盐井街道</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32.09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21.39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150</w:t>
            </w:r>
          </w:p>
        </w:tc>
        <w:tc>
          <w:tcPr>
            <w:tcW w:w="538" w:type="pct"/>
            <w:shd w:val="clear" w:color="auto" w:fill="auto"/>
            <w:vAlign w:val="center"/>
          </w:tcPr>
          <w:p>
            <w:pPr>
              <w:pStyle w:val="3238"/>
              <w:rPr>
                <w:b/>
              </w:rP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24</w:t>
            </w:r>
          </w:p>
        </w:tc>
        <w:tc>
          <w:tcPr>
            <w:tcW w:w="888" w:type="pct"/>
            <w:shd w:val="clear" w:color="auto" w:fill="auto"/>
            <w:vAlign w:val="center"/>
          </w:tcPr>
          <w:p>
            <w:pPr>
              <w:pStyle w:val="3238"/>
              <w:rPr>
                <w:b/>
              </w:rPr>
            </w:pPr>
            <w:r>
              <w:t>九峰山森林公园</w:t>
            </w:r>
          </w:p>
        </w:tc>
        <w:tc>
          <w:tcPr>
            <w:tcW w:w="766" w:type="pct"/>
            <w:shd w:val="clear" w:color="auto" w:fill="auto"/>
            <w:vAlign w:val="center"/>
          </w:tcPr>
          <w:p>
            <w:pPr>
              <w:pStyle w:val="3238"/>
              <w:rPr>
                <w:b/>
              </w:rPr>
            </w:pPr>
            <w:r>
              <w:t>日均值</w:t>
            </w:r>
          </w:p>
        </w:tc>
        <w:tc>
          <w:tcPr>
            <w:tcW w:w="860" w:type="pct"/>
            <w:shd w:val="clear" w:color="auto" w:fill="auto"/>
            <w:vAlign w:val="center"/>
          </w:tcPr>
          <w:p>
            <w:pPr>
              <w:spacing w:line="240" w:lineRule="auto"/>
              <w:ind w:firstLine="0" w:firstLineChars="0"/>
              <w:jc w:val="center"/>
              <w:rPr>
                <w:sz w:val="21"/>
                <w:szCs w:val="21"/>
              </w:rPr>
            </w:pPr>
            <w:r>
              <w:rPr>
                <w:sz w:val="21"/>
                <w:szCs w:val="21"/>
              </w:rPr>
              <w:t>151.10</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302.20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50</w:t>
            </w:r>
          </w:p>
        </w:tc>
        <w:tc>
          <w:tcPr>
            <w:tcW w:w="538" w:type="pct"/>
            <w:shd w:val="clear" w:color="auto" w:fill="auto"/>
            <w:vAlign w:val="center"/>
          </w:tcPr>
          <w:p>
            <w:pPr>
              <w:pStyle w:val="3238"/>
              <w:rPr>
                <w:b/>
              </w:rPr>
            </w:pPr>
            <w: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43" w:type="pct"/>
            <w:shd w:val="clear" w:color="auto" w:fill="auto"/>
            <w:vAlign w:val="center"/>
          </w:tcPr>
          <w:p>
            <w:pPr>
              <w:pStyle w:val="3238"/>
              <w:rPr>
                <w:b/>
              </w:rPr>
            </w:pPr>
            <w:r>
              <w:t>27</w:t>
            </w:r>
          </w:p>
        </w:tc>
        <w:tc>
          <w:tcPr>
            <w:tcW w:w="888" w:type="pct"/>
            <w:shd w:val="clear" w:color="auto" w:fill="auto"/>
            <w:vAlign w:val="center"/>
          </w:tcPr>
          <w:p>
            <w:pPr>
              <w:pStyle w:val="3238"/>
              <w:rPr>
                <w:b/>
              </w:rPr>
            </w:pPr>
            <w:r>
              <w:t>网格最大浓度点（处于一类区内）</w:t>
            </w:r>
          </w:p>
        </w:tc>
        <w:tc>
          <w:tcPr>
            <w:tcW w:w="766" w:type="pct"/>
            <w:shd w:val="clear" w:color="auto" w:fill="auto"/>
            <w:vAlign w:val="center"/>
          </w:tcPr>
          <w:p>
            <w:pPr>
              <w:pStyle w:val="3238"/>
              <w:rPr>
                <w:b/>
              </w:rPr>
            </w:pPr>
            <w:r>
              <w:t>日均值</w:t>
            </w:r>
          </w:p>
        </w:tc>
        <w:tc>
          <w:tcPr>
            <w:tcW w:w="860" w:type="pct"/>
            <w:shd w:val="clear" w:color="auto" w:fill="auto"/>
            <w:vAlign w:val="center"/>
          </w:tcPr>
          <w:p>
            <w:pPr>
              <w:pStyle w:val="3238"/>
              <w:rPr>
                <w:b/>
              </w:rPr>
            </w:pPr>
            <w:r>
              <w:t>762.29</w:t>
            </w:r>
          </w:p>
        </w:tc>
        <w:tc>
          <w:tcPr>
            <w:tcW w:w="823"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 xml:space="preserve">1524.58 </w:t>
            </w:r>
          </w:p>
        </w:tc>
        <w:tc>
          <w:tcPr>
            <w:tcW w:w="577" w:type="pct"/>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50</w:t>
            </w:r>
          </w:p>
        </w:tc>
        <w:tc>
          <w:tcPr>
            <w:tcW w:w="538" w:type="pct"/>
            <w:shd w:val="clear" w:color="auto" w:fill="auto"/>
            <w:vAlign w:val="center"/>
          </w:tcPr>
          <w:p>
            <w:pPr>
              <w:pStyle w:val="3238"/>
              <w:rPr>
                <w:b/>
              </w:rPr>
            </w:pPr>
            <w:r>
              <w:t>超标</w:t>
            </w:r>
          </w:p>
        </w:tc>
      </w:tr>
    </w:tbl>
    <w:p>
      <w:pPr>
        <w:spacing w:line="360" w:lineRule="auto"/>
        <w:ind w:firstLine="480"/>
        <w:rPr>
          <w:sz w:val="24"/>
          <w:szCs w:val="24"/>
        </w:rPr>
      </w:pPr>
      <w:r>
        <w:rPr>
          <w:sz w:val="24"/>
          <w:szCs w:val="24"/>
        </w:rPr>
        <w:t>预测结果表明，非正常排放情况下，颗粒物将会导致项目周边敏感目标环境空气质量超标，且超标倍数较高，因此企业因加强除尘设施的维护，避免废正常工况的发生。</w:t>
      </w:r>
    </w:p>
    <w:p>
      <w:pPr>
        <w:spacing w:line="360" w:lineRule="auto"/>
        <w:ind w:firstLine="480"/>
        <w:rPr>
          <w:sz w:val="24"/>
          <w:szCs w:val="24"/>
        </w:rPr>
      </w:pPr>
      <w:r>
        <w:rPr>
          <w:sz w:val="24"/>
          <w:szCs w:val="24"/>
        </w:rPr>
        <w:t>（3）大气环境防护距离</w:t>
      </w:r>
    </w:p>
    <w:p>
      <w:pPr>
        <w:spacing w:line="360" w:lineRule="auto"/>
        <w:ind w:firstLine="480"/>
        <w:rPr>
          <w:sz w:val="24"/>
          <w:szCs w:val="24"/>
        </w:rPr>
      </w:pPr>
      <w:r>
        <w:rPr>
          <w:sz w:val="24"/>
          <w:szCs w:val="24"/>
        </w:rPr>
        <w:t>根据</w:t>
      </w:r>
      <w:r>
        <w:rPr>
          <w:bCs/>
          <w:sz w:val="24"/>
          <w:szCs w:val="24"/>
        </w:rPr>
        <w:t>《环境影响评价技术导则 大气环境》（HJ2.2-2018）</w:t>
      </w:r>
      <w:r>
        <w:rPr>
          <w:sz w:val="24"/>
          <w:szCs w:val="24"/>
        </w:rPr>
        <w:t>，采用进一步预测模型AERMOD，预测本项目所有污染源对厂界外主要污染物的短期贡献浓度分布。由预测结果可知，本项目各种污染物的短期浓度均未超过相应标准，所以无需设置大气环境防护距离。</w:t>
      </w:r>
    </w:p>
    <w:p>
      <w:pPr>
        <w:spacing w:line="360" w:lineRule="auto"/>
        <w:ind w:firstLine="480"/>
        <w:rPr>
          <w:sz w:val="24"/>
          <w:szCs w:val="24"/>
        </w:rPr>
      </w:pPr>
      <w:r>
        <w:rPr>
          <w:sz w:val="24"/>
          <w:szCs w:val="24"/>
        </w:rPr>
        <w:t>（4）预测结论</w:t>
      </w:r>
    </w:p>
    <w:p>
      <w:pPr>
        <w:spacing w:line="360" w:lineRule="auto"/>
        <w:ind w:firstLine="480"/>
        <w:rPr>
          <w:sz w:val="24"/>
          <w:szCs w:val="24"/>
          <w:lang w:bidi="en-US"/>
        </w:rPr>
      </w:pPr>
      <w:r>
        <w:rPr>
          <w:sz w:val="24"/>
          <w:szCs w:val="24"/>
          <w:lang w:bidi="en-US"/>
        </w:rPr>
        <w:t>本项目污染源正常排放情况下污染物</w:t>
      </w:r>
      <w:r>
        <w:rPr>
          <w:bCs/>
          <w:kern w:val="0"/>
          <w:sz w:val="24"/>
          <w:szCs w:val="24"/>
        </w:rPr>
        <w:t>PM</w:t>
      </w:r>
      <w:r>
        <w:rPr>
          <w:bCs/>
          <w:kern w:val="0"/>
          <w:sz w:val="24"/>
          <w:szCs w:val="24"/>
          <w:vertAlign w:val="subscript"/>
        </w:rPr>
        <w:t>10</w:t>
      </w:r>
      <w:r>
        <w:rPr>
          <w:bCs/>
          <w:kern w:val="0"/>
          <w:sz w:val="24"/>
          <w:szCs w:val="24"/>
        </w:rPr>
        <w:t>、TSP</w:t>
      </w:r>
      <w:r>
        <w:rPr>
          <w:sz w:val="24"/>
          <w:szCs w:val="24"/>
          <w:lang w:bidi="en-US"/>
        </w:rPr>
        <w:t>日均浓度贡献值的最大浓度占标率</w:t>
      </w:r>
      <w:r>
        <w:rPr>
          <w:bCs/>
          <w:kern w:val="0"/>
          <w:sz w:val="24"/>
          <w:szCs w:val="24"/>
        </w:rPr>
        <w:t>均＜100%；</w:t>
      </w:r>
      <w:r>
        <w:rPr>
          <w:sz w:val="24"/>
          <w:szCs w:val="24"/>
          <w:lang w:bidi="en-US"/>
        </w:rPr>
        <w:t>年均浓度贡献值的最大浓度占标率分别为</w:t>
      </w:r>
      <w:r>
        <w:rPr>
          <w:sz w:val="24"/>
          <w:szCs w:val="24"/>
        </w:rPr>
        <w:t>均</w:t>
      </w:r>
      <w:r>
        <w:rPr>
          <w:bCs/>
          <w:kern w:val="0"/>
          <w:sz w:val="24"/>
          <w:szCs w:val="24"/>
        </w:rPr>
        <w:t>＜</w:t>
      </w:r>
      <w:r>
        <w:rPr>
          <w:sz w:val="24"/>
          <w:szCs w:val="24"/>
        </w:rPr>
        <w:t>10%。</w:t>
      </w:r>
    </w:p>
    <w:p>
      <w:pPr>
        <w:spacing w:line="360" w:lineRule="auto"/>
        <w:ind w:firstLine="480"/>
        <w:rPr>
          <w:sz w:val="24"/>
          <w:szCs w:val="24"/>
          <w:lang w:bidi="en-US"/>
        </w:rPr>
      </w:pPr>
      <w:r>
        <w:rPr>
          <w:sz w:val="24"/>
          <w:szCs w:val="24"/>
          <w:lang w:bidi="en-US"/>
        </w:rPr>
        <w:t>叠加</w:t>
      </w:r>
      <w:r>
        <w:rPr>
          <w:bCs/>
          <w:snapToGrid w:val="0"/>
          <w:kern w:val="0"/>
          <w:sz w:val="24"/>
          <w:szCs w:val="24"/>
        </w:rPr>
        <w:t>背景浓度后，</w:t>
      </w:r>
      <w:r>
        <w:rPr>
          <w:sz w:val="24"/>
          <w:szCs w:val="24"/>
          <w:lang w:bidi="en-US"/>
        </w:rPr>
        <w:t>二类区PM</w:t>
      </w:r>
      <w:r>
        <w:rPr>
          <w:sz w:val="24"/>
          <w:szCs w:val="24"/>
          <w:vertAlign w:val="subscript"/>
          <w:lang w:bidi="en-US"/>
        </w:rPr>
        <w:t>10</w:t>
      </w:r>
      <w:r>
        <w:rPr>
          <w:sz w:val="24"/>
          <w:szCs w:val="24"/>
          <w:lang w:bidi="en-US"/>
        </w:rPr>
        <w:t>95%保证率日平均质量浓度和年平均质量浓度均满足《环境空气质量标准》（GB3095-2012）二级标准限值；一类区PM</w:t>
      </w:r>
      <w:r>
        <w:rPr>
          <w:sz w:val="24"/>
          <w:szCs w:val="24"/>
          <w:vertAlign w:val="subscript"/>
          <w:lang w:bidi="en-US"/>
        </w:rPr>
        <w:t>10</w:t>
      </w:r>
      <w:r>
        <w:rPr>
          <w:sz w:val="24"/>
          <w:szCs w:val="24"/>
          <w:lang w:bidi="en-US"/>
        </w:rPr>
        <w:t>日平均质量浓度满足《环境空气质量标准》（GB3095-2012）一级标准限值；二类区TSP日平均质量浓度满足《环境空气质量标准》（GB3095-2012）二级标准限值；一类区TSP日平均质量浓度满足《环境空气质量标准》（GB3095-2012）一级标准限值。</w:t>
      </w:r>
    </w:p>
    <w:p>
      <w:pPr>
        <w:spacing w:line="360" w:lineRule="auto"/>
        <w:ind w:firstLine="480"/>
        <w:rPr>
          <w:bCs/>
          <w:snapToGrid w:val="0"/>
          <w:kern w:val="0"/>
          <w:sz w:val="24"/>
          <w:szCs w:val="24"/>
        </w:rPr>
      </w:pPr>
      <w:r>
        <w:rPr>
          <w:sz w:val="24"/>
          <w:szCs w:val="21"/>
          <w:lang w:bidi="en-US"/>
        </w:rPr>
        <w:t>综上，本项目实施后无组织排放颗粒物有所减少，可维持环境空气质量不变，</w:t>
      </w:r>
      <w:r>
        <w:rPr>
          <w:bCs/>
          <w:snapToGrid w:val="0"/>
          <w:kern w:val="0"/>
          <w:sz w:val="24"/>
          <w:szCs w:val="24"/>
        </w:rPr>
        <w:t>本项目开采期正常工况下排放的大气环境污染物对大气环境影响是可接受。</w:t>
      </w:r>
    </w:p>
    <w:bookmarkEnd w:id="193"/>
    <w:p>
      <w:pPr>
        <w:pStyle w:val="6"/>
        <w:numPr>
          <w:ilvl w:val="3"/>
          <w:numId w:val="0"/>
        </w:numPr>
      </w:pPr>
      <w:r>
        <w:t>6.2.1.7爆破废气、开采机械设备尾气</w:t>
      </w:r>
    </w:p>
    <w:p>
      <w:pPr>
        <w:ind w:firstLine="480"/>
        <w:jc w:val="both"/>
        <w:rPr>
          <w:sz w:val="24"/>
          <w:szCs w:val="21"/>
          <w:lang w:bidi="en-US"/>
        </w:rPr>
      </w:pPr>
      <w:r>
        <w:rPr>
          <w:sz w:val="24"/>
          <w:szCs w:val="21"/>
          <w:lang w:bidi="en-US"/>
        </w:rPr>
        <w:t>本项目3天爆破1次，产生的废气主要为NOX和CO，开采设备产生废气主要为HC、NOx、CO等，爆破和开采设备产生废气的量很少，能够迅速稀释扩散，对环境空气的影响很小。</w:t>
      </w:r>
    </w:p>
    <w:p>
      <w:pPr>
        <w:pStyle w:val="6"/>
        <w:numPr>
          <w:ilvl w:val="3"/>
          <w:numId w:val="0"/>
        </w:numPr>
      </w:pPr>
      <w:r>
        <w:t>6.2.1.8污染物排放量核算</w:t>
      </w:r>
    </w:p>
    <w:p>
      <w:pPr>
        <w:pStyle w:val="3219"/>
        <w:rPr>
          <w:color w:val="auto"/>
        </w:rPr>
      </w:pPr>
      <w:r>
        <w:rPr>
          <w:color w:val="auto"/>
        </w:rPr>
        <w:t>项目污染物排放量核算见下表。</w:t>
      </w:r>
    </w:p>
    <w:p>
      <w:pPr>
        <w:pStyle w:val="84"/>
      </w:pPr>
      <w:r>
        <w:t>表6.2-22  大气污染物有组织排放核算表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592"/>
        <w:gridCol w:w="949"/>
        <w:gridCol w:w="1906"/>
        <w:gridCol w:w="2064"/>
        <w:gridCol w:w="1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3" w:type="pct"/>
            <w:shd w:val="clear" w:color="auto" w:fill="D8D8D8" w:themeFill="background1" w:themeFillShade="D9"/>
            <w:vAlign w:val="center"/>
          </w:tcPr>
          <w:p>
            <w:pPr>
              <w:pStyle w:val="3238"/>
            </w:pPr>
            <w:r>
              <w:t>序号</w:t>
            </w:r>
          </w:p>
        </w:tc>
        <w:tc>
          <w:tcPr>
            <w:tcW w:w="857" w:type="pct"/>
            <w:shd w:val="clear" w:color="auto" w:fill="D8D8D8" w:themeFill="background1" w:themeFillShade="D9"/>
            <w:vAlign w:val="center"/>
          </w:tcPr>
          <w:p>
            <w:pPr>
              <w:pStyle w:val="3238"/>
            </w:pPr>
            <w:r>
              <w:t>排放口编号</w:t>
            </w:r>
          </w:p>
        </w:tc>
        <w:tc>
          <w:tcPr>
            <w:tcW w:w="511" w:type="pct"/>
            <w:shd w:val="clear" w:color="auto" w:fill="D8D8D8" w:themeFill="background1" w:themeFillShade="D9"/>
            <w:vAlign w:val="center"/>
          </w:tcPr>
          <w:p>
            <w:pPr>
              <w:pStyle w:val="3238"/>
            </w:pPr>
            <w:r>
              <w:t>污染物</w:t>
            </w:r>
          </w:p>
        </w:tc>
        <w:tc>
          <w:tcPr>
            <w:tcW w:w="1026" w:type="pct"/>
            <w:shd w:val="clear" w:color="auto" w:fill="D8D8D8" w:themeFill="background1" w:themeFillShade="D9"/>
            <w:vAlign w:val="center"/>
          </w:tcPr>
          <w:p>
            <w:pPr>
              <w:pStyle w:val="3238"/>
            </w:pPr>
            <w:r>
              <w:t>核算排放浓度/（mg/m³）</w:t>
            </w:r>
          </w:p>
        </w:tc>
        <w:tc>
          <w:tcPr>
            <w:tcW w:w="1111" w:type="pct"/>
            <w:shd w:val="clear" w:color="auto" w:fill="D8D8D8" w:themeFill="background1" w:themeFillShade="D9"/>
            <w:vAlign w:val="center"/>
          </w:tcPr>
          <w:p>
            <w:pPr>
              <w:pStyle w:val="3238"/>
            </w:pPr>
            <w:r>
              <w:t>核算排放速率/（kg/h）</w:t>
            </w:r>
          </w:p>
        </w:tc>
        <w:tc>
          <w:tcPr>
            <w:tcW w:w="1072" w:type="pct"/>
            <w:shd w:val="clear" w:color="auto" w:fill="D8D8D8" w:themeFill="background1" w:themeFillShade="D9"/>
            <w:vAlign w:val="center"/>
          </w:tcPr>
          <w:p>
            <w:pPr>
              <w:pStyle w:val="3238"/>
            </w:pPr>
            <w:r>
              <w:t>核算排放量/（t/a）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gridSpan w:val="6"/>
            <w:shd w:val="clear" w:color="auto" w:fill="auto"/>
            <w:vAlign w:val="center"/>
          </w:tcPr>
          <w:p>
            <w:pPr>
              <w:pStyle w:val="3238"/>
              <w:rPr>
                <w:b/>
              </w:rPr>
            </w:pPr>
            <w: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3" w:type="pct"/>
            <w:shd w:val="clear" w:color="auto" w:fill="auto"/>
            <w:vAlign w:val="center"/>
          </w:tcPr>
          <w:p>
            <w:pPr>
              <w:pStyle w:val="3238"/>
            </w:pPr>
            <w:r>
              <w:t>1</w:t>
            </w:r>
          </w:p>
        </w:tc>
        <w:tc>
          <w:tcPr>
            <w:tcW w:w="857" w:type="pct"/>
            <w:shd w:val="clear" w:color="auto" w:fill="auto"/>
            <w:vAlign w:val="center"/>
          </w:tcPr>
          <w:p>
            <w:pPr>
              <w:pStyle w:val="3238"/>
              <w:rPr>
                <w:b/>
              </w:rPr>
            </w:pPr>
            <w:r>
              <w:t>DA001排气筒</w:t>
            </w:r>
          </w:p>
        </w:tc>
        <w:tc>
          <w:tcPr>
            <w:tcW w:w="511" w:type="pct"/>
            <w:shd w:val="clear" w:color="auto" w:fill="auto"/>
            <w:vAlign w:val="center"/>
          </w:tcPr>
          <w:p>
            <w:pPr>
              <w:pStyle w:val="3238"/>
              <w:rPr>
                <w:b/>
              </w:rPr>
            </w:pPr>
            <w:r>
              <w:t>颗粒物</w:t>
            </w:r>
          </w:p>
        </w:tc>
        <w:tc>
          <w:tcPr>
            <w:tcW w:w="1026" w:type="pct"/>
            <w:shd w:val="clear" w:color="auto" w:fill="auto"/>
            <w:vAlign w:val="center"/>
          </w:tcPr>
          <w:p>
            <w:pPr>
              <w:pStyle w:val="3238"/>
              <w:rPr>
                <w:b/>
              </w:rPr>
            </w:pPr>
            <w:r>
              <w:t>18.38</w:t>
            </w:r>
          </w:p>
        </w:tc>
        <w:tc>
          <w:tcPr>
            <w:tcW w:w="1111" w:type="pct"/>
            <w:shd w:val="clear" w:color="auto" w:fill="auto"/>
            <w:vAlign w:val="center"/>
          </w:tcPr>
          <w:p>
            <w:pPr>
              <w:pStyle w:val="3238"/>
              <w:rPr>
                <w:b/>
              </w:rPr>
            </w:pPr>
            <w:r>
              <w:t>0.092</w:t>
            </w:r>
          </w:p>
        </w:tc>
        <w:tc>
          <w:tcPr>
            <w:tcW w:w="1072" w:type="pct"/>
            <w:shd w:val="clear" w:color="auto" w:fill="auto"/>
            <w:vAlign w:val="center"/>
          </w:tcPr>
          <w:p>
            <w:pPr>
              <w:pStyle w:val="3238"/>
              <w:rPr>
                <w:b/>
              </w:rPr>
            </w:pPr>
            <w:r>
              <w:t>0.368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3" w:type="pct"/>
            <w:shd w:val="clear" w:color="auto" w:fill="auto"/>
            <w:vAlign w:val="center"/>
          </w:tcPr>
          <w:p>
            <w:pPr>
              <w:pStyle w:val="3238"/>
            </w:pPr>
            <w:r>
              <w:t>2</w:t>
            </w:r>
          </w:p>
        </w:tc>
        <w:tc>
          <w:tcPr>
            <w:tcW w:w="857" w:type="pct"/>
            <w:shd w:val="clear" w:color="auto" w:fill="auto"/>
            <w:vAlign w:val="center"/>
          </w:tcPr>
          <w:p>
            <w:pPr>
              <w:pStyle w:val="3238"/>
              <w:rPr>
                <w:b/>
              </w:rPr>
            </w:pPr>
            <w:r>
              <w:t>DA002排气筒</w:t>
            </w:r>
          </w:p>
        </w:tc>
        <w:tc>
          <w:tcPr>
            <w:tcW w:w="511" w:type="pct"/>
            <w:shd w:val="clear" w:color="auto" w:fill="auto"/>
            <w:vAlign w:val="center"/>
          </w:tcPr>
          <w:p>
            <w:pPr>
              <w:pStyle w:val="3238"/>
              <w:rPr>
                <w:b/>
              </w:rPr>
            </w:pPr>
            <w:r>
              <w:t>颗粒物</w:t>
            </w:r>
          </w:p>
        </w:tc>
        <w:tc>
          <w:tcPr>
            <w:tcW w:w="1026" w:type="pct"/>
            <w:shd w:val="clear" w:color="auto" w:fill="auto"/>
            <w:vAlign w:val="center"/>
          </w:tcPr>
          <w:p>
            <w:pPr>
              <w:pStyle w:val="3238"/>
              <w:rPr>
                <w:b/>
              </w:rPr>
            </w:pPr>
            <w:r>
              <w:t>10.5</w:t>
            </w:r>
          </w:p>
        </w:tc>
        <w:tc>
          <w:tcPr>
            <w:tcW w:w="1111" w:type="pct"/>
            <w:shd w:val="clear" w:color="auto" w:fill="auto"/>
            <w:vAlign w:val="center"/>
          </w:tcPr>
          <w:p>
            <w:pPr>
              <w:pStyle w:val="3238"/>
              <w:rPr>
                <w:b/>
              </w:rPr>
            </w:pPr>
            <w:r>
              <w:t>0.053</w:t>
            </w:r>
          </w:p>
        </w:tc>
        <w:tc>
          <w:tcPr>
            <w:tcW w:w="1072" w:type="pct"/>
            <w:shd w:val="clear" w:color="auto" w:fill="auto"/>
            <w:vAlign w:val="center"/>
          </w:tcPr>
          <w:p>
            <w:pPr>
              <w:pStyle w:val="3238"/>
              <w:rPr>
                <w:b/>
              </w:rPr>
            </w:pPr>
            <w: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3" w:type="pct"/>
            <w:shd w:val="clear" w:color="auto" w:fill="auto"/>
            <w:vAlign w:val="center"/>
          </w:tcPr>
          <w:p>
            <w:pPr>
              <w:pStyle w:val="3238"/>
            </w:pPr>
            <w:r>
              <w:t>3</w:t>
            </w:r>
          </w:p>
        </w:tc>
        <w:tc>
          <w:tcPr>
            <w:tcW w:w="857" w:type="pct"/>
            <w:shd w:val="clear" w:color="auto" w:fill="auto"/>
            <w:vAlign w:val="center"/>
          </w:tcPr>
          <w:p>
            <w:pPr>
              <w:pStyle w:val="3238"/>
              <w:rPr>
                <w:b/>
              </w:rPr>
            </w:pPr>
            <w:r>
              <w:t>DA003排气筒</w:t>
            </w:r>
          </w:p>
        </w:tc>
        <w:tc>
          <w:tcPr>
            <w:tcW w:w="511" w:type="pct"/>
            <w:shd w:val="clear" w:color="auto" w:fill="auto"/>
            <w:vAlign w:val="center"/>
          </w:tcPr>
          <w:p>
            <w:pPr>
              <w:pStyle w:val="3238"/>
              <w:rPr>
                <w:b/>
              </w:rPr>
            </w:pPr>
            <w:r>
              <w:t>颗粒物</w:t>
            </w:r>
          </w:p>
        </w:tc>
        <w:tc>
          <w:tcPr>
            <w:tcW w:w="1026" w:type="pct"/>
            <w:shd w:val="clear" w:color="auto" w:fill="auto"/>
            <w:vAlign w:val="center"/>
          </w:tcPr>
          <w:p>
            <w:pPr>
              <w:pStyle w:val="3238"/>
              <w:rPr>
                <w:b/>
              </w:rPr>
            </w:pPr>
            <w:r>
              <w:t>3.68</w:t>
            </w:r>
          </w:p>
        </w:tc>
        <w:tc>
          <w:tcPr>
            <w:tcW w:w="1111" w:type="pct"/>
            <w:shd w:val="clear" w:color="auto" w:fill="auto"/>
            <w:vAlign w:val="center"/>
          </w:tcPr>
          <w:p>
            <w:pPr>
              <w:pStyle w:val="3238"/>
              <w:rPr>
                <w:b/>
              </w:rPr>
            </w:pPr>
            <w:r>
              <w:t>0.092</w:t>
            </w:r>
          </w:p>
        </w:tc>
        <w:tc>
          <w:tcPr>
            <w:tcW w:w="1072" w:type="pct"/>
            <w:shd w:val="clear" w:color="auto" w:fill="auto"/>
            <w:vAlign w:val="center"/>
          </w:tcPr>
          <w:p>
            <w:pPr>
              <w:pStyle w:val="3238"/>
              <w:rPr>
                <w:b/>
              </w:rPr>
            </w:pPr>
            <w:r>
              <w:t>0.368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91" w:type="pct"/>
            <w:gridSpan w:val="3"/>
            <w:shd w:val="clear" w:color="auto" w:fill="auto"/>
            <w:vAlign w:val="center"/>
          </w:tcPr>
          <w:p>
            <w:pPr>
              <w:pStyle w:val="3238"/>
              <w:rPr>
                <w:b/>
              </w:rPr>
            </w:pPr>
            <w:r>
              <w:t>有组织排放总计</w:t>
            </w:r>
          </w:p>
        </w:tc>
        <w:tc>
          <w:tcPr>
            <w:tcW w:w="2137" w:type="pct"/>
            <w:gridSpan w:val="2"/>
            <w:shd w:val="clear" w:color="auto" w:fill="auto"/>
            <w:vAlign w:val="center"/>
          </w:tcPr>
          <w:p>
            <w:pPr>
              <w:pStyle w:val="3238"/>
              <w:rPr>
                <w:b/>
              </w:rPr>
            </w:pPr>
            <w:r>
              <w:t>颗粒物</w:t>
            </w:r>
          </w:p>
        </w:tc>
        <w:tc>
          <w:tcPr>
            <w:tcW w:w="1072" w:type="pct"/>
            <w:shd w:val="clear" w:color="auto" w:fill="auto"/>
            <w:vAlign w:val="center"/>
          </w:tcPr>
          <w:p>
            <w:pPr>
              <w:pStyle w:val="3238"/>
              <w:rPr>
                <w:b/>
              </w:rPr>
            </w:pPr>
            <w:r>
              <w:t>0.945</w:t>
            </w:r>
          </w:p>
        </w:tc>
      </w:tr>
    </w:tbl>
    <w:p>
      <w:pPr>
        <w:pStyle w:val="84"/>
      </w:pPr>
      <w:r>
        <w:t>表6.2-23  大气污染物无组织排放核算表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1389"/>
        <w:gridCol w:w="1068"/>
        <w:gridCol w:w="908"/>
        <w:gridCol w:w="1269"/>
        <w:gridCol w:w="1642"/>
        <w:gridCol w:w="1426"/>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 w:hRule="atLeast"/>
        </w:trPr>
        <w:tc>
          <w:tcPr>
            <w:tcW w:w="310" w:type="pct"/>
            <w:vMerge w:val="restart"/>
            <w:shd w:val="clear" w:color="auto" w:fill="D8D8D8" w:themeFill="background1" w:themeFillShade="D9"/>
            <w:vAlign w:val="center"/>
          </w:tcPr>
          <w:p>
            <w:pPr>
              <w:pStyle w:val="3238"/>
            </w:pPr>
            <w:r>
              <w:t>序号</w:t>
            </w:r>
          </w:p>
        </w:tc>
        <w:tc>
          <w:tcPr>
            <w:tcW w:w="748" w:type="pct"/>
            <w:vMerge w:val="restart"/>
            <w:shd w:val="clear" w:color="auto" w:fill="D8D8D8" w:themeFill="background1" w:themeFillShade="D9"/>
            <w:vAlign w:val="center"/>
          </w:tcPr>
          <w:p>
            <w:pPr>
              <w:pStyle w:val="3238"/>
            </w:pPr>
            <w:r>
              <w:t>排放口编号</w:t>
            </w:r>
          </w:p>
        </w:tc>
        <w:tc>
          <w:tcPr>
            <w:tcW w:w="575" w:type="pct"/>
            <w:vMerge w:val="restart"/>
            <w:shd w:val="clear" w:color="auto" w:fill="D8D8D8" w:themeFill="background1" w:themeFillShade="D9"/>
            <w:vAlign w:val="center"/>
          </w:tcPr>
          <w:p>
            <w:pPr>
              <w:pStyle w:val="3238"/>
            </w:pPr>
            <w:r>
              <w:t>产污环节</w:t>
            </w:r>
          </w:p>
        </w:tc>
        <w:tc>
          <w:tcPr>
            <w:tcW w:w="489" w:type="pct"/>
            <w:vMerge w:val="restart"/>
            <w:shd w:val="clear" w:color="auto" w:fill="D8D8D8" w:themeFill="background1" w:themeFillShade="D9"/>
            <w:vAlign w:val="center"/>
          </w:tcPr>
          <w:p>
            <w:pPr>
              <w:pStyle w:val="3238"/>
            </w:pPr>
            <w:r>
              <w:t>污染物</w:t>
            </w:r>
          </w:p>
        </w:tc>
        <w:tc>
          <w:tcPr>
            <w:tcW w:w="683" w:type="pct"/>
            <w:vMerge w:val="restart"/>
            <w:shd w:val="clear" w:color="auto" w:fill="D8D8D8" w:themeFill="background1" w:themeFillShade="D9"/>
            <w:vAlign w:val="center"/>
          </w:tcPr>
          <w:p>
            <w:pPr>
              <w:pStyle w:val="3238"/>
            </w:pPr>
            <w:r>
              <w:t>主要污染防治措施</w:t>
            </w:r>
          </w:p>
        </w:tc>
        <w:tc>
          <w:tcPr>
            <w:tcW w:w="1652" w:type="pct"/>
            <w:gridSpan w:val="2"/>
            <w:shd w:val="clear" w:color="auto" w:fill="D8D8D8" w:themeFill="background1" w:themeFillShade="D9"/>
            <w:vAlign w:val="center"/>
          </w:tcPr>
          <w:p>
            <w:pPr>
              <w:pStyle w:val="3238"/>
            </w:pPr>
            <w:r>
              <w:t>国家或地方污染物排放标准</w:t>
            </w:r>
          </w:p>
        </w:tc>
        <w:tc>
          <w:tcPr>
            <w:tcW w:w="543" w:type="pct"/>
            <w:vMerge w:val="restart"/>
            <w:shd w:val="clear" w:color="auto" w:fill="D8D8D8" w:themeFill="background1" w:themeFillShade="D9"/>
            <w:vAlign w:val="center"/>
          </w:tcPr>
          <w:p>
            <w:pPr>
              <w:pStyle w:val="3238"/>
            </w:pPr>
            <w: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310" w:type="pct"/>
            <w:vMerge w:val="continue"/>
            <w:shd w:val="clear" w:color="auto" w:fill="D8D8D8" w:themeFill="background1" w:themeFillShade="D9"/>
            <w:vAlign w:val="center"/>
          </w:tcPr>
          <w:p>
            <w:pPr>
              <w:pStyle w:val="3238"/>
            </w:pPr>
          </w:p>
        </w:tc>
        <w:tc>
          <w:tcPr>
            <w:tcW w:w="748" w:type="pct"/>
            <w:vMerge w:val="continue"/>
            <w:shd w:val="clear" w:color="auto" w:fill="D8D8D8" w:themeFill="background1" w:themeFillShade="D9"/>
            <w:vAlign w:val="center"/>
          </w:tcPr>
          <w:p>
            <w:pPr>
              <w:pStyle w:val="3238"/>
            </w:pPr>
          </w:p>
        </w:tc>
        <w:tc>
          <w:tcPr>
            <w:tcW w:w="575" w:type="pct"/>
            <w:vMerge w:val="continue"/>
            <w:shd w:val="clear" w:color="auto" w:fill="D8D8D8" w:themeFill="background1" w:themeFillShade="D9"/>
            <w:vAlign w:val="center"/>
          </w:tcPr>
          <w:p>
            <w:pPr>
              <w:pStyle w:val="3238"/>
            </w:pPr>
          </w:p>
        </w:tc>
        <w:tc>
          <w:tcPr>
            <w:tcW w:w="489" w:type="pct"/>
            <w:vMerge w:val="continue"/>
            <w:shd w:val="clear" w:color="auto" w:fill="D8D8D8" w:themeFill="background1" w:themeFillShade="D9"/>
            <w:vAlign w:val="center"/>
          </w:tcPr>
          <w:p>
            <w:pPr>
              <w:pStyle w:val="3238"/>
            </w:pPr>
          </w:p>
        </w:tc>
        <w:tc>
          <w:tcPr>
            <w:tcW w:w="683" w:type="pct"/>
            <w:vMerge w:val="continue"/>
            <w:shd w:val="clear" w:color="auto" w:fill="D8D8D8" w:themeFill="background1" w:themeFillShade="D9"/>
            <w:vAlign w:val="center"/>
          </w:tcPr>
          <w:p>
            <w:pPr>
              <w:pStyle w:val="3238"/>
            </w:pPr>
          </w:p>
        </w:tc>
        <w:tc>
          <w:tcPr>
            <w:tcW w:w="884" w:type="pct"/>
            <w:shd w:val="clear" w:color="auto" w:fill="D8D8D8" w:themeFill="background1" w:themeFillShade="D9"/>
            <w:vAlign w:val="center"/>
          </w:tcPr>
          <w:p>
            <w:pPr>
              <w:pStyle w:val="3238"/>
            </w:pPr>
            <w:r>
              <w:t>标准名称</w:t>
            </w:r>
          </w:p>
        </w:tc>
        <w:tc>
          <w:tcPr>
            <w:tcW w:w="768" w:type="pct"/>
            <w:shd w:val="clear" w:color="auto" w:fill="D8D8D8" w:themeFill="background1" w:themeFillShade="D9"/>
            <w:vAlign w:val="center"/>
          </w:tcPr>
          <w:p>
            <w:pPr>
              <w:pStyle w:val="3238"/>
            </w:pPr>
            <w:r>
              <w:t>浓度限值/（mg/m</w:t>
            </w:r>
            <w:r>
              <w:rPr>
                <w:vertAlign w:val="superscript"/>
              </w:rPr>
              <w:t>3</w:t>
            </w:r>
            <w:r>
              <w:t>）</w:t>
            </w:r>
          </w:p>
        </w:tc>
        <w:tc>
          <w:tcPr>
            <w:tcW w:w="543" w:type="pct"/>
            <w:vMerge w:val="continue"/>
            <w:shd w:val="clear" w:color="auto" w:fill="D8D8D8" w:themeFill="background1" w:themeFillShade="D9"/>
            <w:vAlign w:val="center"/>
          </w:tcPr>
          <w:p>
            <w:pPr>
              <w:pStyle w:val="323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310" w:type="pct"/>
            <w:shd w:val="clear" w:color="auto" w:fill="auto"/>
            <w:vAlign w:val="center"/>
          </w:tcPr>
          <w:p>
            <w:pPr>
              <w:pStyle w:val="3238"/>
            </w:pPr>
            <w:r>
              <w:t>1</w:t>
            </w:r>
          </w:p>
        </w:tc>
        <w:tc>
          <w:tcPr>
            <w:tcW w:w="748" w:type="pct"/>
            <w:shd w:val="clear" w:color="auto" w:fill="auto"/>
            <w:vAlign w:val="center"/>
          </w:tcPr>
          <w:p>
            <w:pPr>
              <w:pStyle w:val="3238"/>
              <w:rPr>
                <w:b/>
              </w:rPr>
            </w:pPr>
            <w:r>
              <w:t>开采区</w:t>
            </w:r>
          </w:p>
        </w:tc>
        <w:tc>
          <w:tcPr>
            <w:tcW w:w="575" w:type="pct"/>
            <w:shd w:val="clear" w:color="auto" w:fill="auto"/>
            <w:vAlign w:val="center"/>
          </w:tcPr>
          <w:p>
            <w:pPr>
              <w:pStyle w:val="3238"/>
              <w:rPr>
                <w:b/>
              </w:rPr>
            </w:pPr>
            <w:r>
              <w:t>挖掘、运输</w:t>
            </w:r>
          </w:p>
        </w:tc>
        <w:tc>
          <w:tcPr>
            <w:tcW w:w="489" w:type="pct"/>
            <w:shd w:val="clear" w:color="auto" w:fill="auto"/>
            <w:vAlign w:val="center"/>
          </w:tcPr>
          <w:p>
            <w:pPr>
              <w:pStyle w:val="3238"/>
              <w:rPr>
                <w:b/>
              </w:rPr>
            </w:pPr>
            <w:r>
              <w:t>颗粒物</w:t>
            </w:r>
          </w:p>
        </w:tc>
        <w:tc>
          <w:tcPr>
            <w:tcW w:w="683" w:type="pct"/>
            <w:shd w:val="clear" w:color="auto" w:fill="auto"/>
            <w:vAlign w:val="center"/>
          </w:tcPr>
          <w:p>
            <w:pPr>
              <w:pStyle w:val="3238"/>
              <w:rPr>
                <w:b/>
              </w:rPr>
            </w:pPr>
            <w:r>
              <w:t>封闭堆场、喷雾洒水等</w:t>
            </w:r>
          </w:p>
        </w:tc>
        <w:tc>
          <w:tcPr>
            <w:tcW w:w="884" w:type="pct"/>
            <w:vMerge w:val="restart"/>
            <w:shd w:val="clear" w:color="auto" w:fill="auto"/>
            <w:vAlign w:val="center"/>
          </w:tcPr>
          <w:p>
            <w:pPr>
              <w:pStyle w:val="3238"/>
              <w:rPr>
                <w:b/>
              </w:rPr>
            </w:pPr>
            <w:r>
              <w:t>《大气污染物综合排放标准》（DB50/418-2016）</w:t>
            </w:r>
          </w:p>
        </w:tc>
        <w:tc>
          <w:tcPr>
            <w:tcW w:w="768" w:type="pct"/>
            <w:shd w:val="clear" w:color="auto" w:fill="auto"/>
            <w:vAlign w:val="center"/>
          </w:tcPr>
          <w:p>
            <w:pPr>
              <w:pStyle w:val="3238"/>
              <w:rPr>
                <w:b/>
              </w:rPr>
            </w:pPr>
            <w:r>
              <w:t>1.0</w:t>
            </w:r>
          </w:p>
        </w:tc>
        <w:tc>
          <w:tcPr>
            <w:tcW w:w="543" w:type="pct"/>
            <w:shd w:val="clear" w:color="auto" w:fill="auto"/>
            <w:vAlign w:val="center"/>
          </w:tcPr>
          <w:p>
            <w:pPr>
              <w:pStyle w:val="3238"/>
              <w:rPr>
                <w:b/>
              </w:rPr>
            </w:pPr>
            <w:r>
              <w:t>3.239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310" w:type="pct"/>
            <w:shd w:val="clear" w:color="auto" w:fill="auto"/>
            <w:vAlign w:val="center"/>
          </w:tcPr>
          <w:p>
            <w:pPr>
              <w:pStyle w:val="3238"/>
            </w:pPr>
            <w:r>
              <w:t>2</w:t>
            </w:r>
          </w:p>
        </w:tc>
        <w:tc>
          <w:tcPr>
            <w:tcW w:w="748" w:type="pct"/>
            <w:shd w:val="clear" w:color="auto" w:fill="auto"/>
            <w:vAlign w:val="center"/>
          </w:tcPr>
          <w:p>
            <w:pPr>
              <w:pStyle w:val="3238"/>
              <w:rPr>
                <w:b/>
              </w:rPr>
            </w:pPr>
            <w:r>
              <w:t>工业场地</w:t>
            </w:r>
          </w:p>
        </w:tc>
        <w:tc>
          <w:tcPr>
            <w:tcW w:w="575" w:type="pct"/>
            <w:shd w:val="clear" w:color="auto" w:fill="auto"/>
            <w:vAlign w:val="center"/>
          </w:tcPr>
          <w:p>
            <w:pPr>
              <w:pStyle w:val="3238"/>
              <w:rPr>
                <w:b/>
              </w:rPr>
            </w:pPr>
            <w:r>
              <w:t>加工</w:t>
            </w:r>
          </w:p>
        </w:tc>
        <w:tc>
          <w:tcPr>
            <w:tcW w:w="489" w:type="pct"/>
            <w:shd w:val="clear" w:color="auto" w:fill="auto"/>
            <w:vAlign w:val="center"/>
          </w:tcPr>
          <w:p>
            <w:pPr>
              <w:pStyle w:val="3238"/>
              <w:rPr>
                <w:b/>
              </w:rPr>
            </w:pPr>
            <w:r>
              <w:t>颗粒物</w:t>
            </w:r>
          </w:p>
        </w:tc>
        <w:tc>
          <w:tcPr>
            <w:tcW w:w="683" w:type="pct"/>
            <w:shd w:val="clear" w:color="auto" w:fill="auto"/>
            <w:vAlign w:val="center"/>
          </w:tcPr>
          <w:p>
            <w:pPr>
              <w:pStyle w:val="3238"/>
              <w:rPr>
                <w:b/>
              </w:rPr>
            </w:pPr>
            <w:r>
              <w:t>密闭、喷雾洒水</w:t>
            </w:r>
          </w:p>
        </w:tc>
        <w:tc>
          <w:tcPr>
            <w:tcW w:w="884" w:type="pct"/>
            <w:vMerge w:val="continue"/>
            <w:shd w:val="clear" w:color="auto" w:fill="auto"/>
            <w:vAlign w:val="center"/>
          </w:tcPr>
          <w:p>
            <w:pPr>
              <w:pStyle w:val="3238"/>
            </w:pPr>
          </w:p>
        </w:tc>
        <w:tc>
          <w:tcPr>
            <w:tcW w:w="768" w:type="pct"/>
            <w:shd w:val="clear" w:color="auto" w:fill="auto"/>
            <w:vAlign w:val="center"/>
          </w:tcPr>
          <w:p>
            <w:pPr>
              <w:pStyle w:val="3238"/>
              <w:rPr>
                <w:b/>
              </w:rPr>
            </w:pPr>
            <w:r>
              <w:t>1.0</w:t>
            </w:r>
          </w:p>
        </w:tc>
        <w:tc>
          <w:tcPr>
            <w:tcW w:w="543" w:type="pct"/>
            <w:shd w:val="clear" w:color="auto" w:fill="auto"/>
            <w:vAlign w:val="center"/>
          </w:tcPr>
          <w:p>
            <w:pPr>
              <w:pStyle w:val="3238"/>
              <w:rPr>
                <w:b/>
              </w:rPr>
            </w:pPr>
            <w:r>
              <w:t>0.382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1058" w:type="pct"/>
            <w:gridSpan w:val="2"/>
            <w:shd w:val="clear" w:color="auto" w:fill="auto"/>
            <w:vAlign w:val="center"/>
          </w:tcPr>
          <w:p>
            <w:pPr>
              <w:pStyle w:val="3238"/>
            </w:pPr>
            <w:r>
              <w:t>无组织排放总计</w:t>
            </w:r>
          </w:p>
        </w:tc>
        <w:tc>
          <w:tcPr>
            <w:tcW w:w="2631" w:type="pct"/>
            <w:gridSpan w:val="4"/>
            <w:shd w:val="clear" w:color="auto" w:fill="auto"/>
            <w:vAlign w:val="center"/>
          </w:tcPr>
          <w:p>
            <w:pPr>
              <w:pStyle w:val="3238"/>
            </w:pPr>
            <w:r>
              <w:t>颗粒物</w:t>
            </w:r>
          </w:p>
        </w:tc>
        <w:tc>
          <w:tcPr>
            <w:tcW w:w="1311" w:type="pct"/>
            <w:gridSpan w:val="2"/>
            <w:shd w:val="clear" w:color="auto" w:fill="auto"/>
            <w:vAlign w:val="center"/>
          </w:tcPr>
          <w:p>
            <w:pPr>
              <w:pStyle w:val="3238"/>
            </w:pPr>
            <w:r>
              <w:t>3.62</w:t>
            </w:r>
          </w:p>
        </w:tc>
      </w:tr>
    </w:tbl>
    <w:p>
      <w:pPr>
        <w:pStyle w:val="84"/>
      </w:pPr>
      <w:r>
        <w:t>表6.2-24  大气污染物年排放总量核算表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66" w:type="pct"/>
            <w:shd w:val="clear" w:color="auto" w:fill="D8D8D8" w:themeFill="background1" w:themeFillShade="D9"/>
          </w:tcPr>
          <w:p>
            <w:pPr>
              <w:pStyle w:val="3238"/>
            </w:pPr>
            <w:r>
              <w:t>序号</w:t>
            </w:r>
          </w:p>
        </w:tc>
        <w:tc>
          <w:tcPr>
            <w:tcW w:w="1667" w:type="pct"/>
            <w:shd w:val="clear" w:color="auto" w:fill="D8D8D8" w:themeFill="background1" w:themeFillShade="D9"/>
          </w:tcPr>
          <w:p>
            <w:pPr>
              <w:pStyle w:val="3238"/>
            </w:pPr>
            <w:r>
              <w:t>污染物</w:t>
            </w:r>
          </w:p>
        </w:tc>
        <w:tc>
          <w:tcPr>
            <w:tcW w:w="1667" w:type="pct"/>
            <w:shd w:val="clear" w:color="auto" w:fill="D8D8D8" w:themeFill="background1" w:themeFillShade="D9"/>
          </w:tcPr>
          <w:p>
            <w:pPr>
              <w:pStyle w:val="3238"/>
            </w:pPr>
            <w: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66" w:type="pct"/>
            <w:shd w:val="clear" w:color="auto" w:fill="auto"/>
          </w:tcPr>
          <w:p>
            <w:pPr>
              <w:pStyle w:val="3238"/>
            </w:pPr>
            <w:r>
              <w:t>1</w:t>
            </w:r>
          </w:p>
        </w:tc>
        <w:tc>
          <w:tcPr>
            <w:tcW w:w="1667" w:type="pct"/>
            <w:shd w:val="clear" w:color="auto" w:fill="auto"/>
          </w:tcPr>
          <w:p>
            <w:pPr>
              <w:pStyle w:val="3238"/>
              <w:rPr>
                <w:b/>
              </w:rPr>
            </w:pPr>
            <w:r>
              <w:t>颗粒物</w:t>
            </w:r>
          </w:p>
        </w:tc>
        <w:tc>
          <w:tcPr>
            <w:tcW w:w="1667" w:type="pct"/>
            <w:shd w:val="clear" w:color="auto" w:fill="auto"/>
          </w:tcPr>
          <w:p>
            <w:pPr>
              <w:pStyle w:val="3238"/>
              <w:rPr>
                <w:b/>
              </w:rPr>
            </w:pPr>
            <w:r>
              <w:t>4.565</w:t>
            </w:r>
          </w:p>
        </w:tc>
      </w:tr>
    </w:tbl>
    <w:p>
      <w:pPr>
        <w:pStyle w:val="5"/>
        <w:rPr>
          <w:color w:val="auto"/>
        </w:rPr>
      </w:pPr>
      <w:r>
        <w:rPr>
          <w:color w:val="auto"/>
        </w:rPr>
        <w:t>6.2.2地表水环境影响分析</w:t>
      </w:r>
    </w:p>
    <w:p>
      <w:pPr>
        <w:pStyle w:val="222"/>
      </w:pPr>
      <w:r>
        <w:t>（1）生产废水</w:t>
      </w:r>
    </w:p>
    <w:p>
      <w:pPr>
        <w:pStyle w:val="222"/>
      </w:pPr>
      <w:r>
        <w:t>项目生产废水主要为车辆冲洗废水，经沉淀池处理后循环使用，能够满足处理后的生产废水收集需求，可保证生产废水不外排，不会污染项目所在区域地表水，对区域地表水影响很小。</w:t>
      </w:r>
    </w:p>
    <w:p>
      <w:pPr>
        <w:pStyle w:val="222"/>
      </w:pPr>
      <w:r>
        <w:t>（2）生活污水</w:t>
      </w:r>
    </w:p>
    <w:p>
      <w:pPr>
        <w:pStyle w:val="222"/>
      </w:pPr>
      <w:r>
        <w:t>项目生活污水产生量约1.62m</w:t>
      </w:r>
      <w:r>
        <w:rPr>
          <w:vertAlign w:val="superscript"/>
        </w:rPr>
        <w:t>3</w:t>
      </w:r>
      <w:r>
        <w:t>/d，产生量少，生活污水利用化粪池（规模30m</w:t>
      </w:r>
      <w:r>
        <w:rPr>
          <w:vertAlign w:val="superscript"/>
        </w:rPr>
        <w:t>3</w:t>
      </w:r>
      <w:r>
        <w:t>/d）收集处理后用作农肥，不外排。根据现场调查，项目所在地周边为农村地区，四周有大量林地和旱地，植被生长期需要施肥，生活污水能够全部利用，因此本项目产生的生活污水不会对地表水体造成影响。对地表水环境影响很小。</w:t>
      </w:r>
    </w:p>
    <w:p>
      <w:pPr>
        <w:pStyle w:val="222"/>
      </w:pPr>
      <w:r>
        <w:t>（3）采区汇水</w:t>
      </w:r>
    </w:p>
    <w:p>
      <w:pPr>
        <w:pStyle w:val="222"/>
      </w:pPr>
      <w:r>
        <w:t>矿山开采导致开采面裸露，采区和排土场受雨水的淋滤、渗透而形成的含泥沙废水，流经采区工作面的初期雨水中会夹杂大量的SS。</w:t>
      </w:r>
    </w:p>
    <w:p>
      <w:pPr>
        <w:pStyle w:val="222"/>
      </w:pPr>
      <w:r>
        <w:t>采区地势西南高东北低，在采区东侧、南侧、西侧设置排水沟，东南侧沟尾端设置设1个容积100m</w:t>
      </w:r>
      <w:r>
        <w:rPr>
          <w:vertAlign w:val="superscript"/>
        </w:rPr>
        <w:t>3</w:t>
      </w:r>
      <w:r>
        <w:t>沉砂池，初期雨水经沉淀处理后排放。排土场位于采取中部，四周设置截排水沟，汇集雨水进入东南侧低洼处的沉砂池，经沉淀处理后排放。</w:t>
      </w:r>
    </w:p>
    <w:p>
      <w:pPr>
        <w:pStyle w:val="222"/>
      </w:pPr>
      <w:r>
        <w:t>沉砂池容积能够满足初期雨水收集需求，场地雨水主要为泥沙，经沉淀处理后泥沙量显著降低，排放后不会对区域地表水环境造成明显不利影响。采取以上措施后，本项目营运期无生产废水及生活污水外排，场地雨水经沉淀处理后泥沙量大大降低，对水环境影响很小。</w:t>
      </w:r>
    </w:p>
    <w:p>
      <w:pPr>
        <w:pStyle w:val="5"/>
        <w:rPr>
          <w:color w:val="auto"/>
        </w:rPr>
      </w:pPr>
      <w:r>
        <w:rPr>
          <w:color w:val="auto"/>
        </w:rPr>
        <w:t>6.2.3声环境影响预测与评价</w:t>
      </w:r>
    </w:p>
    <w:p>
      <w:pPr>
        <w:pStyle w:val="6"/>
        <w:numPr>
          <w:ilvl w:val="3"/>
          <w:numId w:val="0"/>
        </w:numPr>
      </w:pPr>
      <w:r>
        <w:t>6.2.3.1噪声源强</w:t>
      </w:r>
    </w:p>
    <w:p>
      <w:pPr>
        <w:pStyle w:val="222"/>
      </w:pPr>
      <w:r>
        <w:t>本项目开采期主要噪声源来自开采工作面与工业场地生产设备，其噪声源强在90~105dB（A）之间，开采区主要是室外声源，工业场地主要是室内声源。</w:t>
      </w:r>
    </w:p>
    <w:p>
      <w:pPr>
        <w:pStyle w:val="6"/>
        <w:numPr>
          <w:ilvl w:val="3"/>
          <w:numId w:val="0"/>
        </w:numPr>
      </w:pPr>
      <w:r>
        <w:t>6.2.3.2预测模式</w:t>
      </w:r>
    </w:p>
    <w:p>
      <w:pPr>
        <w:spacing w:line="360" w:lineRule="auto"/>
        <w:ind w:firstLine="480"/>
        <w:rPr>
          <w:sz w:val="24"/>
          <w:szCs w:val="24"/>
        </w:rPr>
      </w:pPr>
      <w:r>
        <w:rPr>
          <w:sz w:val="24"/>
          <w:szCs w:val="24"/>
        </w:rPr>
        <w:t>拟建项目噪声预测模式采用《环境影响评价技术导则声环境》（HJ2.4-2021）中规定的点源衰减模式。</w:t>
      </w:r>
    </w:p>
    <w:p>
      <w:pPr>
        <w:spacing w:line="360" w:lineRule="auto"/>
        <w:ind w:firstLine="480"/>
        <w:jc w:val="both"/>
        <w:rPr>
          <w:sz w:val="24"/>
          <w:szCs w:val="24"/>
        </w:rPr>
      </w:pPr>
      <w:r>
        <w:rPr>
          <w:sz w:val="24"/>
          <w:szCs w:val="24"/>
        </w:rPr>
        <w:t>1）室外声源计算</w:t>
      </w:r>
    </w:p>
    <w:p>
      <w:pPr>
        <w:spacing w:line="360" w:lineRule="auto"/>
        <w:ind w:firstLine="240" w:firstLineChars="100"/>
        <w:jc w:val="both"/>
        <w:rPr>
          <w:sz w:val="24"/>
          <w:szCs w:val="24"/>
        </w:rPr>
      </w:pPr>
      <w:r>
        <w:rPr>
          <w:sz w:val="24"/>
          <w:szCs w:val="24"/>
        </w:rPr>
        <w:t>户外声传播衰减包括几何发散（Adiv）、大气吸收（Aatm）、地面效应（Agr）、屏障屏蔽（Abar）、其他多方面效应（Amisc）引起的衰减。</w:t>
      </w:r>
    </w:p>
    <w:p>
      <w:pPr>
        <w:spacing w:line="360" w:lineRule="auto"/>
        <w:ind w:firstLine="240" w:firstLineChars="100"/>
        <w:jc w:val="both"/>
        <w:rPr>
          <w:sz w:val="24"/>
          <w:szCs w:val="24"/>
        </w:rPr>
      </w:pPr>
      <w:r>
        <w:rPr>
          <w:sz w:val="24"/>
          <w:szCs w:val="24"/>
        </w:rPr>
        <w:t>室外点声源声传播衰减计算公式为：</w:t>
      </w:r>
    </w:p>
    <w:p>
      <w:pPr>
        <w:spacing w:line="360" w:lineRule="auto"/>
        <w:ind w:firstLine="480"/>
        <w:jc w:val="center"/>
        <w:rPr>
          <w:sz w:val="24"/>
          <w:szCs w:val="24"/>
        </w:rPr>
      </w:pPr>
      <w:r>
        <w:rPr>
          <w:sz w:val="24"/>
          <w:szCs w:val="24"/>
        </w:rPr>
        <w:t>L</w:t>
      </w:r>
      <w:r>
        <w:rPr>
          <w:sz w:val="24"/>
          <w:szCs w:val="24"/>
          <w:vertAlign w:val="subscript"/>
        </w:rPr>
        <w:t>p</w:t>
      </w:r>
      <w:r>
        <w:rPr>
          <w:sz w:val="24"/>
          <w:szCs w:val="24"/>
        </w:rPr>
        <w:t>（r）＝L</w:t>
      </w:r>
      <w:r>
        <w:rPr>
          <w:sz w:val="24"/>
          <w:szCs w:val="24"/>
          <w:vertAlign w:val="subscript"/>
        </w:rPr>
        <w:t>p</w:t>
      </w:r>
      <w:r>
        <w:rPr>
          <w:sz w:val="24"/>
          <w:szCs w:val="24"/>
        </w:rPr>
        <w:t>（r</w:t>
      </w:r>
      <w:r>
        <w:rPr>
          <w:sz w:val="24"/>
          <w:szCs w:val="24"/>
          <w:vertAlign w:val="subscript"/>
        </w:rPr>
        <w:t>0</w:t>
      </w:r>
      <w:r>
        <w:rPr>
          <w:sz w:val="24"/>
          <w:szCs w:val="24"/>
        </w:rPr>
        <w:t>）+D</w:t>
      </w:r>
      <w:r>
        <w:rPr>
          <w:sz w:val="24"/>
          <w:szCs w:val="24"/>
          <w:vertAlign w:val="subscript"/>
        </w:rPr>
        <w:t>C</w:t>
      </w:r>
      <w:r>
        <w:rPr>
          <w:sz w:val="24"/>
          <w:szCs w:val="24"/>
        </w:rPr>
        <w:t>－（A</w:t>
      </w:r>
      <w:r>
        <w:rPr>
          <w:sz w:val="24"/>
          <w:szCs w:val="24"/>
          <w:vertAlign w:val="subscript"/>
        </w:rPr>
        <w:t>div</w:t>
      </w:r>
      <w:r>
        <w:rPr>
          <w:sz w:val="24"/>
          <w:szCs w:val="24"/>
        </w:rPr>
        <w:t>＋A</w:t>
      </w:r>
      <w:r>
        <w:rPr>
          <w:sz w:val="24"/>
          <w:szCs w:val="24"/>
          <w:vertAlign w:val="subscript"/>
        </w:rPr>
        <w:t>atm</w:t>
      </w:r>
      <w:r>
        <w:rPr>
          <w:sz w:val="24"/>
          <w:szCs w:val="24"/>
        </w:rPr>
        <w:t>＋A</w:t>
      </w:r>
      <w:r>
        <w:rPr>
          <w:sz w:val="24"/>
          <w:szCs w:val="24"/>
          <w:vertAlign w:val="subscript"/>
        </w:rPr>
        <w:t>gr</w:t>
      </w:r>
      <w:r>
        <w:rPr>
          <w:sz w:val="24"/>
          <w:szCs w:val="24"/>
        </w:rPr>
        <w:t>＋A</w:t>
      </w:r>
      <w:r>
        <w:rPr>
          <w:sz w:val="24"/>
          <w:szCs w:val="24"/>
          <w:vertAlign w:val="subscript"/>
        </w:rPr>
        <w:t>bar</w:t>
      </w:r>
      <w:r>
        <w:rPr>
          <w:sz w:val="24"/>
          <w:szCs w:val="24"/>
        </w:rPr>
        <w:t>＋A</w:t>
      </w:r>
      <w:r>
        <w:rPr>
          <w:sz w:val="24"/>
          <w:szCs w:val="24"/>
          <w:vertAlign w:val="subscript"/>
        </w:rPr>
        <w:t>misc</w:t>
      </w:r>
      <w:r>
        <w:rPr>
          <w:sz w:val="24"/>
          <w:szCs w:val="24"/>
        </w:rPr>
        <w:t>）</w:t>
      </w:r>
    </w:p>
    <w:p>
      <w:pPr>
        <w:spacing w:line="360" w:lineRule="auto"/>
        <w:ind w:firstLine="480"/>
        <w:rPr>
          <w:sz w:val="24"/>
          <w:szCs w:val="24"/>
        </w:rPr>
      </w:pPr>
      <w:r>
        <w:rPr>
          <w:sz w:val="24"/>
          <w:szCs w:val="24"/>
        </w:rPr>
        <w:t>式中：L</w:t>
      </w:r>
      <w:r>
        <w:rPr>
          <w:sz w:val="24"/>
          <w:szCs w:val="24"/>
          <w:vertAlign w:val="subscript"/>
        </w:rPr>
        <w:t>p</w:t>
      </w:r>
      <w:r>
        <w:rPr>
          <w:sz w:val="24"/>
          <w:szCs w:val="24"/>
        </w:rPr>
        <w:t>（r）——预测点处声压级，dB；</w:t>
      </w:r>
    </w:p>
    <w:p>
      <w:pPr>
        <w:spacing w:line="360" w:lineRule="auto"/>
        <w:ind w:firstLine="720" w:firstLineChars="300"/>
        <w:jc w:val="both"/>
        <w:rPr>
          <w:sz w:val="24"/>
          <w:szCs w:val="24"/>
        </w:rPr>
      </w:pPr>
      <w:r>
        <w:rPr>
          <w:sz w:val="24"/>
          <w:szCs w:val="24"/>
        </w:rPr>
        <w:t>L</w:t>
      </w:r>
      <w:r>
        <w:rPr>
          <w:sz w:val="24"/>
          <w:szCs w:val="24"/>
          <w:vertAlign w:val="subscript"/>
        </w:rPr>
        <w:t>p</w:t>
      </w:r>
      <w:r>
        <w:rPr>
          <w:sz w:val="24"/>
          <w:szCs w:val="24"/>
        </w:rPr>
        <w:t>（r</w:t>
      </w:r>
      <w:r>
        <w:rPr>
          <w:sz w:val="24"/>
          <w:szCs w:val="24"/>
          <w:vertAlign w:val="subscript"/>
        </w:rPr>
        <w:t>0</w:t>
      </w:r>
      <w:r>
        <w:rPr>
          <w:sz w:val="24"/>
          <w:szCs w:val="24"/>
        </w:rPr>
        <w:t>）——参考位置r</w:t>
      </w:r>
      <w:r>
        <w:rPr>
          <w:sz w:val="24"/>
          <w:szCs w:val="24"/>
          <w:vertAlign w:val="subscript"/>
        </w:rPr>
        <w:t>0</w:t>
      </w:r>
      <w:r>
        <w:rPr>
          <w:sz w:val="24"/>
          <w:szCs w:val="24"/>
        </w:rPr>
        <w:t>处的声压级，dB；</w:t>
      </w:r>
    </w:p>
    <w:p>
      <w:pPr>
        <w:spacing w:line="360" w:lineRule="auto"/>
        <w:ind w:firstLine="720" w:firstLineChars="300"/>
        <w:jc w:val="both"/>
        <w:rPr>
          <w:sz w:val="24"/>
          <w:szCs w:val="24"/>
        </w:rPr>
      </w:pPr>
      <w:r>
        <w:rPr>
          <w:sz w:val="24"/>
          <w:szCs w:val="24"/>
        </w:rPr>
        <w:t>D</w:t>
      </w:r>
      <w:r>
        <w:rPr>
          <w:sz w:val="24"/>
          <w:szCs w:val="24"/>
          <w:vertAlign w:val="subscript"/>
        </w:rPr>
        <w:t>C</w:t>
      </w:r>
      <w:r>
        <w:rPr>
          <w:sz w:val="24"/>
          <w:szCs w:val="24"/>
        </w:rPr>
        <w:t>——指向性校正，它描述点声源的等效连续声压级与产生声功率级Lw的全向点声源在规定方向的声级的偏差程度，dB；</w:t>
      </w:r>
    </w:p>
    <w:p>
      <w:pPr>
        <w:spacing w:line="360" w:lineRule="auto"/>
        <w:ind w:firstLine="600" w:firstLineChars="250"/>
        <w:rPr>
          <w:sz w:val="24"/>
          <w:szCs w:val="24"/>
        </w:rPr>
      </w:pPr>
      <w:r>
        <w:rPr>
          <w:sz w:val="24"/>
          <w:szCs w:val="24"/>
        </w:rPr>
        <w:t>A</w:t>
      </w:r>
      <w:r>
        <w:rPr>
          <w:sz w:val="24"/>
          <w:szCs w:val="24"/>
          <w:vertAlign w:val="subscript"/>
        </w:rPr>
        <w:t>div</w:t>
      </w:r>
      <w:r>
        <w:rPr>
          <w:sz w:val="24"/>
          <w:szCs w:val="24"/>
        </w:rPr>
        <w:t>——几何发散引起的衰减，dB；</w:t>
      </w:r>
    </w:p>
    <w:p>
      <w:pPr>
        <w:spacing w:line="360" w:lineRule="auto"/>
        <w:ind w:firstLine="600" w:firstLineChars="250"/>
        <w:rPr>
          <w:sz w:val="24"/>
          <w:szCs w:val="24"/>
        </w:rPr>
      </w:pPr>
      <w:r>
        <w:rPr>
          <w:sz w:val="24"/>
          <w:szCs w:val="24"/>
        </w:rPr>
        <w:t>A</w:t>
      </w:r>
      <w:r>
        <w:rPr>
          <w:sz w:val="24"/>
          <w:szCs w:val="24"/>
          <w:vertAlign w:val="subscript"/>
        </w:rPr>
        <w:t>atm</w:t>
      </w:r>
      <w:r>
        <w:rPr>
          <w:sz w:val="24"/>
          <w:szCs w:val="24"/>
        </w:rPr>
        <w:t>——大气吸收引起的衰减，dB；</w:t>
      </w:r>
    </w:p>
    <w:p>
      <w:pPr>
        <w:spacing w:line="360" w:lineRule="auto"/>
        <w:ind w:firstLine="600" w:firstLineChars="250"/>
        <w:rPr>
          <w:sz w:val="24"/>
          <w:szCs w:val="24"/>
        </w:rPr>
      </w:pPr>
      <w:r>
        <w:rPr>
          <w:sz w:val="24"/>
          <w:szCs w:val="24"/>
        </w:rPr>
        <w:t>A</w:t>
      </w:r>
      <w:r>
        <w:rPr>
          <w:sz w:val="24"/>
          <w:szCs w:val="24"/>
          <w:vertAlign w:val="subscript"/>
        </w:rPr>
        <w:t>gr</w:t>
      </w:r>
      <w:r>
        <w:rPr>
          <w:sz w:val="24"/>
          <w:szCs w:val="24"/>
        </w:rPr>
        <w:t>——地面效应引起的衰减，dB；</w:t>
      </w:r>
    </w:p>
    <w:p>
      <w:pPr>
        <w:spacing w:line="360" w:lineRule="auto"/>
        <w:ind w:firstLine="600" w:firstLineChars="250"/>
        <w:rPr>
          <w:sz w:val="24"/>
          <w:szCs w:val="24"/>
        </w:rPr>
      </w:pPr>
      <w:r>
        <w:rPr>
          <w:sz w:val="24"/>
          <w:szCs w:val="24"/>
        </w:rPr>
        <w:t>A</w:t>
      </w:r>
      <w:r>
        <w:rPr>
          <w:sz w:val="24"/>
          <w:szCs w:val="24"/>
          <w:vertAlign w:val="subscript"/>
        </w:rPr>
        <w:t>bar</w:t>
      </w:r>
      <w:r>
        <w:rPr>
          <w:sz w:val="24"/>
          <w:szCs w:val="24"/>
        </w:rPr>
        <w:t>——障碍物屏蔽引起的衰减，dB；</w:t>
      </w:r>
    </w:p>
    <w:p>
      <w:pPr>
        <w:spacing w:line="360" w:lineRule="auto"/>
        <w:ind w:firstLine="600" w:firstLineChars="250"/>
        <w:rPr>
          <w:sz w:val="24"/>
          <w:szCs w:val="24"/>
        </w:rPr>
      </w:pPr>
      <w:r>
        <w:rPr>
          <w:sz w:val="24"/>
          <w:szCs w:val="24"/>
        </w:rPr>
        <w:t>A</w:t>
      </w:r>
      <w:r>
        <w:rPr>
          <w:sz w:val="24"/>
          <w:szCs w:val="24"/>
          <w:vertAlign w:val="subscript"/>
        </w:rPr>
        <w:t>misc</w:t>
      </w:r>
      <w:r>
        <w:rPr>
          <w:sz w:val="24"/>
          <w:szCs w:val="24"/>
        </w:rPr>
        <w:t>——其他多方面效应引起的衰减，dB。</w:t>
      </w:r>
    </w:p>
    <w:p>
      <w:pPr>
        <w:spacing w:line="360" w:lineRule="auto"/>
        <w:ind w:firstLine="480"/>
        <w:jc w:val="both"/>
        <w:rPr>
          <w:sz w:val="24"/>
          <w:szCs w:val="24"/>
        </w:rPr>
      </w:pPr>
      <w:r>
        <w:rPr>
          <w:sz w:val="24"/>
          <w:szCs w:val="24"/>
        </w:rPr>
        <w:t>预测点的A声级L</w:t>
      </w:r>
      <w:r>
        <w:rPr>
          <w:sz w:val="24"/>
          <w:szCs w:val="24"/>
          <w:vertAlign w:val="subscript"/>
        </w:rPr>
        <w:t>A</w:t>
      </w:r>
      <w:r>
        <w:rPr>
          <w:sz w:val="24"/>
          <w:szCs w:val="24"/>
        </w:rPr>
        <w:t>（r）可按下式计算，即将8个倍频带声压级合成，计算出预测点的A声级[L</w:t>
      </w:r>
      <w:r>
        <w:rPr>
          <w:sz w:val="24"/>
          <w:szCs w:val="24"/>
          <w:vertAlign w:val="subscript"/>
        </w:rPr>
        <w:t>A</w:t>
      </w:r>
      <w:r>
        <w:rPr>
          <w:sz w:val="24"/>
          <w:szCs w:val="24"/>
        </w:rPr>
        <w:t>（r）]。</w:t>
      </w:r>
    </w:p>
    <w:p>
      <w:pPr>
        <w:spacing w:line="360" w:lineRule="auto"/>
        <w:ind w:firstLine="240" w:firstLineChars="100"/>
        <w:jc w:val="center"/>
        <w:rPr>
          <w:sz w:val="24"/>
          <w:szCs w:val="24"/>
        </w:rPr>
      </w:pPr>
      <w:r>
        <w:rPr>
          <w:position w:val="-30"/>
          <w:sz w:val="24"/>
          <w:szCs w:val="24"/>
        </w:rPr>
        <w:object>
          <v:shape id="_x0000_i1030" o:spt="75" type="#_x0000_t75" style="height:35.45pt;width:147.2pt;" o:ole="t" filled="f" o:preferrelative="t" stroked="f" coordsize="21600,21600">
            <v:path/>
            <v:fill on="f" focussize="0,0"/>
            <v:stroke on="f" joinstyle="miter"/>
            <v:imagedata r:id="rId95" o:title=""/>
            <o:lock v:ext="edit" aspectratio="t"/>
            <w10:wrap type="none"/>
            <w10:anchorlock/>
          </v:shape>
          <o:OLEObject Type="Embed" ProgID="Equation.3" ShapeID="_x0000_i1030" DrawAspect="Content" ObjectID="_1468075730" r:id="rId94">
            <o:LockedField>false</o:LockedField>
          </o:OLEObject>
        </w:object>
      </w:r>
    </w:p>
    <w:p>
      <w:pPr>
        <w:spacing w:line="360" w:lineRule="auto"/>
        <w:ind w:firstLine="480"/>
        <w:rPr>
          <w:sz w:val="24"/>
          <w:szCs w:val="24"/>
          <w:lang w:bidi="ar"/>
        </w:rPr>
      </w:pPr>
      <w:r>
        <w:rPr>
          <w:sz w:val="24"/>
          <w:szCs w:val="24"/>
          <w:lang w:bidi="ar"/>
        </w:rPr>
        <w:t>式中：L</w:t>
      </w:r>
      <w:r>
        <w:rPr>
          <w:sz w:val="24"/>
          <w:szCs w:val="24"/>
          <w:vertAlign w:val="subscript"/>
          <w:lang w:bidi="ar"/>
        </w:rPr>
        <w:t>pi</w:t>
      </w:r>
      <w:r>
        <w:rPr>
          <w:sz w:val="24"/>
          <w:szCs w:val="24"/>
          <w:lang w:bidi="ar"/>
        </w:rPr>
        <w:t>（r）——预测点（r）处，第i倍频带声压级，dB；</w:t>
      </w:r>
    </w:p>
    <w:p>
      <w:pPr>
        <w:spacing w:line="360" w:lineRule="auto"/>
        <w:ind w:firstLine="1080" w:firstLineChars="450"/>
        <w:rPr>
          <w:sz w:val="24"/>
          <w:szCs w:val="24"/>
          <w:lang w:bidi="ar"/>
        </w:rPr>
      </w:pPr>
      <w:r>
        <w:rPr>
          <w:sz w:val="24"/>
          <w:szCs w:val="24"/>
          <w:lang w:bidi="ar"/>
        </w:rPr>
        <w:t>ΔL</w:t>
      </w:r>
      <w:r>
        <w:rPr>
          <w:sz w:val="24"/>
          <w:szCs w:val="24"/>
          <w:vertAlign w:val="subscript"/>
          <w:lang w:bidi="ar"/>
        </w:rPr>
        <w:t>i</w:t>
      </w:r>
      <w:r>
        <w:rPr>
          <w:sz w:val="24"/>
          <w:szCs w:val="24"/>
          <w:lang w:bidi="ar"/>
        </w:rPr>
        <w:t>——第i倍频带的A计权网络修正值，dB。</w:t>
      </w:r>
    </w:p>
    <w:p>
      <w:pPr>
        <w:spacing w:line="360" w:lineRule="auto"/>
        <w:ind w:firstLine="480"/>
        <w:jc w:val="both"/>
        <w:rPr>
          <w:sz w:val="24"/>
          <w:szCs w:val="24"/>
          <w:lang w:bidi="ar"/>
        </w:rPr>
      </w:pPr>
      <w:r>
        <w:rPr>
          <w:sz w:val="24"/>
          <w:szCs w:val="24"/>
          <w:lang w:bidi="ar"/>
        </w:rPr>
        <w:t>本评价计算时不考虑地面效应引起的附加隔声量和空气吸收造成的衰减，只考虑几何发散衰减按下式计算：</w:t>
      </w:r>
    </w:p>
    <w:p>
      <w:pPr>
        <w:spacing w:line="360" w:lineRule="auto"/>
        <w:ind w:firstLine="240" w:firstLineChars="100"/>
        <w:jc w:val="center"/>
        <w:rPr>
          <w:sz w:val="24"/>
          <w:szCs w:val="24"/>
          <w:vertAlign w:val="subscript"/>
          <w:lang w:bidi="ar"/>
        </w:rPr>
      </w:pPr>
      <w:r>
        <w:rPr>
          <w:sz w:val="24"/>
          <w:szCs w:val="24"/>
          <w:lang w:bidi="ar"/>
        </w:rPr>
        <w:t>L</w:t>
      </w:r>
      <w:r>
        <w:rPr>
          <w:sz w:val="24"/>
          <w:szCs w:val="24"/>
          <w:vertAlign w:val="subscript"/>
          <w:lang w:bidi="ar"/>
        </w:rPr>
        <w:t>A</w:t>
      </w:r>
      <w:r>
        <w:rPr>
          <w:sz w:val="24"/>
          <w:szCs w:val="24"/>
          <w:lang w:bidi="ar"/>
        </w:rPr>
        <w:t>（r）=L</w:t>
      </w:r>
      <w:r>
        <w:rPr>
          <w:sz w:val="24"/>
          <w:szCs w:val="24"/>
          <w:vertAlign w:val="subscript"/>
          <w:lang w:bidi="ar"/>
        </w:rPr>
        <w:t>A</w:t>
      </w:r>
      <w:r>
        <w:rPr>
          <w:sz w:val="24"/>
          <w:szCs w:val="24"/>
          <w:lang w:bidi="ar"/>
        </w:rPr>
        <w:t>（r</w:t>
      </w:r>
      <w:r>
        <w:rPr>
          <w:sz w:val="24"/>
          <w:szCs w:val="24"/>
          <w:vertAlign w:val="subscript"/>
          <w:lang w:bidi="ar"/>
        </w:rPr>
        <w:t>0</w:t>
      </w:r>
      <w:r>
        <w:rPr>
          <w:sz w:val="24"/>
          <w:szCs w:val="24"/>
          <w:lang w:bidi="ar"/>
        </w:rPr>
        <w:t>）-A</w:t>
      </w:r>
      <w:r>
        <w:rPr>
          <w:sz w:val="24"/>
          <w:szCs w:val="24"/>
          <w:vertAlign w:val="subscript"/>
          <w:lang w:bidi="ar"/>
        </w:rPr>
        <w:t>div</w:t>
      </w:r>
    </w:p>
    <w:p>
      <w:pPr>
        <w:ind w:firstLine="480"/>
        <w:jc w:val="center"/>
        <w:rPr>
          <w:sz w:val="24"/>
          <w:szCs w:val="24"/>
          <w:lang w:bidi="ar"/>
        </w:rPr>
      </w:pPr>
      <w:r>
        <w:rPr>
          <w:sz w:val="24"/>
          <w:szCs w:val="24"/>
          <w:lang w:bidi="ar"/>
        </w:rPr>
        <w:t>A</w:t>
      </w:r>
      <w:r>
        <w:rPr>
          <w:sz w:val="24"/>
          <w:szCs w:val="24"/>
          <w:vertAlign w:val="subscript"/>
          <w:lang w:bidi="ar"/>
        </w:rPr>
        <w:t>div</w:t>
      </w:r>
      <w:r>
        <w:rPr>
          <w:sz w:val="24"/>
          <w:szCs w:val="24"/>
          <w:lang w:bidi="ar"/>
        </w:rPr>
        <w:t>=20lg（r/r</w:t>
      </w:r>
      <w:r>
        <w:rPr>
          <w:sz w:val="24"/>
          <w:szCs w:val="24"/>
          <w:vertAlign w:val="subscript"/>
          <w:lang w:bidi="ar"/>
        </w:rPr>
        <w:t>0</w:t>
      </w:r>
      <w:r>
        <w:rPr>
          <w:sz w:val="24"/>
          <w:szCs w:val="24"/>
          <w:lang w:bidi="ar"/>
        </w:rPr>
        <w:t>）</w:t>
      </w:r>
    </w:p>
    <w:p>
      <w:pPr>
        <w:spacing w:line="360" w:lineRule="auto"/>
        <w:ind w:firstLine="480"/>
        <w:rPr>
          <w:sz w:val="24"/>
          <w:szCs w:val="24"/>
          <w:lang w:bidi="ar"/>
        </w:rPr>
      </w:pPr>
      <w:r>
        <w:rPr>
          <w:sz w:val="24"/>
          <w:szCs w:val="24"/>
          <w:lang w:bidi="ar"/>
        </w:rPr>
        <w:t>式中：L</w:t>
      </w:r>
      <w:r>
        <w:rPr>
          <w:sz w:val="24"/>
          <w:szCs w:val="24"/>
          <w:vertAlign w:val="subscript"/>
          <w:lang w:bidi="ar"/>
        </w:rPr>
        <w:t>A</w:t>
      </w:r>
      <w:r>
        <w:rPr>
          <w:sz w:val="24"/>
          <w:szCs w:val="24"/>
          <w:lang w:bidi="ar"/>
        </w:rPr>
        <w:t>（r）——距声源r处的A压级，dB（A）；</w:t>
      </w:r>
    </w:p>
    <w:p>
      <w:pPr>
        <w:spacing w:line="360" w:lineRule="auto"/>
        <w:ind w:firstLine="480"/>
        <w:jc w:val="both"/>
        <w:rPr>
          <w:sz w:val="24"/>
          <w:szCs w:val="24"/>
          <w:lang w:bidi="ar"/>
        </w:rPr>
      </w:pPr>
      <w:r>
        <w:rPr>
          <w:sz w:val="24"/>
          <w:szCs w:val="24"/>
          <w:lang w:bidi="ar"/>
        </w:rPr>
        <w:t>L</w:t>
      </w:r>
      <w:r>
        <w:rPr>
          <w:sz w:val="24"/>
          <w:szCs w:val="24"/>
          <w:vertAlign w:val="subscript"/>
          <w:lang w:bidi="ar"/>
        </w:rPr>
        <w:t>A</w:t>
      </w:r>
      <w:r>
        <w:rPr>
          <w:sz w:val="24"/>
          <w:szCs w:val="24"/>
          <w:lang w:bidi="ar"/>
        </w:rPr>
        <w:t>（r</w:t>
      </w:r>
      <w:r>
        <w:rPr>
          <w:sz w:val="24"/>
          <w:szCs w:val="24"/>
          <w:vertAlign w:val="subscript"/>
          <w:lang w:bidi="ar"/>
        </w:rPr>
        <w:t>0</w:t>
      </w:r>
      <w:r>
        <w:rPr>
          <w:sz w:val="24"/>
          <w:szCs w:val="24"/>
          <w:lang w:bidi="ar"/>
        </w:rPr>
        <w:t>）——参考位置r0处的A压级，dB（A）；</w:t>
      </w:r>
    </w:p>
    <w:p>
      <w:pPr>
        <w:spacing w:line="360" w:lineRule="auto"/>
        <w:ind w:firstLine="480"/>
        <w:jc w:val="both"/>
        <w:rPr>
          <w:sz w:val="24"/>
          <w:szCs w:val="24"/>
          <w:lang w:bidi="ar"/>
        </w:rPr>
      </w:pPr>
      <w:r>
        <w:rPr>
          <w:sz w:val="24"/>
          <w:szCs w:val="24"/>
          <w:lang w:bidi="ar"/>
        </w:rPr>
        <w:t>A</w:t>
      </w:r>
      <w:r>
        <w:rPr>
          <w:sz w:val="24"/>
          <w:szCs w:val="24"/>
          <w:vertAlign w:val="subscript"/>
          <w:lang w:bidi="ar"/>
        </w:rPr>
        <w:t>div</w:t>
      </w:r>
      <w:r>
        <w:rPr>
          <w:sz w:val="24"/>
          <w:szCs w:val="24"/>
          <w:lang w:bidi="ar"/>
        </w:rPr>
        <w:t>——几何发散引起的衰减，dB；</w:t>
      </w:r>
    </w:p>
    <w:p>
      <w:pPr>
        <w:spacing w:line="360" w:lineRule="auto"/>
        <w:ind w:firstLine="480"/>
        <w:jc w:val="both"/>
        <w:rPr>
          <w:sz w:val="24"/>
          <w:szCs w:val="24"/>
          <w:lang w:bidi="ar"/>
        </w:rPr>
      </w:pPr>
      <w:r>
        <w:rPr>
          <w:sz w:val="24"/>
          <w:szCs w:val="24"/>
          <w:lang w:bidi="ar"/>
        </w:rPr>
        <w:t>r</w:t>
      </w:r>
      <w:r>
        <w:rPr>
          <w:sz w:val="24"/>
          <w:szCs w:val="24"/>
          <w:vertAlign w:val="subscript"/>
          <w:lang w:bidi="ar"/>
        </w:rPr>
        <w:t>0</w:t>
      </w:r>
      <w:r>
        <w:rPr>
          <w:sz w:val="24"/>
          <w:szCs w:val="24"/>
          <w:lang w:bidi="ar"/>
        </w:rPr>
        <w:t>——参考位置距声源的距离，m；</w:t>
      </w:r>
    </w:p>
    <w:p>
      <w:pPr>
        <w:spacing w:line="360" w:lineRule="auto"/>
        <w:ind w:firstLine="480"/>
        <w:jc w:val="both"/>
        <w:rPr>
          <w:sz w:val="24"/>
          <w:szCs w:val="24"/>
          <w:lang w:bidi="ar"/>
        </w:rPr>
      </w:pPr>
      <w:r>
        <w:rPr>
          <w:sz w:val="24"/>
          <w:szCs w:val="24"/>
          <w:lang w:bidi="ar"/>
        </w:rPr>
        <w:t>r——预测点距声源的距离，m。</w:t>
      </w:r>
    </w:p>
    <w:p>
      <w:pPr>
        <w:spacing w:line="360" w:lineRule="auto"/>
        <w:ind w:firstLine="480"/>
        <w:rPr>
          <w:sz w:val="24"/>
          <w:szCs w:val="24"/>
          <w:lang w:bidi="ar"/>
        </w:rPr>
      </w:pPr>
      <w:r>
        <w:rPr>
          <w:sz w:val="24"/>
          <w:szCs w:val="24"/>
          <w:lang w:bidi="ar"/>
        </w:rPr>
        <w:t>2）室内声源等效室外声源声功率级计算</w:t>
      </w:r>
    </w:p>
    <w:p>
      <w:pPr>
        <w:spacing w:line="360" w:lineRule="auto"/>
        <w:ind w:firstLine="480"/>
        <w:jc w:val="both"/>
        <w:rPr>
          <w:sz w:val="24"/>
          <w:szCs w:val="24"/>
          <w:lang w:bidi="ar"/>
        </w:rPr>
      </w:pPr>
      <w:r>
        <w:rPr>
          <w:sz w:val="24"/>
          <w:szCs w:val="24"/>
          <w:lang w:bidi="ar"/>
        </w:rPr>
        <w:t>室内声源可采用等效室外声源声功率级法进行计算。设靠近开口处（或窗户）室内、室外某倍频带的声压级或A声级分别为Lp1和Lp2。若声源所在室内声场为近似扩散声场，则室外的倍频带声压级可按下式近似求出：</w:t>
      </w:r>
    </w:p>
    <w:p>
      <w:pPr>
        <w:spacing w:line="360" w:lineRule="auto"/>
        <w:ind w:firstLine="480"/>
        <w:jc w:val="center"/>
        <w:rPr>
          <w:sz w:val="24"/>
          <w:szCs w:val="24"/>
        </w:rPr>
      </w:pPr>
      <w:r>
        <w:rPr>
          <w:sz w:val="24"/>
          <w:szCs w:val="24"/>
        </w:rPr>
        <w:object>
          <v:shape id="_x0000_i1031" o:spt="75" type="#_x0000_t75" style="height:22.55pt;width:137.55pt;" o:ole="t" filled="f" o:preferrelative="t" stroked="f" coordsize="21600,21600">
            <v:path/>
            <v:fill on="f" focussize="0,0"/>
            <v:stroke on="f" joinstyle="miter"/>
            <v:imagedata r:id="rId97" o:title=""/>
            <o:lock v:ext="edit" aspectratio="t"/>
            <w10:wrap type="none"/>
            <w10:anchorlock/>
          </v:shape>
          <o:OLEObject Type="Embed" ProgID="Equation.3" ShapeID="_x0000_i1031" DrawAspect="Content" ObjectID="_1468075731" r:id="rId96">
            <o:LockedField>false</o:LockedField>
          </o:OLEObject>
        </w:object>
      </w:r>
    </w:p>
    <w:p>
      <w:pPr>
        <w:spacing w:line="360" w:lineRule="auto"/>
        <w:ind w:firstLine="480"/>
        <w:rPr>
          <w:bCs/>
          <w:sz w:val="24"/>
          <w:szCs w:val="24"/>
        </w:rPr>
      </w:pPr>
      <w:r>
        <w:rPr>
          <w:bCs/>
          <w:sz w:val="24"/>
          <w:szCs w:val="24"/>
        </w:rPr>
        <w:t>式中：L</w:t>
      </w:r>
      <w:r>
        <w:rPr>
          <w:bCs/>
          <w:sz w:val="24"/>
          <w:szCs w:val="24"/>
          <w:vertAlign w:val="subscript"/>
        </w:rPr>
        <w:t>p2i</w:t>
      </w:r>
      <w:r>
        <w:rPr>
          <w:bCs/>
          <w:sz w:val="24"/>
          <w:szCs w:val="24"/>
        </w:rPr>
        <w:t>（T）——靠近围护结构处室外N个声源i倍频带的叠加声压级，</w:t>
      </w:r>
      <w:r>
        <w:rPr>
          <w:sz w:val="24"/>
          <w:szCs w:val="24"/>
        </w:rPr>
        <w:t>dB；</w:t>
      </w:r>
    </w:p>
    <w:p>
      <w:pPr>
        <w:spacing w:line="360" w:lineRule="auto"/>
        <w:ind w:firstLine="1200" w:firstLineChars="500"/>
        <w:rPr>
          <w:sz w:val="24"/>
          <w:szCs w:val="24"/>
        </w:rPr>
      </w:pPr>
      <w:r>
        <w:rPr>
          <w:bCs/>
          <w:sz w:val="24"/>
          <w:szCs w:val="24"/>
        </w:rPr>
        <w:t>L</w:t>
      </w:r>
      <w:r>
        <w:rPr>
          <w:bCs/>
          <w:sz w:val="24"/>
          <w:szCs w:val="24"/>
          <w:vertAlign w:val="subscript"/>
        </w:rPr>
        <w:t>p1i</w:t>
      </w:r>
      <w:r>
        <w:rPr>
          <w:bCs/>
          <w:sz w:val="24"/>
          <w:szCs w:val="24"/>
        </w:rPr>
        <w:t>（T）——靠近围护结构处室内N个声源i倍频带的叠加声压级，</w:t>
      </w:r>
      <w:r>
        <w:rPr>
          <w:sz w:val="24"/>
          <w:szCs w:val="24"/>
        </w:rPr>
        <w:t>dB；</w:t>
      </w:r>
    </w:p>
    <w:p>
      <w:pPr>
        <w:spacing w:line="360" w:lineRule="auto"/>
        <w:ind w:firstLine="1200" w:firstLineChars="500"/>
        <w:rPr>
          <w:bCs/>
          <w:sz w:val="24"/>
          <w:szCs w:val="24"/>
        </w:rPr>
      </w:pPr>
      <w:r>
        <w:rPr>
          <w:bCs/>
          <w:sz w:val="24"/>
          <w:szCs w:val="24"/>
        </w:rPr>
        <w:t>TL</w:t>
      </w:r>
      <w:r>
        <w:rPr>
          <w:bCs/>
          <w:sz w:val="24"/>
          <w:szCs w:val="24"/>
          <w:vertAlign w:val="subscript"/>
        </w:rPr>
        <w:t>i</w:t>
      </w:r>
      <w:r>
        <w:rPr>
          <w:bCs/>
          <w:sz w:val="24"/>
          <w:szCs w:val="24"/>
        </w:rPr>
        <w:t>——围护结构i倍频带的隔声量，</w:t>
      </w:r>
      <w:r>
        <w:rPr>
          <w:sz w:val="24"/>
          <w:szCs w:val="24"/>
        </w:rPr>
        <w:t>dB。</w:t>
      </w:r>
    </w:p>
    <w:p>
      <w:pPr>
        <w:spacing w:line="360" w:lineRule="auto"/>
        <w:ind w:firstLine="480"/>
        <w:jc w:val="both"/>
        <w:rPr>
          <w:sz w:val="24"/>
          <w:szCs w:val="24"/>
          <w:lang w:bidi="ar"/>
        </w:rPr>
      </w:pPr>
      <w:r>
        <w:rPr>
          <w:sz w:val="24"/>
          <w:szCs w:val="24"/>
          <w:lang w:bidi="ar"/>
        </w:rPr>
        <w:t>3）贡献值计算</w:t>
      </w:r>
    </w:p>
    <w:p>
      <w:pPr>
        <w:ind w:firstLine="480"/>
        <w:rPr>
          <w:kern w:val="0"/>
          <w:sz w:val="24"/>
          <w:szCs w:val="24"/>
        </w:rPr>
      </w:pPr>
      <w:r>
        <w:rPr>
          <w:sz w:val="24"/>
          <w:szCs w:val="24"/>
          <w:lang w:bidi="ar"/>
        </w:rPr>
        <w:t>各</w:t>
      </w:r>
      <w:r>
        <w:rPr>
          <w:kern w:val="0"/>
          <w:sz w:val="24"/>
          <w:szCs w:val="24"/>
          <w:lang w:bidi="ar"/>
        </w:rPr>
        <w:t>声源在预测点产生的等效声级贡献值（</w:t>
      </w:r>
      <w:r>
        <w:rPr>
          <w:i/>
          <w:kern w:val="0"/>
          <w:sz w:val="24"/>
          <w:szCs w:val="24"/>
          <w:lang w:bidi="ar"/>
        </w:rPr>
        <w:t>L</w:t>
      </w:r>
      <w:r>
        <w:rPr>
          <w:i/>
          <w:kern w:val="0"/>
          <w:sz w:val="24"/>
          <w:szCs w:val="24"/>
          <w:vertAlign w:val="subscript"/>
          <w:lang w:bidi="ar"/>
        </w:rPr>
        <w:t>eqg</w:t>
      </w:r>
      <w:r>
        <w:rPr>
          <w:kern w:val="0"/>
          <w:sz w:val="24"/>
          <w:szCs w:val="24"/>
          <w:lang w:bidi="ar"/>
        </w:rPr>
        <w:t>）计算公式：</w:t>
      </w:r>
    </w:p>
    <w:p>
      <w:pPr>
        <w:spacing w:after="240" w:afterLines="100"/>
        <w:ind w:firstLine="480"/>
        <w:jc w:val="center"/>
        <w:rPr>
          <w:kern w:val="0"/>
          <w:sz w:val="24"/>
          <w:szCs w:val="24"/>
        </w:rPr>
      </w:pPr>
      <w:r>
        <w:rPr>
          <w:position w:val="-30"/>
          <w:sz w:val="24"/>
          <w:szCs w:val="24"/>
        </w:rPr>
        <w:drawing>
          <wp:inline distT="0" distB="0" distL="0" distR="0">
            <wp:extent cx="1924685" cy="478155"/>
            <wp:effectExtent l="0" t="0" r="0" b="0"/>
            <wp:docPr id="29802617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8026171" name="图片 1"/>
                    <pic:cNvPicPr>
                      <a:picLocks noChangeAspect="true" noChangeArrowheads="true"/>
                    </pic:cNvPicPr>
                  </pic:nvPicPr>
                  <pic:blipFill>
                    <a:blip r:embed="rId98" cstate="print">
                      <a:extLst>
                        <a:ext uri="{28A0092B-C50C-407E-A947-70E740481C1C}">
                          <a14:useLocalDpi xmlns:a14="http://schemas.microsoft.com/office/drawing/2010/main" val="false"/>
                        </a:ext>
                      </a:extLst>
                    </a:blip>
                    <a:srcRect/>
                    <a:stretch>
                      <a:fillRect/>
                    </a:stretch>
                  </pic:blipFill>
                  <pic:spPr>
                    <a:xfrm>
                      <a:off x="0" y="0"/>
                      <a:ext cx="1924685" cy="478155"/>
                    </a:xfrm>
                    <a:prstGeom prst="rect">
                      <a:avLst/>
                    </a:prstGeom>
                    <a:noFill/>
                    <a:ln>
                      <a:noFill/>
                    </a:ln>
                  </pic:spPr>
                </pic:pic>
              </a:graphicData>
            </a:graphic>
          </wp:inline>
        </w:drawing>
      </w:r>
    </w:p>
    <w:p>
      <w:pPr>
        <w:ind w:firstLine="480"/>
        <w:rPr>
          <w:kern w:val="0"/>
          <w:sz w:val="24"/>
          <w:szCs w:val="24"/>
        </w:rPr>
      </w:pPr>
      <w:r>
        <w:rPr>
          <w:kern w:val="0"/>
          <w:sz w:val="24"/>
          <w:szCs w:val="24"/>
          <w:lang w:bidi="ar"/>
        </w:rPr>
        <w:t>式中：</w:t>
      </w:r>
      <w:r>
        <w:rPr>
          <w:i/>
          <w:kern w:val="0"/>
          <w:sz w:val="24"/>
          <w:szCs w:val="24"/>
          <w:lang w:bidi="ar"/>
        </w:rPr>
        <w:t>L</w:t>
      </w:r>
      <w:r>
        <w:rPr>
          <w:i/>
          <w:kern w:val="0"/>
          <w:sz w:val="24"/>
          <w:szCs w:val="24"/>
          <w:vertAlign w:val="subscript"/>
          <w:lang w:bidi="ar"/>
        </w:rPr>
        <w:t>eqg</w:t>
      </w:r>
      <w:r>
        <w:rPr>
          <w:kern w:val="0"/>
          <w:sz w:val="24"/>
          <w:szCs w:val="24"/>
          <w:lang w:bidi="ar"/>
        </w:rPr>
        <w:t>—建设项目声源在预测点的等效声级贡献值，dB</w:t>
      </w:r>
      <w:r>
        <w:rPr>
          <w:sz w:val="24"/>
          <w:szCs w:val="24"/>
          <w:lang w:bidi="ar"/>
        </w:rPr>
        <w:t>（A）</w:t>
      </w:r>
      <w:r>
        <w:rPr>
          <w:kern w:val="0"/>
          <w:sz w:val="24"/>
          <w:szCs w:val="24"/>
          <w:lang w:bidi="ar"/>
        </w:rPr>
        <w:t>；</w:t>
      </w:r>
    </w:p>
    <w:p>
      <w:pPr>
        <w:ind w:firstLine="1200" w:firstLineChars="500"/>
        <w:rPr>
          <w:kern w:val="0"/>
          <w:sz w:val="24"/>
          <w:szCs w:val="24"/>
        </w:rPr>
      </w:pPr>
      <w:r>
        <w:rPr>
          <w:i/>
          <w:kern w:val="0"/>
          <w:sz w:val="24"/>
          <w:szCs w:val="24"/>
          <w:lang w:bidi="ar"/>
        </w:rPr>
        <w:t>L</w:t>
      </w:r>
      <w:r>
        <w:rPr>
          <w:i/>
          <w:kern w:val="0"/>
          <w:sz w:val="24"/>
          <w:szCs w:val="24"/>
          <w:vertAlign w:val="subscript"/>
          <w:lang w:bidi="ar"/>
        </w:rPr>
        <w:t>Ai</w:t>
      </w:r>
      <w:r>
        <w:rPr>
          <w:kern w:val="0"/>
          <w:sz w:val="24"/>
          <w:szCs w:val="24"/>
          <w:lang w:bidi="ar"/>
        </w:rPr>
        <w:t>—</w:t>
      </w:r>
      <w:r>
        <w:rPr>
          <w:i/>
          <w:kern w:val="0"/>
          <w:sz w:val="24"/>
          <w:szCs w:val="24"/>
          <w:lang w:bidi="ar"/>
        </w:rPr>
        <w:t>i</w:t>
      </w:r>
      <w:r>
        <w:rPr>
          <w:kern w:val="0"/>
          <w:sz w:val="24"/>
          <w:szCs w:val="24"/>
          <w:lang w:bidi="ar"/>
        </w:rPr>
        <w:t>声源在预测点产生的A声级，dB</w:t>
      </w:r>
      <w:r>
        <w:rPr>
          <w:sz w:val="24"/>
          <w:szCs w:val="24"/>
          <w:lang w:bidi="ar"/>
        </w:rPr>
        <w:t>（A）</w:t>
      </w:r>
      <w:r>
        <w:rPr>
          <w:kern w:val="0"/>
          <w:sz w:val="24"/>
          <w:szCs w:val="24"/>
          <w:lang w:bidi="ar"/>
        </w:rPr>
        <w:t>；</w:t>
      </w:r>
    </w:p>
    <w:p>
      <w:pPr>
        <w:ind w:firstLine="1200" w:firstLineChars="500"/>
        <w:rPr>
          <w:kern w:val="0"/>
          <w:sz w:val="24"/>
          <w:szCs w:val="24"/>
        </w:rPr>
      </w:pPr>
      <w:r>
        <w:rPr>
          <w:i/>
          <w:kern w:val="0"/>
          <w:sz w:val="24"/>
          <w:szCs w:val="24"/>
          <w:lang w:bidi="ar"/>
        </w:rPr>
        <w:t>T</w:t>
      </w:r>
      <w:r>
        <w:rPr>
          <w:kern w:val="0"/>
          <w:sz w:val="24"/>
          <w:szCs w:val="24"/>
          <w:lang w:bidi="ar"/>
        </w:rPr>
        <w:t>—预测计算的时间段，s；</w:t>
      </w:r>
    </w:p>
    <w:p>
      <w:pPr>
        <w:ind w:firstLine="1200" w:firstLineChars="500"/>
        <w:rPr>
          <w:kern w:val="0"/>
          <w:sz w:val="24"/>
          <w:szCs w:val="24"/>
        </w:rPr>
      </w:pPr>
      <w:r>
        <w:rPr>
          <w:i/>
          <w:kern w:val="0"/>
          <w:sz w:val="24"/>
          <w:szCs w:val="24"/>
          <w:lang w:bidi="ar"/>
        </w:rPr>
        <w:t>t</w:t>
      </w:r>
      <w:r>
        <w:rPr>
          <w:i/>
          <w:kern w:val="0"/>
          <w:sz w:val="24"/>
          <w:szCs w:val="24"/>
          <w:vertAlign w:val="subscript"/>
          <w:lang w:bidi="ar"/>
        </w:rPr>
        <w:t>i</w:t>
      </w:r>
      <w:r>
        <w:rPr>
          <w:kern w:val="0"/>
          <w:sz w:val="24"/>
          <w:szCs w:val="24"/>
          <w:lang w:bidi="ar"/>
        </w:rPr>
        <w:t>—</w:t>
      </w:r>
      <w:r>
        <w:rPr>
          <w:i/>
          <w:kern w:val="0"/>
          <w:sz w:val="24"/>
          <w:szCs w:val="24"/>
          <w:lang w:bidi="ar"/>
        </w:rPr>
        <w:t>i</w:t>
      </w:r>
      <w:r>
        <w:rPr>
          <w:kern w:val="0"/>
          <w:sz w:val="24"/>
          <w:szCs w:val="24"/>
          <w:lang w:bidi="ar"/>
        </w:rPr>
        <w:t>声源在</w:t>
      </w:r>
      <w:r>
        <w:rPr>
          <w:i/>
          <w:kern w:val="0"/>
          <w:sz w:val="24"/>
          <w:szCs w:val="24"/>
          <w:lang w:bidi="ar"/>
        </w:rPr>
        <w:t>T</w:t>
      </w:r>
      <w:r>
        <w:rPr>
          <w:kern w:val="0"/>
          <w:sz w:val="24"/>
          <w:szCs w:val="24"/>
          <w:lang w:bidi="ar"/>
        </w:rPr>
        <w:t>时段内的运行时间，s。</w:t>
      </w:r>
    </w:p>
    <w:p>
      <w:pPr>
        <w:pStyle w:val="6"/>
        <w:numPr>
          <w:ilvl w:val="3"/>
          <w:numId w:val="0"/>
        </w:numPr>
      </w:pPr>
      <w:r>
        <w:t>6.2.3.3预测结果及影响分析</w:t>
      </w:r>
    </w:p>
    <w:p>
      <w:pPr>
        <w:pStyle w:val="222"/>
      </w:pPr>
      <w:r>
        <w:t>（1）采区噪声预测结果</w:t>
      </w:r>
    </w:p>
    <w:p>
      <w:pPr>
        <w:pStyle w:val="222"/>
      </w:pPr>
      <w:r>
        <w:t>本项目夜间不生产，在预测时为简化计算工作，只考虑采区内作业带各声源典型位置的固定声源的在不同厂界处及敏感点的噪声预测结果，采区噪声预测结果具体见下表。</w:t>
      </w:r>
    </w:p>
    <w:p>
      <w:pPr>
        <w:pStyle w:val="84"/>
      </w:pPr>
      <w:r>
        <w:t>表6.2-25  厂界噪声噪声预测结果与达标分析</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560"/>
        <w:gridCol w:w="1276"/>
        <w:gridCol w:w="1129"/>
        <w:gridCol w:w="1335"/>
        <w:gridCol w:w="1170"/>
        <w:gridCol w:w="1152"/>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63"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序号</w:t>
            </w:r>
          </w:p>
        </w:tc>
        <w:tc>
          <w:tcPr>
            <w:tcW w:w="840"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厂界</w:t>
            </w:r>
          </w:p>
        </w:tc>
        <w:tc>
          <w:tcPr>
            <w:tcW w:w="2014"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最大值点空间相对位置/m</w:t>
            </w:r>
          </w:p>
        </w:tc>
        <w:tc>
          <w:tcPr>
            <w:tcW w:w="630" w:type="pct"/>
            <w:tcBorders>
              <w:bottom w:val="single" w:color="auto" w:sz="4" w:space="0"/>
            </w:tcBorders>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标准值</w:t>
            </w:r>
          </w:p>
        </w:tc>
        <w:tc>
          <w:tcPr>
            <w:tcW w:w="620" w:type="pct"/>
            <w:tcBorders>
              <w:bottom w:val="single" w:color="auto" w:sz="4" w:space="0"/>
            </w:tcBorders>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贡献值</w:t>
            </w:r>
          </w:p>
        </w:tc>
        <w:tc>
          <w:tcPr>
            <w:tcW w:w="533"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363"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840" w:type="pct"/>
            <w:vMerge w:val="continue"/>
            <w:shd w:val="clear" w:color="auto" w:fill="D8D8D8" w:themeFill="background1" w:themeFillShade="D9"/>
            <w:vAlign w:val="center"/>
          </w:tcPr>
          <w:p>
            <w:pPr>
              <w:spacing w:line="240" w:lineRule="auto"/>
              <w:ind w:firstLine="0" w:firstLineChars="0"/>
              <w:jc w:val="center"/>
              <w:rPr>
                <w:b/>
                <w:bCs/>
                <w:sz w:val="21"/>
                <w:szCs w:val="21"/>
              </w:rPr>
            </w:pPr>
          </w:p>
        </w:tc>
        <w:tc>
          <w:tcPr>
            <w:tcW w:w="68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X</w:t>
            </w:r>
          </w:p>
        </w:tc>
        <w:tc>
          <w:tcPr>
            <w:tcW w:w="608"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Y</w:t>
            </w:r>
          </w:p>
        </w:tc>
        <w:tc>
          <w:tcPr>
            <w:tcW w:w="71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Z</w:t>
            </w:r>
          </w:p>
        </w:tc>
        <w:tc>
          <w:tcPr>
            <w:tcW w:w="630" w:type="pct"/>
            <w:tcBorders>
              <w:top w:val="single" w:color="auto" w:sz="4" w:space="0"/>
            </w:tcBorders>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昼间</w:t>
            </w:r>
          </w:p>
        </w:tc>
        <w:tc>
          <w:tcPr>
            <w:tcW w:w="620" w:type="pct"/>
            <w:tcBorders>
              <w:top w:val="single" w:color="auto" w:sz="4" w:space="0"/>
            </w:tcBorders>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昼间</w:t>
            </w:r>
          </w:p>
        </w:tc>
        <w:tc>
          <w:tcPr>
            <w:tcW w:w="533" w:type="pct"/>
            <w:vMerge w:val="continue"/>
            <w:shd w:val="clear" w:color="auto" w:fill="D8D8D8" w:themeFill="background1" w:themeFillShade="D9"/>
            <w:vAlign w:val="center"/>
          </w:tcPr>
          <w:p>
            <w:pPr>
              <w:spacing w:line="240" w:lineRule="auto"/>
              <w:ind w:firstLine="0" w:firstLineChars="0"/>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3" w:type="pct"/>
            <w:vAlign w:val="center"/>
          </w:tcPr>
          <w:p>
            <w:pPr>
              <w:spacing w:line="240" w:lineRule="auto"/>
              <w:ind w:firstLine="0" w:firstLineChars="0"/>
              <w:jc w:val="center"/>
              <w:rPr>
                <w:sz w:val="21"/>
                <w:szCs w:val="21"/>
              </w:rPr>
            </w:pPr>
            <w:r>
              <w:rPr>
                <w:sz w:val="21"/>
                <w:szCs w:val="21"/>
              </w:rPr>
              <w:t>1</w:t>
            </w:r>
          </w:p>
        </w:tc>
        <w:tc>
          <w:tcPr>
            <w:tcW w:w="840" w:type="pct"/>
            <w:vAlign w:val="center"/>
          </w:tcPr>
          <w:p>
            <w:pPr>
              <w:spacing w:line="240" w:lineRule="auto"/>
              <w:ind w:firstLine="0" w:firstLineChars="0"/>
              <w:jc w:val="center"/>
              <w:rPr>
                <w:sz w:val="21"/>
                <w:szCs w:val="21"/>
              </w:rPr>
            </w:pPr>
            <w:r>
              <w:rPr>
                <w:sz w:val="21"/>
                <w:szCs w:val="21"/>
              </w:rPr>
              <w:t>东侧</w:t>
            </w:r>
          </w:p>
        </w:tc>
        <w:tc>
          <w:tcPr>
            <w:tcW w:w="687" w:type="pct"/>
            <w:vAlign w:val="center"/>
          </w:tcPr>
          <w:p>
            <w:pPr>
              <w:spacing w:line="240" w:lineRule="auto"/>
              <w:ind w:firstLine="0" w:firstLineChars="0"/>
              <w:jc w:val="center"/>
              <w:rPr>
                <w:sz w:val="21"/>
                <w:szCs w:val="21"/>
              </w:rPr>
            </w:pPr>
            <w:r>
              <w:rPr>
                <w:sz w:val="21"/>
                <w:szCs w:val="21"/>
              </w:rPr>
              <w:t>43</w:t>
            </w:r>
          </w:p>
        </w:tc>
        <w:tc>
          <w:tcPr>
            <w:tcW w:w="608" w:type="pct"/>
            <w:vAlign w:val="center"/>
          </w:tcPr>
          <w:p>
            <w:pPr>
              <w:spacing w:line="240" w:lineRule="auto"/>
              <w:ind w:firstLine="0" w:firstLineChars="0"/>
              <w:jc w:val="center"/>
              <w:rPr>
                <w:sz w:val="21"/>
                <w:szCs w:val="21"/>
              </w:rPr>
            </w:pPr>
            <w:r>
              <w:rPr>
                <w:sz w:val="21"/>
                <w:szCs w:val="21"/>
              </w:rPr>
              <w:t>139</w:t>
            </w:r>
          </w:p>
        </w:tc>
        <w:tc>
          <w:tcPr>
            <w:tcW w:w="719" w:type="pct"/>
            <w:vAlign w:val="center"/>
          </w:tcPr>
          <w:p>
            <w:pPr>
              <w:spacing w:line="240" w:lineRule="auto"/>
              <w:ind w:firstLine="0" w:firstLineChars="0"/>
              <w:jc w:val="center"/>
              <w:rPr>
                <w:sz w:val="21"/>
                <w:szCs w:val="21"/>
              </w:rPr>
            </w:pPr>
            <w:r>
              <w:rPr>
                <w:sz w:val="21"/>
                <w:szCs w:val="21"/>
              </w:rPr>
              <w:t>0</w:t>
            </w:r>
          </w:p>
        </w:tc>
        <w:tc>
          <w:tcPr>
            <w:tcW w:w="630" w:type="pct"/>
            <w:vAlign w:val="center"/>
          </w:tcPr>
          <w:p>
            <w:pPr>
              <w:spacing w:line="240" w:lineRule="auto"/>
              <w:ind w:firstLine="0" w:firstLineChars="0"/>
              <w:jc w:val="center"/>
              <w:rPr>
                <w:sz w:val="21"/>
                <w:szCs w:val="21"/>
              </w:rPr>
            </w:pPr>
            <w:r>
              <w:rPr>
                <w:sz w:val="21"/>
                <w:szCs w:val="21"/>
              </w:rPr>
              <w:t>60</w:t>
            </w:r>
          </w:p>
        </w:tc>
        <w:tc>
          <w:tcPr>
            <w:tcW w:w="620" w:type="pct"/>
            <w:vAlign w:val="center"/>
          </w:tcPr>
          <w:p>
            <w:pPr>
              <w:spacing w:line="240" w:lineRule="auto"/>
              <w:ind w:firstLine="0" w:firstLineChars="0"/>
              <w:jc w:val="center"/>
              <w:rPr>
                <w:sz w:val="21"/>
                <w:szCs w:val="21"/>
              </w:rPr>
            </w:pPr>
            <w:r>
              <w:rPr>
                <w:sz w:val="21"/>
                <w:szCs w:val="21"/>
              </w:rPr>
              <w:t>55.0</w:t>
            </w:r>
          </w:p>
        </w:tc>
        <w:tc>
          <w:tcPr>
            <w:tcW w:w="533"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3" w:type="pct"/>
            <w:vAlign w:val="center"/>
          </w:tcPr>
          <w:p>
            <w:pPr>
              <w:spacing w:line="240" w:lineRule="auto"/>
              <w:ind w:firstLine="0" w:firstLineChars="0"/>
              <w:jc w:val="center"/>
              <w:rPr>
                <w:sz w:val="21"/>
                <w:szCs w:val="21"/>
              </w:rPr>
            </w:pPr>
            <w:r>
              <w:rPr>
                <w:sz w:val="21"/>
                <w:szCs w:val="21"/>
              </w:rPr>
              <w:t>2</w:t>
            </w:r>
          </w:p>
        </w:tc>
        <w:tc>
          <w:tcPr>
            <w:tcW w:w="840" w:type="pct"/>
            <w:vAlign w:val="center"/>
          </w:tcPr>
          <w:p>
            <w:pPr>
              <w:spacing w:line="240" w:lineRule="auto"/>
              <w:ind w:firstLine="0" w:firstLineChars="0"/>
              <w:jc w:val="center"/>
              <w:rPr>
                <w:sz w:val="21"/>
                <w:szCs w:val="21"/>
              </w:rPr>
            </w:pPr>
            <w:r>
              <w:rPr>
                <w:sz w:val="21"/>
                <w:szCs w:val="21"/>
              </w:rPr>
              <w:t>南侧</w:t>
            </w:r>
          </w:p>
        </w:tc>
        <w:tc>
          <w:tcPr>
            <w:tcW w:w="687" w:type="pct"/>
            <w:vAlign w:val="center"/>
          </w:tcPr>
          <w:p>
            <w:pPr>
              <w:spacing w:line="240" w:lineRule="auto"/>
              <w:ind w:firstLine="0" w:firstLineChars="0"/>
              <w:jc w:val="center"/>
              <w:rPr>
                <w:sz w:val="21"/>
                <w:szCs w:val="21"/>
              </w:rPr>
            </w:pPr>
            <w:r>
              <w:rPr>
                <w:sz w:val="21"/>
                <w:szCs w:val="21"/>
              </w:rPr>
              <w:t>49</w:t>
            </w:r>
          </w:p>
        </w:tc>
        <w:tc>
          <w:tcPr>
            <w:tcW w:w="608" w:type="pct"/>
            <w:vAlign w:val="center"/>
          </w:tcPr>
          <w:p>
            <w:pPr>
              <w:spacing w:line="240" w:lineRule="auto"/>
              <w:ind w:firstLine="0" w:firstLineChars="0"/>
              <w:jc w:val="center"/>
              <w:rPr>
                <w:sz w:val="21"/>
                <w:szCs w:val="21"/>
              </w:rPr>
            </w:pPr>
            <w:r>
              <w:rPr>
                <w:sz w:val="21"/>
                <w:szCs w:val="21"/>
              </w:rPr>
              <w:t>132</w:t>
            </w:r>
          </w:p>
        </w:tc>
        <w:tc>
          <w:tcPr>
            <w:tcW w:w="719" w:type="pct"/>
            <w:vAlign w:val="center"/>
          </w:tcPr>
          <w:p>
            <w:pPr>
              <w:spacing w:line="240" w:lineRule="auto"/>
              <w:ind w:firstLine="0" w:firstLineChars="0"/>
              <w:jc w:val="center"/>
              <w:rPr>
                <w:sz w:val="21"/>
                <w:szCs w:val="21"/>
              </w:rPr>
            </w:pPr>
            <w:r>
              <w:rPr>
                <w:sz w:val="21"/>
                <w:szCs w:val="21"/>
              </w:rPr>
              <w:t>5</w:t>
            </w:r>
          </w:p>
        </w:tc>
        <w:tc>
          <w:tcPr>
            <w:tcW w:w="630" w:type="pct"/>
            <w:vAlign w:val="center"/>
          </w:tcPr>
          <w:p>
            <w:pPr>
              <w:spacing w:line="240" w:lineRule="auto"/>
              <w:ind w:firstLine="0" w:firstLineChars="0"/>
              <w:jc w:val="center"/>
              <w:rPr>
                <w:sz w:val="21"/>
                <w:szCs w:val="21"/>
              </w:rPr>
            </w:pPr>
            <w:r>
              <w:rPr>
                <w:sz w:val="21"/>
                <w:szCs w:val="21"/>
              </w:rPr>
              <w:t>60</w:t>
            </w:r>
          </w:p>
        </w:tc>
        <w:tc>
          <w:tcPr>
            <w:tcW w:w="620" w:type="pct"/>
            <w:vAlign w:val="center"/>
          </w:tcPr>
          <w:p>
            <w:pPr>
              <w:spacing w:line="240" w:lineRule="auto"/>
              <w:ind w:firstLine="0" w:firstLineChars="0"/>
              <w:jc w:val="center"/>
              <w:rPr>
                <w:sz w:val="21"/>
                <w:szCs w:val="21"/>
              </w:rPr>
            </w:pPr>
            <w:r>
              <w:rPr>
                <w:sz w:val="21"/>
                <w:szCs w:val="21"/>
              </w:rPr>
              <w:t>55.5</w:t>
            </w:r>
          </w:p>
        </w:tc>
        <w:tc>
          <w:tcPr>
            <w:tcW w:w="533"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3" w:type="pct"/>
            <w:vAlign w:val="center"/>
          </w:tcPr>
          <w:p>
            <w:pPr>
              <w:spacing w:line="240" w:lineRule="auto"/>
              <w:ind w:firstLine="0" w:firstLineChars="0"/>
              <w:jc w:val="center"/>
              <w:rPr>
                <w:sz w:val="21"/>
                <w:szCs w:val="21"/>
              </w:rPr>
            </w:pPr>
            <w:r>
              <w:rPr>
                <w:sz w:val="21"/>
                <w:szCs w:val="21"/>
              </w:rPr>
              <w:t>3</w:t>
            </w:r>
          </w:p>
        </w:tc>
        <w:tc>
          <w:tcPr>
            <w:tcW w:w="840" w:type="pct"/>
            <w:vAlign w:val="center"/>
          </w:tcPr>
          <w:p>
            <w:pPr>
              <w:spacing w:line="240" w:lineRule="auto"/>
              <w:ind w:firstLine="0" w:firstLineChars="0"/>
              <w:jc w:val="center"/>
              <w:rPr>
                <w:sz w:val="21"/>
                <w:szCs w:val="21"/>
              </w:rPr>
            </w:pPr>
            <w:r>
              <w:rPr>
                <w:sz w:val="21"/>
                <w:szCs w:val="21"/>
              </w:rPr>
              <w:t>西侧</w:t>
            </w:r>
          </w:p>
        </w:tc>
        <w:tc>
          <w:tcPr>
            <w:tcW w:w="687" w:type="pct"/>
            <w:vAlign w:val="center"/>
          </w:tcPr>
          <w:p>
            <w:pPr>
              <w:spacing w:line="240" w:lineRule="auto"/>
              <w:ind w:firstLine="0" w:firstLineChars="0"/>
              <w:jc w:val="center"/>
              <w:rPr>
                <w:sz w:val="21"/>
                <w:szCs w:val="21"/>
              </w:rPr>
            </w:pPr>
            <w:r>
              <w:rPr>
                <w:sz w:val="21"/>
                <w:szCs w:val="21"/>
              </w:rPr>
              <w:t>54</w:t>
            </w:r>
          </w:p>
        </w:tc>
        <w:tc>
          <w:tcPr>
            <w:tcW w:w="608" w:type="pct"/>
            <w:vAlign w:val="center"/>
          </w:tcPr>
          <w:p>
            <w:pPr>
              <w:spacing w:line="240" w:lineRule="auto"/>
              <w:ind w:firstLine="0" w:firstLineChars="0"/>
              <w:jc w:val="center"/>
              <w:rPr>
                <w:sz w:val="21"/>
                <w:szCs w:val="21"/>
              </w:rPr>
            </w:pPr>
            <w:r>
              <w:rPr>
                <w:sz w:val="21"/>
                <w:szCs w:val="21"/>
              </w:rPr>
              <w:t>126</w:t>
            </w:r>
          </w:p>
        </w:tc>
        <w:tc>
          <w:tcPr>
            <w:tcW w:w="719" w:type="pct"/>
            <w:vAlign w:val="center"/>
          </w:tcPr>
          <w:p>
            <w:pPr>
              <w:spacing w:line="240" w:lineRule="auto"/>
              <w:ind w:firstLine="0" w:firstLineChars="0"/>
              <w:jc w:val="center"/>
              <w:rPr>
                <w:sz w:val="21"/>
                <w:szCs w:val="21"/>
              </w:rPr>
            </w:pPr>
            <w:r>
              <w:rPr>
                <w:sz w:val="21"/>
                <w:szCs w:val="21"/>
              </w:rPr>
              <w:t>11</w:t>
            </w:r>
          </w:p>
        </w:tc>
        <w:tc>
          <w:tcPr>
            <w:tcW w:w="630" w:type="pct"/>
            <w:vAlign w:val="center"/>
          </w:tcPr>
          <w:p>
            <w:pPr>
              <w:spacing w:line="240" w:lineRule="auto"/>
              <w:ind w:firstLine="0" w:firstLineChars="0"/>
              <w:jc w:val="center"/>
              <w:rPr>
                <w:sz w:val="21"/>
                <w:szCs w:val="21"/>
              </w:rPr>
            </w:pPr>
            <w:r>
              <w:rPr>
                <w:sz w:val="21"/>
                <w:szCs w:val="21"/>
              </w:rPr>
              <w:t>60</w:t>
            </w:r>
          </w:p>
        </w:tc>
        <w:tc>
          <w:tcPr>
            <w:tcW w:w="620" w:type="pct"/>
            <w:vAlign w:val="center"/>
          </w:tcPr>
          <w:p>
            <w:pPr>
              <w:spacing w:line="240" w:lineRule="auto"/>
              <w:ind w:firstLine="0" w:firstLineChars="0"/>
              <w:jc w:val="center"/>
              <w:rPr>
                <w:sz w:val="21"/>
                <w:szCs w:val="21"/>
              </w:rPr>
            </w:pPr>
            <w:r>
              <w:rPr>
                <w:sz w:val="21"/>
                <w:szCs w:val="21"/>
              </w:rPr>
              <w:t>55.8</w:t>
            </w:r>
          </w:p>
        </w:tc>
        <w:tc>
          <w:tcPr>
            <w:tcW w:w="533"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63" w:type="pct"/>
            <w:vAlign w:val="center"/>
          </w:tcPr>
          <w:p>
            <w:pPr>
              <w:spacing w:line="240" w:lineRule="auto"/>
              <w:ind w:firstLine="0" w:firstLineChars="0"/>
              <w:jc w:val="center"/>
              <w:rPr>
                <w:sz w:val="21"/>
                <w:szCs w:val="21"/>
              </w:rPr>
            </w:pPr>
            <w:r>
              <w:rPr>
                <w:sz w:val="21"/>
                <w:szCs w:val="21"/>
              </w:rPr>
              <w:t>4</w:t>
            </w:r>
          </w:p>
        </w:tc>
        <w:tc>
          <w:tcPr>
            <w:tcW w:w="840" w:type="pct"/>
            <w:vAlign w:val="center"/>
          </w:tcPr>
          <w:p>
            <w:pPr>
              <w:spacing w:line="240" w:lineRule="auto"/>
              <w:ind w:firstLine="0" w:firstLineChars="0"/>
              <w:jc w:val="center"/>
              <w:rPr>
                <w:sz w:val="21"/>
                <w:szCs w:val="21"/>
              </w:rPr>
            </w:pPr>
            <w:r>
              <w:rPr>
                <w:sz w:val="21"/>
                <w:szCs w:val="21"/>
              </w:rPr>
              <w:t>北侧</w:t>
            </w:r>
          </w:p>
        </w:tc>
        <w:tc>
          <w:tcPr>
            <w:tcW w:w="687" w:type="pct"/>
            <w:vAlign w:val="center"/>
          </w:tcPr>
          <w:p>
            <w:pPr>
              <w:spacing w:line="240" w:lineRule="auto"/>
              <w:ind w:firstLine="0" w:firstLineChars="0"/>
              <w:jc w:val="center"/>
              <w:rPr>
                <w:sz w:val="21"/>
                <w:szCs w:val="21"/>
              </w:rPr>
            </w:pPr>
            <w:r>
              <w:rPr>
                <w:sz w:val="21"/>
                <w:szCs w:val="21"/>
              </w:rPr>
              <w:t>60</w:t>
            </w:r>
          </w:p>
        </w:tc>
        <w:tc>
          <w:tcPr>
            <w:tcW w:w="608" w:type="pct"/>
            <w:vAlign w:val="center"/>
          </w:tcPr>
          <w:p>
            <w:pPr>
              <w:spacing w:line="240" w:lineRule="auto"/>
              <w:ind w:firstLine="0" w:firstLineChars="0"/>
              <w:jc w:val="center"/>
              <w:rPr>
                <w:sz w:val="21"/>
                <w:szCs w:val="21"/>
              </w:rPr>
            </w:pPr>
            <w:r>
              <w:rPr>
                <w:sz w:val="21"/>
                <w:szCs w:val="21"/>
              </w:rPr>
              <w:t>120</w:t>
            </w:r>
          </w:p>
        </w:tc>
        <w:tc>
          <w:tcPr>
            <w:tcW w:w="719" w:type="pct"/>
            <w:vAlign w:val="center"/>
          </w:tcPr>
          <w:p>
            <w:pPr>
              <w:spacing w:line="240" w:lineRule="auto"/>
              <w:ind w:firstLine="0" w:firstLineChars="0"/>
              <w:jc w:val="center"/>
              <w:rPr>
                <w:sz w:val="21"/>
                <w:szCs w:val="21"/>
              </w:rPr>
            </w:pPr>
            <w:r>
              <w:rPr>
                <w:sz w:val="21"/>
                <w:szCs w:val="21"/>
              </w:rPr>
              <w:t>16</w:t>
            </w:r>
          </w:p>
        </w:tc>
        <w:tc>
          <w:tcPr>
            <w:tcW w:w="630" w:type="pct"/>
            <w:vAlign w:val="center"/>
          </w:tcPr>
          <w:p>
            <w:pPr>
              <w:spacing w:line="240" w:lineRule="auto"/>
              <w:ind w:firstLine="0" w:firstLineChars="0"/>
              <w:jc w:val="center"/>
              <w:rPr>
                <w:sz w:val="21"/>
                <w:szCs w:val="21"/>
              </w:rPr>
            </w:pPr>
            <w:r>
              <w:rPr>
                <w:sz w:val="21"/>
                <w:szCs w:val="21"/>
              </w:rPr>
              <w:t>60</w:t>
            </w:r>
          </w:p>
        </w:tc>
        <w:tc>
          <w:tcPr>
            <w:tcW w:w="620" w:type="pct"/>
            <w:vAlign w:val="center"/>
          </w:tcPr>
          <w:p>
            <w:pPr>
              <w:spacing w:line="240" w:lineRule="auto"/>
              <w:ind w:firstLine="0" w:firstLineChars="0"/>
              <w:jc w:val="center"/>
              <w:rPr>
                <w:sz w:val="21"/>
                <w:szCs w:val="21"/>
              </w:rPr>
            </w:pPr>
            <w:r>
              <w:rPr>
                <w:sz w:val="21"/>
                <w:szCs w:val="21"/>
              </w:rPr>
              <w:t>56.1</w:t>
            </w:r>
          </w:p>
        </w:tc>
        <w:tc>
          <w:tcPr>
            <w:tcW w:w="533" w:type="pct"/>
            <w:vAlign w:val="center"/>
          </w:tcPr>
          <w:p>
            <w:pPr>
              <w:spacing w:line="240" w:lineRule="auto"/>
              <w:ind w:firstLine="0" w:firstLineChars="0"/>
              <w:jc w:val="center"/>
              <w:rPr>
                <w:sz w:val="21"/>
                <w:szCs w:val="21"/>
              </w:rPr>
            </w:pPr>
            <w:r>
              <w:rPr>
                <w:sz w:val="21"/>
                <w:szCs w:val="21"/>
              </w:rPr>
              <w:t>达标</w:t>
            </w:r>
          </w:p>
        </w:tc>
      </w:tr>
    </w:tbl>
    <w:p>
      <w:pPr>
        <w:ind w:firstLine="0" w:firstLineChars="0"/>
        <w:rPr>
          <w:sz w:val="24"/>
        </w:rPr>
        <w:sectPr>
          <w:pgSz w:w="11907" w:h="16840"/>
          <w:pgMar w:top="1588" w:right="1418" w:bottom="1366" w:left="1418" w:header="851" w:footer="992" w:gutter="0"/>
          <w:cols w:space="425" w:num="1"/>
          <w:docGrid w:linePitch="312" w:charSpace="0"/>
        </w:sectPr>
      </w:pPr>
    </w:p>
    <w:p>
      <w:pPr>
        <w:pStyle w:val="84"/>
      </w:pPr>
      <w:r>
        <w:t>表6.2-26  声环境保护目标噪声预测结果与达标分析表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752"/>
        <w:gridCol w:w="866"/>
        <w:gridCol w:w="826"/>
        <w:gridCol w:w="903"/>
        <w:gridCol w:w="914"/>
        <w:gridCol w:w="959"/>
        <w:gridCol w:w="804"/>
        <w:gridCol w:w="1069"/>
        <w:gridCol w:w="1010"/>
        <w:gridCol w:w="1007"/>
        <w:gridCol w:w="1010"/>
        <w:gridCol w:w="863"/>
        <w:gridCol w:w="863"/>
        <w:gridCol w:w="900"/>
        <w:gridCol w:w="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267"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声环境保护目标</w:t>
            </w:r>
          </w:p>
        </w:tc>
        <w:tc>
          <w:tcPr>
            <w:tcW w:w="600"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噪声背景值/dB（A）</w:t>
            </w:r>
          </w:p>
        </w:tc>
        <w:tc>
          <w:tcPr>
            <w:tcW w:w="644"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噪声现状值/dB（A）</w:t>
            </w:r>
          </w:p>
        </w:tc>
        <w:tc>
          <w:tcPr>
            <w:tcW w:w="625"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噪声标准/dB（A）</w:t>
            </w:r>
          </w:p>
        </w:tc>
        <w:tc>
          <w:tcPr>
            <w:tcW w:w="737"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噪声贡献值/dB（A）</w:t>
            </w:r>
          </w:p>
        </w:tc>
        <w:tc>
          <w:tcPr>
            <w:tcW w:w="715"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噪声预测值/dB（A）</w:t>
            </w:r>
          </w:p>
        </w:tc>
        <w:tc>
          <w:tcPr>
            <w:tcW w:w="612"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较现状增量/dB（A）</w:t>
            </w:r>
          </w:p>
        </w:tc>
        <w:tc>
          <w:tcPr>
            <w:tcW w:w="558"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超标和达标情况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267" w:type="pct"/>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307"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93"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2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2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40"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85"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79"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5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57"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5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0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0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19"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39"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Align w:val="center"/>
          </w:tcPr>
          <w:p>
            <w:pPr>
              <w:spacing w:line="240" w:lineRule="auto"/>
              <w:ind w:firstLine="0" w:firstLineChars="0"/>
              <w:jc w:val="center"/>
              <w:rPr>
                <w:sz w:val="21"/>
                <w:szCs w:val="21"/>
              </w:rPr>
            </w:pPr>
            <w:r>
              <w:rPr>
                <w:sz w:val="21"/>
                <w:szCs w:val="21"/>
              </w:rPr>
              <w:t>1</w:t>
            </w:r>
          </w:p>
        </w:tc>
        <w:tc>
          <w:tcPr>
            <w:tcW w:w="267" w:type="pct"/>
            <w:vAlign w:val="center"/>
          </w:tcPr>
          <w:p>
            <w:pPr>
              <w:spacing w:line="240" w:lineRule="auto"/>
              <w:ind w:firstLine="0" w:firstLineChars="0"/>
              <w:jc w:val="center"/>
              <w:rPr>
                <w:sz w:val="21"/>
                <w:szCs w:val="21"/>
              </w:rPr>
            </w:pPr>
            <w:r>
              <w:rPr>
                <w:sz w:val="21"/>
                <w:szCs w:val="21"/>
              </w:rPr>
              <w:t>西南侧居民点</w:t>
            </w:r>
          </w:p>
        </w:tc>
        <w:tc>
          <w:tcPr>
            <w:tcW w:w="307" w:type="pct"/>
            <w:vAlign w:val="center"/>
          </w:tcPr>
          <w:p>
            <w:pPr>
              <w:spacing w:line="240" w:lineRule="auto"/>
              <w:ind w:firstLine="0" w:firstLineChars="0"/>
              <w:jc w:val="center"/>
              <w:rPr>
                <w:sz w:val="21"/>
                <w:szCs w:val="21"/>
              </w:rPr>
            </w:pPr>
            <w:r>
              <w:rPr>
                <w:sz w:val="21"/>
                <w:szCs w:val="21"/>
              </w:rPr>
              <w:t>51</w:t>
            </w:r>
          </w:p>
        </w:tc>
        <w:tc>
          <w:tcPr>
            <w:tcW w:w="293" w:type="pct"/>
            <w:vAlign w:val="center"/>
          </w:tcPr>
          <w:p>
            <w:pPr>
              <w:spacing w:line="240" w:lineRule="auto"/>
              <w:ind w:firstLine="0" w:firstLineChars="0"/>
              <w:jc w:val="center"/>
              <w:rPr>
                <w:sz w:val="21"/>
                <w:szCs w:val="21"/>
              </w:rPr>
            </w:pPr>
            <w:r>
              <w:rPr>
                <w:sz w:val="21"/>
                <w:szCs w:val="21"/>
              </w:rPr>
              <w:t>43</w:t>
            </w:r>
          </w:p>
        </w:tc>
        <w:tc>
          <w:tcPr>
            <w:tcW w:w="320" w:type="pct"/>
            <w:vAlign w:val="center"/>
          </w:tcPr>
          <w:p>
            <w:pPr>
              <w:spacing w:line="240" w:lineRule="auto"/>
              <w:ind w:firstLine="0" w:firstLineChars="0"/>
              <w:jc w:val="center"/>
              <w:rPr>
                <w:sz w:val="21"/>
                <w:szCs w:val="21"/>
              </w:rPr>
            </w:pPr>
            <w:r>
              <w:rPr>
                <w:sz w:val="21"/>
                <w:szCs w:val="21"/>
              </w:rPr>
              <w:t>51</w:t>
            </w:r>
          </w:p>
        </w:tc>
        <w:tc>
          <w:tcPr>
            <w:tcW w:w="324" w:type="pct"/>
            <w:vAlign w:val="center"/>
          </w:tcPr>
          <w:p>
            <w:pPr>
              <w:spacing w:line="240" w:lineRule="auto"/>
              <w:ind w:firstLine="0" w:firstLineChars="0"/>
              <w:jc w:val="center"/>
              <w:rPr>
                <w:sz w:val="21"/>
                <w:szCs w:val="21"/>
              </w:rPr>
            </w:pPr>
            <w:r>
              <w:rPr>
                <w:sz w:val="21"/>
                <w:szCs w:val="21"/>
              </w:rPr>
              <w:t>43</w:t>
            </w:r>
          </w:p>
        </w:tc>
        <w:tc>
          <w:tcPr>
            <w:tcW w:w="340" w:type="pct"/>
            <w:vAlign w:val="center"/>
          </w:tcPr>
          <w:p>
            <w:pPr>
              <w:spacing w:line="240" w:lineRule="auto"/>
              <w:ind w:firstLine="0" w:firstLineChars="0"/>
              <w:jc w:val="center"/>
              <w:rPr>
                <w:sz w:val="21"/>
                <w:szCs w:val="21"/>
              </w:rPr>
            </w:pPr>
            <w:r>
              <w:rPr>
                <w:sz w:val="21"/>
                <w:szCs w:val="21"/>
              </w:rPr>
              <w:t>60</w:t>
            </w:r>
          </w:p>
        </w:tc>
        <w:tc>
          <w:tcPr>
            <w:tcW w:w="285" w:type="pct"/>
            <w:vAlign w:val="center"/>
          </w:tcPr>
          <w:p>
            <w:pPr>
              <w:spacing w:line="240" w:lineRule="auto"/>
              <w:ind w:firstLine="0" w:firstLineChars="0"/>
              <w:jc w:val="center"/>
              <w:rPr>
                <w:sz w:val="21"/>
                <w:szCs w:val="21"/>
              </w:rPr>
            </w:pPr>
            <w:r>
              <w:rPr>
                <w:sz w:val="21"/>
                <w:szCs w:val="21"/>
              </w:rPr>
              <w:t>50</w:t>
            </w:r>
          </w:p>
        </w:tc>
        <w:tc>
          <w:tcPr>
            <w:tcW w:w="379" w:type="pct"/>
            <w:vAlign w:val="center"/>
          </w:tcPr>
          <w:p>
            <w:pPr>
              <w:spacing w:line="240" w:lineRule="auto"/>
              <w:ind w:firstLine="0" w:firstLineChars="0"/>
              <w:jc w:val="center"/>
              <w:rPr>
                <w:sz w:val="21"/>
                <w:szCs w:val="21"/>
              </w:rPr>
            </w:pPr>
            <w:r>
              <w:rPr>
                <w:sz w:val="21"/>
                <w:szCs w:val="21"/>
              </w:rPr>
              <w:t>41.3</w:t>
            </w:r>
          </w:p>
        </w:tc>
        <w:tc>
          <w:tcPr>
            <w:tcW w:w="358" w:type="pct"/>
            <w:vAlign w:val="center"/>
          </w:tcPr>
          <w:p>
            <w:pPr>
              <w:spacing w:line="240" w:lineRule="auto"/>
              <w:ind w:firstLine="0" w:firstLineChars="0"/>
              <w:jc w:val="center"/>
              <w:rPr>
                <w:sz w:val="21"/>
                <w:szCs w:val="21"/>
              </w:rPr>
            </w:pPr>
            <w:r>
              <w:rPr>
                <w:sz w:val="21"/>
                <w:szCs w:val="21"/>
              </w:rPr>
              <w:t>41.3</w:t>
            </w:r>
          </w:p>
        </w:tc>
        <w:tc>
          <w:tcPr>
            <w:tcW w:w="357" w:type="pct"/>
            <w:vAlign w:val="center"/>
          </w:tcPr>
          <w:p>
            <w:pPr>
              <w:spacing w:line="240" w:lineRule="auto"/>
              <w:ind w:firstLine="0" w:firstLineChars="0"/>
              <w:jc w:val="center"/>
              <w:rPr>
                <w:sz w:val="21"/>
                <w:szCs w:val="21"/>
              </w:rPr>
            </w:pPr>
            <w:r>
              <w:rPr>
                <w:sz w:val="21"/>
                <w:szCs w:val="21"/>
              </w:rPr>
              <w:t>51.4</w:t>
            </w:r>
          </w:p>
        </w:tc>
        <w:tc>
          <w:tcPr>
            <w:tcW w:w="358" w:type="pct"/>
            <w:vAlign w:val="center"/>
          </w:tcPr>
          <w:p>
            <w:pPr>
              <w:spacing w:line="240" w:lineRule="auto"/>
              <w:ind w:firstLine="0" w:firstLineChars="0"/>
              <w:jc w:val="center"/>
              <w:rPr>
                <w:sz w:val="21"/>
                <w:szCs w:val="21"/>
              </w:rPr>
            </w:pPr>
            <w:r>
              <w:rPr>
                <w:sz w:val="21"/>
                <w:szCs w:val="21"/>
              </w:rPr>
              <w:t>45.2</w:t>
            </w:r>
          </w:p>
        </w:tc>
        <w:tc>
          <w:tcPr>
            <w:tcW w:w="306" w:type="pct"/>
            <w:vAlign w:val="center"/>
          </w:tcPr>
          <w:p>
            <w:pPr>
              <w:spacing w:line="240" w:lineRule="auto"/>
              <w:ind w:firstLine="0" w:firstLineChars="0"/>
              <w:jc w:val="center"/>
              <w:rPr>
                <w:sz w:val="21"/>
                <w:szCs w:val="21"/>
              </w:rPr>
            </w:pPr>
            <w:r>
              <w:rPr>
                <w:sz w:val="21"/>
                <w:szCs w:val="21"/>
              </w:rPr>
              <w:t>0.4</w:t>
            </w:r>
          </w:p>
        </w:tc>
        <w:tc>
          <w:tcPr>
            <w:tcW w:w="306" w:type="pct"/>
            <w:vAlign w:val="center"/>
          </w:tcPr>
          <w:p>
            <w:pPr>
              <w:spacing w:line="240" w:lineRule="auto"/>
              <w:ind w:firstLine="0" w:firstLineChars="0"/>
              <w:jc w:val="center"/>
              <w:rPr>
                <w:sz w:val="21"/>
                <w:szCs w:val="21"/>
              </w:rPr>
            </w:pPr>
            <w:r>
              <w:rPr>
                <w:sz w:val="21"/>
                <w:szCs w:val="21"/>
              </w:rPr>
              <w:t>2.2</w:t>
            </w:r>
          </w:p>
        </w:tc>
        <w:tc>
          <w:tcPr>
            <w:tcW w:w="319" w:type="pct"/>
            <w:vAlign w:val="center"/>
          </w:tcPr>
          <w:p>
            <w:pPr>
              <w:spacing w:line="240" w:lineRule="auto"/>
              <w:ind w:firstLine="0" w:firstLineChars="0"/>
              <w:jc w:val="center"/>
              <w:rPr>
                <w:sz w:val="21"/>
                <w:szCs w:val="21"/>
              </w:rPr>
            </w:pPr>
            <w:r>
              <w:rPr>
                <w:sz w:val="21"/>
                <w:szCs w:val="21"/>
              </w:rPr>
              <w:t>达标</w:t>
            </w:r>
          </w:p>
        </w:tc>
        <w:tc>
          <w:tcPr>
            <w:tcW w:w="239"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Align w:val="center"/>
          </w:tcPr>
          <w:p>
            <w:pPr>
              <w:spacing w:line="240" w:lineRule="auto"/>
              <w:ind w:firstLine="0" w:firstLineChars="0"/>
              <w:jc w:val="center"/>
              <w:rPr>
                <w:sz w:val="21"/>
                <w:szCs w:val="21"/>
              </w:rPr>
            </w:pPr>
            <w:r>
              <w:rPr>
                <w:sz w:val="21"/>
                <w:szCs w:val="21"/>
              </w:rPr>
              <w:t>2</w:t>
            </w:r>
          </w:p>
        </w:tc>
        <w:tc>
          <w:tcPr>
            <w:tcW w:w="267" w:type="pct"/>
            <w:vAlign w:val="center"/>
          </w:tcPr>
          <w:p>
            <w:pPr>
              <w:spacing w:line="240" w:lineRule="auto"/>
              <w:ind w:firstLine="0" w:firstLineChars="0"/>
              <w:jc w:val="center"/>
              <w:rPr>
                <w:sz w:val="21"/>
                <w:szCs w:val="21"/>
              </w:rPr>
            </w:pPr>
            <w:r>
              <w:rPr>
                <w:sz w:val="21"/>
                <w:szCs w:val="21"/>
              </w:rPr>
              <w:t>南侧居民点</w:t>
            </w:r>
          </w:p>
        </w:tc>
        <w:tc>
          <w:tcPr>
            <w:tcW w:w="307" w:type="pct"/>
            <w:vAlign w:val="center"/>
          </w:tcPr>
          <w:p>
            <w:pPr>
              <w:spacing w:line="240" w:lineRule="auto"/>
              <w:ind w:firstLine="0" w:firstLineChars="0"/>
              <w:jc w:val="center"/>
              <w:rPr>
                <w:sz w:val="21"/>
                <w:szCs w:val="21"/>
              </w:rPr>
            </w:pPr>
            <w:r>
              <w:rPr>
                <w:sz w:val="21"/>
                <w:szCs w:val="21"/>
              </w:rPr>
              <w:t>51</w:t>
            </w:r>
          </w:p>
        </w:tc>
        <w:tc>
          <w:tcPr>
            <w:tcW w:w="293" w:type="pct"/>
            <w:vAlign w:val="center"/>
          </w:tcPr>
          <w:p>
            <w:pPr>
              <w:spacing w:line="240" w:lineRule="auto"/>
              <w:ind w:firstLine="0" w:firstLineChars="0"/>
              <w:jc w:val="center"/>
              <w:rPr>
                <w:sz w:val="21"/>
                <w:szCs w:val="21"/>
              </w:rPr>
            </w:pPr>
            <w:r>
              <w:rPr>
                <w:sz w:val="21"/>
                <w:szCs w:val="21"/>
              </w:rPr>
              <w:t>43</w:t>
            </w:r>
          </w:p>
        </w:tc>
        <w:tc>
          <w:tcPr>
            <w:tcW w:w="320" w:type="pct"/>
            <w:vAlign w:val="center"/>
          </w:tcPr>
          <w:p>
            <w:pPr>
              <w:spacing w:line="240" w:lineRule="auto"/>
              <w:ind w:firstLine="0" w:firstLineChars="0"/>
              <w:jc w:val="center"/>
              <w:rPr>
                <w:sz w:val="21"/>
                <w:szCs w:val="21"/>
              </w:rPr>
            </w:pPr>
            <w:r>
              <w:rPr>
                <w:sz w:val="21"/>
                <w:szCs w:val="21"/>
              </w:rPr>
              <w:t>51</w:t>
            </w:r>
          </w:p>
        </w:tc>
        <w:tc>
          <w:tcPr>
            <w:tcW w:w="324" w:type="pct"/>
            <w:vAlign w:val="center"/>
          </w:tcPr>
          <w:p>
            <w:pPr>
              <w:spacing w:line="240" w:lineRule="auto"/>
              <w:ind w:firstLine="0" w:firstLineChars="0"/>
              <w:jc w:val="center"/>
              <w:rPr>
                <w:sz w:val="21"/>
                <w:szCs w:val="21"/>
              </w:rPr>
            </w:pPr>
            <w:r>
              <w:rPr>
                <w:sz w:val="21"/>
                <w:szCs w:val="21"/>
              </w:rPr>
              <w:t>43</w:t>
            </w:r>
          </w:p>
        </w:tc>
        <w:tc>
          <w:tcPr>
            <w:tcW w:w="340" w:type="pct"/>
            <w:vAlign w:val="center"/>
          </w:tcPr>
          <w:p>
            <w:pPr>
              <w:spacing w:line="240" w:lineRule="auto"/>
              <w:ind w:firstLine="0" w:firstLineChars="0"/>
              <w:jc w:val="center"/>
              <w:rPr>
                <w:sz w:val="21"/>
                <w:szCs w:val="21"/>
              </w:rPr>
            </w:pPr>
            <w:r>
              <w:rPr>
                <w:sz w:val="21"/>
                <w:szCs w:val="21"/>
              </w:rPr>
              <w:t>60</w:t>
            </w:r>
          </w:p>
        </w:tc>
        <w:tc>
          <w:tcPr>
            <w:tcW w:w="285" w:type="pct"/>
            <w:vAlign w:val="center"/>
          </w:tcPr>
          <w:p>
            <w:pPr>
              <w:spacing w:line="240" w:lineRule="auto"/>
              <w:ind w:firstLine="0" w:firstLineChars="0"/>
              <w:jc w:val="center"/>
              <w:rPr>
                <w:sz w:val="21"/>
                <w:szCs w:val="21"/>
              </w:rPr>
            </w:pPr>
            <w:r>
              <w:rPr>
                <w:sz w:val="21"/>
                <w:szCs w:val="21"/>
              </w:rPr>
              <w:t>50</w:t>
            </w:r>
          </w:p>
        </w:tc>
        <w:tc>
          <w:tcPr>
            <w:tcW w:w="379" w:type="pct"/>
            <w:vAlign w:val="center"/>
          </w:tcPr>
          <w:p>
            <w:pPr>
              <w:spacing w:line="240" w:lineRule="auto"/>
              <w:ind w:firstLine="0" w:firstLineChars="0"/>
              <w:jc w:val="center"/>
              <w:rPr>
                <w:sz w:val="21"/>
                <w:szCs w:val="21"/>
              </w:rPr>
            </w:pPr>
            <w:r>
              <w:rPr>
                <w:sz w:val="21"/>
                <w:szCs w:val="21"/>
              </w:rPr>
              <w:t>41.5</w:t>
            </w:r>
          </w:p>
        </w:tc>
        <w:tc>
          <w:tcPr>
            <w:tcW w:w="358" w:type="pct"/>
            <w:vAlign w:val="center"/>
          </w:tcPr>
          <w:p>
            <w:pPr>
              <w:spacing w:line="240" w:lineRule="auto"/>
              <w:ind w:firstLine="0" w:firstLineChars="0"/>
              <w:jc w:val="center"/>
              <w:rPr>
                <w:sz w:val="21"/>
                <w:szCs w:val="21"/>
              </w:rPr>
            </w:pPr>
            <w:r>
              <w:rPr>
                <w:sz w:val="21"/>
                <w:szCs w:val="21"/>
              </w:rPr>
              <w:t>41.5</w:t>
            </w:r>
          </w:p>
        </w:tc>
        <w:tc>
          <w:tcPr>
            <w:tcW w:w="357" w:type="pct"/>
            <w:vAlign w:val="center"/>
          </w:tcPr>
          <w:p>
            <w:pPr>
              <w:spacing w:line="240" w:lineRule="auto"/>
              <w:ind w:firstLine="0" w:firstLineChars="0"/>
              <w:jc w:val="center"/>
              <w:rPr>
                <w:sz w:val="21"/>
                <w:szCs w:val="21"/>
              </w:rPr>
            </w:pPr>
            <w:r>
              <w:rPr>
                <w:sz w:val="21"/>
                <w:szCs w:val="21"/>
              </w:rPr>
              <w:t>51.5</w:t>
            </w:r>
          </w:p>
        </w:tc>
        <w:tc>
          <w:tcPr>
            <w:tcW w:w="358" w:type="pct"/>
            <w:vAlign w:val="center"/>
          </w:tcPr>
          <w:p>
            <w:pPr>
              <w:spacing w:line="240" w:lineRule="auto"/>
              <w:ind w:firstLine="0" w:firstLineChars="0"/>
              <w:jc w:val="center"/>
              <w:rPr>
                <w:sz w:val="21"/>
                <w:szCs w:val="21"/>
              </w:rPr>
            </w:pPr>
            <w:r>
              <w:rPr>
                <w:sz w:val="21"/>
                <w:szCs w:val="21"/>
              </w:rPr>
              <w:t>45.3</w:t>
            </w:r>
          </w:p>
        </w:tc>
        <w:tc>
          <w:tcPr>
            <w:tcW w:w="306" w:type="pct"/>
            <w:vAlign w:val="center"/>
          </w:tcPr>
          <w:p>
            <w:pPr>
              <w:spacing w:line="240" w:lineRule="auto"/>
              <w:ind w:firstLine="0" w:firstLineChars="0"/>
              <w:jc w:val="center"/>
              <w:rPr>
                <w:sz w:val="21"/>
                <w:szCs w:val="21"/>
              </w:rPr>
            </w:pPr>
            <w:r>
              <w:rPr>
                <w:sz w:val="21"/>
                <w:szCs w:val="21"/>
              </w:rPr>
              <w:t>0.5</w:t>
            </w:r>
          </w:p>
        </w:tc>
        <w:tc>
          <w:tcPr>
            <w:tcW w:w="306" w:type="pct"/>
            <w:vAlign w:val="center"/>
          </w:tcPr>
          <w:p>
            <w:pPr>
              <w:spacing w:line="240" w:lineRule="auto"/>
              <w:ind w:firstLine="0" w:firstLineChars="0"/>
              <w:jc w:val="center"/>
              <w:rPr>
                <w:sz w:val="21"/>
                <w:szCs w:val="21"/>
              </w:rPr>
            </w:pPr>
            <w:r>
              <w:rPr>
                <w:sz w:val="21"/>
                <w:szCs w:val="21"/>
              </w:rPr>
              <w:t>2.3</w:t>
            </w:r>
          </w:p>
        </w:tc>
        <w:tc>
          <w:tcPr>
            <w:tcW w:w="319" w:type="pct"/>
            <w:vAlign w:val="center"/>
          </w:tcPr>
          <w:p>
            <w:pPr>
              <w:spacing w:line="240" w:lineRule="auto"/>
              <w:ind w:firstLine="0" w:firstLineChars="0"/>
              <w:jc w:val="center"/>
              <w:rPr>
                <w:sz w:val="21"/>
                <w:szCs w:val="21"/>
              </w:rPr>
            </w:pPr>
            <w:r>
              <w:rPr>
                <w:sz w:val="21"/>
                <w:szCs w:val="21"/>
              </w:rPr>
              <w:t>达标</w:t>
            </w:r>
          </w:p>
        </w:tc>
        <w:tc>
          <w:tcPr>
            <w:tcW w:w="239"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Align w:val="center"/>
          </w:tcPr>
          <w:p>
            <w:pPr>
              <w:spacing w:line="240" w:lineRule="auto"/>
              <w:ind w:firstLine="0" w:firstLineChars="0"/>
              <w:jc w:val="center"/>
              <w:rPr>
                <w:sz w:val="21"/>
                <w:szCs w:val="21"/>
              </w:rPr>
            </w:pPr>
            <w:r>
              <w:rPr>
                <w:sz w:val="21"/>
                <w:szCs w:val="21"/>
              </w:rPr>
              <w:t>3</w:t>
            </w:r>
          </w:p>
        </w:tc>
        <w:tc>
          <w:tcPr>
            <w:tcW w:w="267" w:type="pct"/>
            <w:vAlign w:val="center"/>
          </w:tcPr>
          <w:p>
            <w:pPr>
              <w:spacing w:line="240" w:lineRule="auto"/>
              <w:ind w:firstLine="0" w:firstLineChars="0"/>
              <w:jc w:val="center"/>
              <w:rPr>
                <w:sz w:val="21"/>
                <w:szCs w:val="21"/>
              </w:rPr>
            </w:pPr>
            <w:r>
              <w:rPr>
                <w:sz w:val="21"/>
                <w:szCs w:val="21"/>
              </w:rPr>
              <w:t>东南侧居民点</w:t>
            </w:r>
          </w:p>
        </w:tc>
        <w:tc>
          <w:tcPr>
            <w:tcW w:w="307" w:type="pct"/>
            <w:vAlign w:val="center"/>
          </w:tcPr>
          <w:p>
            <w:pPr>
              <w:spacing w:line="240" w:lineRule="auto"/>
              <w:ind w:firstLine="0" w:firstLineChars="0"/>
              <w:jc w:val="center"/>
              <w:rPr>
                <w:sz w:val="21"/>
                <w:szCs w:val="21"/>
              </w:rPr>
            </w:pPr>
            <w:r>
              <w:rPr>
                <w:sz w:val="21"/>
                <w:szCs w:val="21"/>
              </w:rPr>
              <w:t>51</w:t>
            </w:r>
          </w:p>
        </w:tc>
        <w:tc>
          <w:tcPr>
            <w:tcW w:w="293" w:type="pct"/>
            <w:vAlign w:val="center"/>
          </w:tcPr>
          <w:p>
            <w:pPr>
              <w:spacing w:line="240" w:lineRule="auto"/>
              <w:ind w:firstLine="0" w:firstLineChars="0"/>
              <w:jc w:val="center"/>
              <w:rPr>
                <w:sz w:val="21"/>
                <w:szCs w:val="21"/>
              </w:rPr>
            </w:pPr>
            <w:r>
              <w:rPr>
                <w:sz w:val="21"/>
                <w:szCs w:val="21"/>
              </w:rPr>
              <w:t>43</w:t>
            </w:r>
          </w:p>
        </w:tc>
        <w:tc>
          <w:tcPr>
            <w:tcW w:w="320" w:type="pct"/>
            <w:vAlign w:val="center"/>
          </w:tcPr>
          <w:p>
            <w:pPr>
              <w:spacing w:line="240" w:lineRule="auto"/>
              <w:ind w:firstLine="0" w:firstLineChars="0"/>
              <w:jc w:val="center"/>
              <w:rPr>
                <w:sz w:val="21"/>
                <w:szCs w:val="21"/>
              </w:rPr>
            </w:pPr>
            <w:r>
              <w:rPr>
                <w:sz w:val="21"/>
                <w:szCs w:val="21"/>
              </w:rPr>
              <w:t>51</w:t>
            </w:r>
          </w:p>
        </w:tc>
        <w:tc>
          <w:tcPr>
            <w:tcW w:w="324" w:type="pct"/>
            <w:vAlign w:val="center"/>
          </w:tcPr>
          <w:p>
            <w:pPr>
              <w:spacing w:line="240" w:lineRule="auto"/>
              <w:ind w:firstLine="0" w:firstLineChars="0"/>
              <w:jc w:val="center"/>
              <w:rPr>
                <w:sz w:val="21"/>
                <w:szCs w:val="21"/>
              </w:rPr>
            </w:pPr>
            <w:r>
              <w:rPr>
                <w:sz w:val="21"/>
                <w:szCs w:val="21"/>
              </w:rPr>
              <w:t>43</w:t>
            </w:r>
          </w:p>
        </w:tc>
        <w:tc>
          <w:tcPr>
            <w:tcW w:w="340" w:type="pct"/>
            <w:vAlign w:val="center"/>
          </w:tcPr>
          <w:p>
            <w:pPr>
              <w:spacing w:line="240" w:lineRule="auto"/>
              <w:ind w:firstLine="0" w:firstLineChars="0"/>
              <w:jc w:val="center"/>
              <w:rPr>
                <w:sz w:val="21"/>
                <w:szCs w:val="21"/>
              </w:rPr>
            </w:pPr>
            <w:r>
              <w:rPr>
                <w:sz w:val="21"/>
                <w:szCs w:val="21"/>
              </w:rPr>
              <w:t>60</w:t>
            </w:r>
          </w:p>
        </w:tc>
        <w:tc>
          <w:tcPr>
            <w:tcW w:w="285" w:type="pct"/>
            <w:vAlign w:val="center"/>
          </w:tcPr>
          <w:p>
            <w:pPr>
              <w:spacing w:line="240" w:lineRule="auto"/>
              <w:ind w:firstLine="0" w:firstLineChars="0"/>
              <w:jc w:val="center"/>
              <w:rPr>
                <w:sz w:val="21"/>
                <w:szCs w:val="21"/>
              </w:rPr>
            </w:pPr>
            <w:r>
              <w:rPr>
                <w:sz w:val="21"/>
                <w:szCs w:val="21"/>
              </w:rPr>
              <w:t>50</w:t>
            </w:r>
          </w:p>
        </w:tc>
        <w:tc>
          <w:tcPr>
            <w:tcW w:w="379" w:type="pct"/>
            <w:vAlign w:val="center"/>
          </w:tcPr>
          <w:p>
            <w:pPr>
              <w:spacing w:line="240" w:lineRule="auto"/>
              <w:ind w:firstLine="0" w:firstLineChars="0"/>
              <w:jc w:val="center"/>
              <w:rPr>
                <w:sz w:val="21"/>
                <w:szCs w:val="21"/>
              </w:rPr>
            </w:pPr>
            <w:r>
              <w:rPr>
                <w:sz w:val="21"/>
                <w:szCs w:val="21"/>
              </w:rPr>
              <w:t>44.7</w:t>
            </w:r>
          </w:p>
        </w:tc>
        <w:tc>
          <w:tcPr>
            <w:tcW w:w="358" w:type="pct"/>
            <w:vAlign w:val="center"/>
          </w:tcPr>
          <w:p>
            <w:pPr>
              <w:spacing w:line="240" w:lineRule="auto"/>
              <w:ind w:firstLine="0" w:firstLineChars="0"/>
              <w:jc w:val="center"/>
              <w:rPr>
                <w:sz w:val="21"/>
                <w:szCs w:val="21"/>
              </w:rPr>
            </w:pPr>
            <w:r>
              <w:rPr>
                <w:sz w:val="21"/>
                <w:szCs w:val="21"/>
              </w:rPr>
              <w:t>44.7</w:t>
            </w:r>
          </w:p>
        </w:tc>
        <w:tc>
          <w:tcPr>
            <w:tcW w:w="357" w:type="pct"/>
            <w:vAlign w:val="center"/>
          </w:tcPr>
          <w:p>
            <w:pPr>
              <w:spacing w:line="240" w:lineRule="auto"/>
              <w:ind w:firstLine="0" w:firstLineChars="0"/>
              <w:jc w:val="center"/>
              <w:rPr>
                <w:sz w:val="21"/>
                <w:szCs w:val="21"/>
              </w:rPr>
            </w:pPr>
            <w:r>
              <w:rPr>
                <w:sz w:val="21"/>
                <w:szCs w:val="21"/>
              </w:rPr>
              <w:t>51.9</w:t>
            </w:r>
          </w:p>
        </w:tc>
        <w:tc>
          <w:tcPr>
            <w:tcW w:w="358" w:type="pct"/>
            <w:vAlign w:val="center"/>
          </w:tcPr>
          <w:p>
            <w:pPr>
              <w:spacing w:line="240" w:lineRule="auto"/>
              <w:ind w:firstLine="0" w:firstLineChars="0"/>
              <w:jc w:val="center"/>
              <w:rPr>
                <w:sz w:val="21"/>
                <w:szCs w:val="21"/>
              </w:rPr>
            </w:pPr>
            <w:r>
              <w:rPr>
                <w:sz w:val="21"/>
                <w:szCs w:val="21"/>
              </w:rPr>
              <w:t>46.9</w:t>
            </w:r>
          </w:p>
        </w:tc>
        <w:tc>
          <w:tcPr>
            <w:tcW w:w="306" w:type="pct"/>
            <w:vAlign w:val="center"/>
          </w:tcPr>
          <w:p>
            <w:pPr>
              <w:spacing w:line="240" w:lineRule="auto"/>
              <w:ind w:firstLine="0" w:firstLineChars="0"/>
              <w:jc w:val="center"/>
              <w:rPr>
                <w:sz w:val="21"/>
                <w:szCs w:val="21"/>
              </w:rPr>
            </w:pPr>
            <w:r>
              <w:rPr>
                <w:sz w:val="21"/>
                <w:szCs w:val="21"/>
              </w:rPr>
              <w:t>0.9</w:t>
            </w:r>
          </w:p>
        </w:tc>
        <w:tc>
          <w:tcPr>
            <w:tcW w:w="306" w:type="pct"/>
            <w:vAlign w:val="center"/>
          </w:tcPr>
          <w:p>
            <w:pPr>
              <w:spacing w:line="240" w:lineRule="auto"/>
              <w:ind w:firstLine="0" w:firstLineChars="0"/>
              <w:jc w:val="center"/>
              <w:rPr>
                <w:sz w:val="21"/>
                <w:szCs w:val="21"/>
              </w:rPr>
            </w:pPr>
            <w:r>
              <w:rPr>
                <w:sz w:val="21"/>
                <w:szCs w:val="21"/>
              </w:rPr>
              <w:t>3.9</w:t>
            </w:r>
          </w:p>
        </w:tc>
        <w:tc>
          <w:tcPr>
            <w:tcW w:w="319" w:type="pct"/>
            <w:vAlign w:val="center"/>
          </w:tcPr>
          <w:p>
            <w:pPr>
              <w:spacing w:line="240" w:lineRule="auto"/>
              <w:ind w:firstLine="0" w:firstLineChars="0"/>
              <w:jc w:val="center"/>
              <w:rPr>
                <w:sz w:val="21"/>
                <w:szCs w:val="21"/>
              </w:rPr>
            </w:pPr>
            <w:r>
              <w:rPr>
                <w:sz w:val="21"/>
                <w:szCs w:val="21"/>
              </w:rPr>
              <w:t>达标</w:t>
            </w:r>
          </w:p>
        </w:tc>
        <w:tc>
          <w:tcPr>
            <w:tcW w:w="239"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Align w:val="center"/>
          </w:tcPr>
          <w:p>
            <w:pPr>
              <w:spacing w:line="240" w:lineRule="auto"/>
              <w:ind w:firstLine="0" w:firstLineChars="0"/>
              <w:jc w:val="center"/>
              <w:rPr>
                <w:sz w:val="21"/>
                <w:szCs w:val="21"/>
              </w:rPr>
            </w:pPr>
            <w:r>
              <w:rPr>
                <w:sz w:val="21"/>
                <w:szCs w:val="21"/>
              </w:rPr>
              <w:t>4</w:t>
            </w:r>
          </w:p>
        </w:tc>
        <w:tc>
          <w:tcPr>
            <w:tcW w:w="267" w:type="pct"/>
            <w:vAlign w:val="center"/>
          </w:tcPr>
          <w:p>
            <w:pPr>
              <w:spacing w:line="240" w:lineRule="auto"/>
              <w:ind w:firstLine="0" w:firstLineChars="0"/>
              <w:jc w:val="center"/>
              <w:rPr>
                <w:sz w:val="21"/>
                <w:szCs w:val="21"/>
              </w:rPr>
            </w:pPr>
            <w:r>
              <w:rPr>
                <w:sz w:val="21"/>
                <w:szCs w:val="21"/>
              </w:rPr>
              <w:t>东北侧居民点</w:t>
            </w:r>
          </w:p>
        </w:tc>
        <w:tc>
          <w:tcPr>
            <w:tcW w:w="307" w:type="pct"/>
            <w:vAlign w:val="center"/>
          </w:tcPr>
          <w:p>
            <w:pPr>
              <w:spacing w:line="240" w:lineRule="auto"/>
              <w:ind w:firstLine="0" w:firstLineChars="0"/>
              <w:jc w:val="center"/>
              <w:rPr>
                <w:sz w:val="21"/>
                <w:szCs w:val="21"/>
              </w:rPr>
            </w:pPr>
            <w:r>
              <w:rPr>
                <w:sz w:val="21"/>
                <w:szCs w:val="21"/>
              </w:rPr>
              <w:t>51</w:t>
            </w:r>
          </w:p>
        </w:tc>
        <w:tc>
          <w:tcPr>
            <w:tcW w:w="293" w:type="pct"/>
            <w:vAlign w:val="center"/>
          </w:tcPr>
          <w:p>
            <w:pPr>
              <w:spacing w:line="240" w:lineRule="auto"/>
              <w:ind w:firstLine="0" w:firstLineChars="0"/>
              <w:jc w:val="center"/>
              <w:rPr>
                <w:sz w:val="21"/>
                <w:szCs w:val="21"/>
              </w:rPr>
            </w:pPr>
            <w:r>
              <w:rPr>
                <w:sz w:val="21"/>
                <w:szCs w:val="21"/>
              </w:rPr>
              <w:t>43</w:t>
            </w:r>
          </w:p>
        </w:tc>
        <w:tc>
          <w:tcPr>
            <w:tcW w:w="320" w:type="pct"/>
            <w:vAlign w:val="center"/>
          </w:tcPr>
          <w:p>
            <w:pPr>
              <w:spacing w:line="240" w:lineRule="auto"/>
              <w:ind w:firstLine="0" w:firstLineChars="0"/>
              <w:jc w:val="center"/>
              <w:rPr>
                <w:sz w:val="21"/>
                <w:szCs w:val="21"/>
              </w:rPr>
            </w:pPr>
            <w:r>
              <w:rPr>
                <w:sz w:val="21"/>
                <w:szCs w:val="21"/>
              </w:rPr>
              <w:t>51</w:t>
            </w:r>
          </w:p>
        </w:tc>
        <w:tc>
          <w:tcPr>
            <w:tcW w:w="324" w:type="pct"/>
            <w:vAlign w:val="center"/>
          </w:tcPr>
          <w:p>
            <w:pPr>
              <w:spacing w:line="240" w:lineRule="auto"/>
              <w:ind w:firstLine="0" w:firstLineChars="0"/>
              <w:jc w:val="center"/>
              <w:rPr>
                <w:sz w:val="21"/>
                <w:szCs w:val="21"/>
              </w:rPr>
            </w:pPr>
            <w:r>
              <w:rPr>
                <w:sz w:val="21"/>
                <w:szCs w:val="21"/>
              </w:rPr>
              <w:t>43</w:t>
            </w:r>
          </w:p>
        </w:tc>
        <w:tc>
          <w:tcPr>
            <w:tcW w:w="340" w:type="pct"/>
            <w:vAlign w:val="center"/>
          </w:tcPr>
          <w:p>
            <w:pPr>
              <w:spacing w:line="240" w:lineRule="auto"/>
              <w:ind w:firstLine="0" w:firstLineChars="0"/>
              <w:jc w:val="center"/>
              <w:rPr>
                <w:sz w:val="21"/>
                <w:szCs w:val="21"/>
              </w:rPr>
            </w:pPr>
            <w:r>
              <w:rPr>
                <w:sz w:val="21"/>
                <w:szCs w:val="21"/>
              </w:rPr>
              <w:t>60</w:t>
            </w:r>
          </w:p>
        </w:tc>
        <w:tc>
          <w:tcPr>
            <w:tcW w:w="285" w:type="pct"/>
            <w:vAlign w:val="center"/>
          </w:tcPr>
          <w:p>
            <w:pPr>
              <w:spacing w:line="240" w:lineRule="auto"/>
              <w:ind w:firstLine="0" w:firstLineChars="0"/>
              <w:jc w:val="center"/>
              <w:rPr>
                <w:sz w:val="21"/>
                <w:szCs w:val="21"/>
              </w:rPr>
            </w:pPr>
            <w:r>
              <w:rPr>
                <w:sz w:val="21"/>
                <w:szCs w:val="21"/>
              </w:rPr>
              <w:t>50</w:t>
            </w:r>
          </w:p>
        </w:tc>
        <w:tc>
          <w:tcPr>
            <w:tcW w:w="379" w:type="pct"/>
            <w:vAlign w:val="center"/>
          </w:tcPr>
          <w:p>
            <w:pPr>
              <w:spacing w:line="240" w:lineRule="auto"/>
              <w:ind w:firstLine="0" w:firstLineChars="0"/>
              <w:jc w:val="center"/>
              <w:rPr>
                <w:sz w:val="21"/>
                <w:szCs w:val="21"/>
              </w:rPr>
            </w:pPr>
            <w:r>
              <w:rPr>
                <w:sz w:val="21"/>
                <w:szCs w:val="21"/>
              </w:rPr>
              <w:t>47.2</w:t>
            </w:r>
          </w:p>
        </w:tc>
        <w:tc>
          <w:tcPr>
            <w:tcW w:w="358" w:type="pct"/>
            <w:vAlign w:val="center"/>
          </w:tcPr>
          <w:p>
            <w:pPr>
              <w:spacing w:line="240" w:lineRule="auto"/>
              <w:ind w:firstLine="0" w:firstLineChars="0"/>
              <w:jc w:val="center"/>
              <w:rPr>
                <w:sz w:val="21"/>
                <w:szCs w:val="21"/>
              </w:rPr>
            </w:pPr>
            <w:r>
              <w:rPr>
                <w:sz w:val="21"/>
                <w:szCs w:val="21"/>
              </w:rPr>
              <w:t>47.2</w:t>
            </w:r>
          </w:p>
        </w:tc>
        <w:tc>
          <w:tcPr>
            <w:tcW w:w="357" w:type="pct"/>
            <w:vAlign w:val="center"/>
          </w:tcPr>
          <w:p>
            <w:pPr>
              <w:spacing w:line="240" w:lineRule="auto"/>
              <w:ind w:firstLine="0" w:firstLineChars="0"/>
              <w:jc w:val="center"/>
              <w:rPr>
                <w:sz w:val="21"/>
                <w:szCs w:val="21"/>
              </w:rPr>
            </w:pPr>
            <w:r>
              <w:rPr>
                <w:sz w:val="21"/>
                <w:szCs w:val="21"/>
              </w:rPr>
              <w:t>52.5</w:t>
            </w:r>
          </w:p>
        </w:tc>
        <w:tc>
          <w:tcPr>
            <w:tcW w:w="358" w:type="pct"/>
            <w:vAlign w:val="center"/>
          </w:tcPr>
          <w:p>
            <w:pPr>
              <w:spacing w:line="240" w:lineRule="auto"/>
              <w:ind w:firstLine="0" w:firstLineChars="0"/>
              <w:jc w:val="center"/>
              <w:rPr>
                <w:sz w:val="21"/>
                <w:szCs w:val="21"/>
              </w:rPr>
            </w:pPr>
            <w:r>
              <w:rPr>
                <w:sz w:val="21"/>
                <w:szCs w:val="21"/>
              </w:rPr>
              <w:t>48.6</w:t>
            </w:r>
          </w:p>
        </w:tc>
        <w:tc>
          <w:tcPr>
            <w:tcW w:w="306" w:type="pct"/>
            <w:vAlign w:val="center"/>
          </w:tcPr>
          <w:p>
            <w:pPr>
              <w:spacing w:line="240" w:lineRule="auto"/>
              <w:ind w:firstLine="0" w:firstLineChars="0"/>
              <w:jc w:val="center"/>
              <w:rPr>
                <w:sz w:val="21"/>
                <w:szCs w:val="21"/>
              </w:rPr>
            </w:pPr>
            <w:r>
              <w:rPr>
                <w:sz w:val="21"/>
                <w:szCs w:val="21"/>
              </w:rPr>
              <w:t>1.5</w:t>
            </w:r>
          </w:p>
        </w:tc>
        <w:tc>
          <w:tcPr>
            <w:tcW w:w="306" w:type="pct"/>
            <w:vAlign w:val="center"/>
          </w:tcPr>
          <w:p>
            <w:pPr>
              <w:spacing w:line="240" w:lineRule="auto"/>
              <w:ind w:firstLine="0" w:firstLineChars="0"/>
              <w:jc w:val="center"/>
              <w:rPr>
                <w:sz w:val="21"/>
                <w:szCs w:val="21"/>
              </w:rPr>
            </w:pPr>
            <w:r>
              <w:rPr>
                <w:sz w:val="21"/>
                <w:szCs w:val="21"/>
              </w:rPr>
              <w:t>5.6</w:t>
            </w:r>
          </w:p>
        </w:tc>
        <w:tc>
          <w:tcPr>
            <w:tcW w:w="319" w:type="pct"/>
            <w:vAlign w:val="center"/>
          </w:tcPr>
          <w:p>
            <w:pPr>
              <w:spacing w:line="240" w:lineRule="auto"/>
              <w:ind w:firstLine="0" w:firstLineChars="0"/>
              <w:jc w:val="center"/>
              <w:rPr>
                <w:sz w:val="21"/>
                <w:szCs w:val="21"/>
              </w:rPr>
            </w:pPr>
            <w:r>
              <w:rPr>
                <w:sz w:val="21"/>
                <w:szCs w:val="21"/>
              </w:rPr>
              <w:t>达标</w:t>
            </w:r>
          </w:p>
        </w:tc>
        <w:tc>
          <w:tcPr>
            <w:tcW w:w="239" w:type="pct"/>
            <w:vAlign w:val="center"/>
          </w:tcPr>
          <w:p>
            <w:pPr>
              <w:spacing w:line="240" w:lineRule="auto"/>
              <w:ind w:firstLine="0" w:firstLineChars="0"/>
              <w:jc w:val="center"/>
              <w:rPr>
                <w:sz w:val="21"/>
                <w:szCs w:val="21"/>
              </w:rPr>
            </w:pPr>
            <w:r>
              <w:rPr>
                <w:sz w:val="21"/>
                <w:szCs w:val="21"/>
              </w:rPr>
              <w:t>达标</w:t>
            </w:r>
          </w:p>
        </w:tc>
      </w:tr>
    </w:tbl>
    <w:p>
      <w:pPr>
        <w:ind w:firstLine="0" w:firstLineChars="0"/>
        <w:rPr>
          <w:sz w:val="24"/>
        </w:rPr>
      </w:pPr>
      <w:r>
        <w:rPr>
          <w:sz w:val="24"/>
        </w:rPr>
        <w:t>注：以3拐点为（0，0，0）点。</w:t>
      </w:r>
    </w:p>
    <w:p>
      <w:pPr>
        <w:ind w:firstLine="0" w:firstLineChars="0"/>
        <w:rPr>
          <w:sz w:val="24"/>
        </w:rPr>
      </w:pPr>
    </w:p>
    <w:p>
      <w:pPr>
        <w:ind w:firstLine="0" w:firstLineChars="0"/>
        <w:rPr>
          <w:sz w:val="24"/>
        </w:rPr>
      </w:pPr>
    </w:p>
    <w:p>
      <w:pPr>
        <w:ind w:firstLine="0" w:firstLineChars="0"/>
        <w:rPr>
          <w:sz w:val="24"/>
        </w:rPr>
        <w:sectPr>
          <w:pgSz w:w="16840" w:h="11907" w:orient="landscape"/>
          <w:pgMar w:top="1418" w:right="1588" w:bottom="1418" w:left="1366" w:header="851" w:footer="992" w:gutter="0"/>
          <w:cols w:space="425" w:num="1"/>
          <w:docGrid w:linePitch="354" w:charSpace="0"/>
        </w:sectPr>
      </w:pPr>
    </w:p>
    <w:p>
      <w:pPr>
        <w:ind w:firstLine="0" w:firstLineChars="0"/>
        <w:rPr>
          <w:sz w:val="24"/>
        </w:rPr>
      </w:pPr>
    </w:p>
    <w:p>
      <w:pPr>
        <w:ind w:firstLine="0" w:firstLineChars="0"/>
        <w:jc w:val="center"/>
        <w:rPr>
          <w:sz w:val="24"/>
        </w:rPr>
      </w:pPr>
      <w:r>
        <w:rPr>
          <w:sz w:val="24"/>
        </w:rPr>
        <w:t>图6-10  噪声预测结果图</w:t>
      </w:r>
      <w:r>
        <w:rPr>
          <w:sz w:val="24"/>
        </w:rPr>
        <w:drawing>
          <wp:anchor distT="0" distB="0" distL="114300" distR="114300" simplePos="0" relativeHeight="251400192" behindDoc="0" locked="0" layoutInCell="1" allowOverlap="1">
            <wp:simplePos x="0" y="0"/>
            <wp:positionH relativeFrom="column">
              <wp:posOffset>3175</wp:posOffset>
            </wp:positionH>
            <wp:positionV relativeFrom="paragraph">
              <wp:posOffset>1270</wp:posOffset>
            </wp:positionV>
            <wp:extent cx="5730875" cy="4897120"/>
            <wp:effectExtent l="0" t="0" r="0" b="0"/>
            <wp:wrapTopAndBottom/>
            <wp:docPr id="1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true" noChangeArrowheads="true"/>
                    </pic:cNvPicPr>
                  </pic:nvPicPr>
                  <pic:blipFill>
                    <a:blip r:embed="rId99">
                      <a:extLst>
                        <a:ext uri="{28A0092B-C50C-407E-A947-70E740481C1C}">
                          <a14:useLocalDpi xmlns:a14="http://schemas.microsoft.com/office/drawing/2010/main" val="false"/>
                        </a:ext>
                      </a:extLst>
                    </a:blip>
                    <a:srcRect/>
                    <a:stretch>
                      <a:fillRect/>
                    </a:stretch>
                  </pic:blipFill>
                  <pic:spPr>
                    <a:xfrm>
                      <a:off x="0" y="0"/>
                      <a:ext cx="5730875" cy="4897120"/>
                    </a:xfrm>
                    <a:prstGeom prst="rect">
                      <a:avLst/>
                    </a:prstGeom>
                    <a:noFill/>
                  </pic:spPr>
                </pic:pic>
              </a:graphicData>
            </a:graphic>
          </wp:anchor>
        </w:drawing>
      </w:r>
    </w:p>
    <w:p>
      <w:pPr>
        <w:pStyle w:val="300"/>
      </w:pPr>
      <w:r>
        <w:t>由上表预测结果可知，开采区四周厂界噪声满足《工业企业厂界环境噪声排放标准》（GB12348-2008）中2类标准。200m范围内1处声环境保护目标噪声预测结果</w:t>
      </w:r>
      <w:r>
        <w:rPr>
          <w:szCs w:val="26"/>
        </w:rPr>
        <w:t>满足《声环境质量标准》（GB3096-2008）2类标准</w:t>
      </w:r>
      <w:r>
        <w:t>要求。对矿界及敏感点环境噪声影响较小，本评价要求尽量控制矿区边界作业时间和强度，按照开采方案进行，禁止越界开采，将切割机尽可能安放于矿区中部并进行减振处理，充分依托矿区内自然山体的阻挡，尽可能的减少对敏感点的影响，避免出现噪声扰民现象。</w:t>
      </w:r>
    </w:p>
    <w:p>
      <w:pPr>
        <w:pStyle w:val="300"/>
      </w:pPr>
      <w:r>
        <w:t>综上，本项目对周边声环境影响很小。</w:t>
      </w:r>
    </w:p>
    <w:p>
      <w:pPr>
        <w:pStyle w:val="222"/>
      </w:pPr>
      <w:r>
        <w:t>（2）工业场地噪声预测结果</w:t>
      </w:r>
    </w:p>
    <w:p>
      <w:pPr>
        <w:pStyle w:val="222"/>
      </w:pPr>
      <w:r>
        <w:t>工业场地内噪声源主要是破碎、筛分等设备，布置于密闭的车间内，同时通过对设备进行基础减振后，可降噪约5~15dB（A）。工业场地内噪声预测结果具体见下表。</w:t>
      </w:r>
    </w:p>
    <w:p>
      <w:pPr>
        <w:pStyle w:val="84"/>
      </w:pPr>
      <w:r>
        <w:t>表6.2-27   厂界噪声噪声预测结果与达标分析</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1597"/>
        <w:gridCol w:w="1135"/>
        <w:gridCol w:w="1135"/>
        <w:gridCol w:w="1128"/>
        <w:gridCol w:w="1131"/>
        <w:gridCol w:w="1138"/>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66" w:type="dxa"/>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1597" w:type="dxa"/>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名称</w:t>
            </w:r>
          </w:p>
        </w:tc>
        <w:tc>
          <w:tcPr>
            <w:tcW w:w="3398" w:type="dxa"/>
            <w:gridSpan w:val="3"/>
            <w:shd w:val="clear" w:color="auto" w:fill="D8D8D8" w:themeFill="background1" w:themeFillShade="D9"/>
            <w:vAlign w:val="center"/>
          </w:tcPr>
          <w:p>
            <w:pPr>
              <w:spacing w:line="240" w:lineRule="auto"/>
              <w:ind w:firstLine="0" w:firstLineChars="0"/>
              <w:jc w:val="center"/>
              <w:rPr>
                <w:b/>
                <w:sz w:val="21"/>
                <w:szCs w:val="21"/>
              </w:rPr>
            </w:pPr>
            <w:r>
              <w:rPr>
                <w:b/>
                <w:bCs/>
                <w:sz w:val="21"/>
                <w:szCs w:val="21"/>
              </w:rPr>
              <w:t>最大值点空间相对位置/m</w:t>
            </w:r>
          </w:p>
        </w:tc>
        <w:tc>
          <w:tcPr>
            <w:tcW w:w="2269" w:type="dxa"/>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1131" w:type="dxa"/>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4" w:hRule="atLeast"/>
          <w:jc w:val="center"/>
        </w:trPr>
        <w:tc>
          <w:tcPr>
            <w:tcW w:w="666" w:type="dxa"/>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1597" w:type="dxa"/>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1135"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X</w:t>
            </w:r>
          </w:p>
        </w:tc>
        <w:tc>
          <w:tcPr>
            <w:tcW w:w="1135"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Y</w:t>
            </w:r>
          </w:p>
        </w:tc>
        <w:tc>
          <w:tcPr>
            <w:tcW w:w="1128"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Z</w:t>
            </w:r>
          </w:p>
        </w:tc>
        <w:tc>
          <w:tcPr>
            <w:tcW w:w="1131"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标准值</w:t>
            </w:r>
          </w:p>
        </w:tc>
        <w:tc>
          <w:tcPr>
            <w:tcW w:w="1138" w:type="dxa"/>
            <w:shd w:val="clear" w:color="auto" w:fill="D8D8D8" w:themeFill="background1" w:themeFillShade="D9"/>
            <w:vAlign w:val="center"/>
          </w:tcPr>
          <w:p>
            <w:pPr>
              <w:spacing w:line="240" w:lineRule="auto"/>
              <w:ind w:firstLine="0" w:firstLineChars="0"/>
              <w:jc w:val="center"/>
              <w:rPr>
                <w:b/>
                <w:sz w:val="21"/>
                <w:szCs w:val="21"/>
              </w:rPr>
            </w:pPr>
            <w:r>
              <w:rPr>
                <w:b/>
                <w:sz w:val="21"/>
                <w:szCs w:val="21"/>
              </w:rPr>
              <w:t>贡献值</w:t>
            </w:r>
          </w:p>
        </w:tc>
        <w:tc>
          <w:tcPr>
            <w:tcW w:w="1131" w:type="dxa"/>
            <w:vMerge w:val="continue"/>
            <w:shd w:val="clear" w:color="auto" w:fill="D8D8D8" w:themeFill="background1" w:themeFillShade="D9"/>
            <w:vAlign w:val="center"/>
          </w:tcPr>
          <w:p>
            <w:pPr>
              <w:spacing w:line="240" w:lineRule="auto"/>
              <w:ind w:firstLine="0" w:firstLineChars="0"/>
              <w:jc w:val="center"/>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dxa"/>
            <w:vAlign w:val="center"/>
          </w:tcPr>
          <w:p>
            <w:pPr>
              <w:spacing w:line="240" w:lineRule="auto"/>
              <w:ind w:firstLine="0" w:firstLineChars="0"/>
              <w:rPr>
                <w:sz w:val="21"/>
                <w:szCs w:val="21"/>
              </w:rPr>
            </w:pPr>
            <w:r>
              <w:rPr>
                <w:sz w:val="21"/>
                <w:szCs w:val="21"/>
              </w:rPr>
              <w:t>1</w:t>
            </w:r>
          </w:p>
        </w:tc>
        <w:tc>
          <w:tcPr>
            <w:tcW w:w="1597" w:type="dxa"/>
            <w:vAlign w:val="center"/>
          </w:tcPr>
          <w:p>
            <w:pPr>
              <w:spacing w:line="240" w:lineRule="auto"/>
              <w:ind w:firstLine="0" w:firstLineChars="0"/>
              <w:jc w:val="center"/>
              <w:rPr>
                <w:sz w:val="21"/>
                <w:szCs w:val="21"/>
              </w:rPr>
            </w:pPr>
            <w:r>
              <w:rPr>
                <w:sz w:val="21"/>
                <w:szCs w:val="21"/>
              </w:rPr>
              <w:t>东侧</w:t>
            </w:r>
          </w:p>
        </w:tc>
        <w:tc>
          <w:tcPr>
            <w:tcW w:w="1135" w:type="dxa"/>
            <w:vAlign w:val="center"/>
          </w:tcPr>
          <w:p>
            <w:pPr>
              <w:spacing w:line="240" w:lineRule="auto"/>
              <w:ind w:firstLine="0" w:firstLineChars="0"/>
              <w:jc w:val="center"/>
              <w:rPr>
                <w:sz w:val="21"/>
                <w:szCs w:val="21"/>
              </w:rPr>
            </w:pPr>
            <w:r>
              <w:rPr>
                <w:sz w:val="21"/>
                <w:szCs w:val="21"/>
              </w:rPr>
              <w:t>143</w:t>
            </w:r>
          </w:p>
        </w:tc>
        <w:tc>
          <w:tcPr>
            <w:tcW w:w="1135" w:type="dxa"/>
            <w:vAlign w:val="center"/>
          </w:tcPr>
          <w:p>
            <w:pPr>
              <w:spacing w:line="240" w:lineRule="auto"/>
              <w:ind w:firstLine="0" w:firstLineChars="0"/>
              <w:jc w:val="center"/>
              <w:rPr>
                <w:sz w:val="21"/>
                <w:szCs w:val="21"/>
              </w:rPr>
            </w:pPr>
            <w:r>
              <w:rPr>
                <w:sz w:val="21"/>
                <w:szCs w:val="21"/>
              </w:rPr>
              <w:t>110</w:t>
            </w:r>
          </w:p>
        </w:tc>
        <w:tc>
          <w:tcPr>
            <w:tcW w:w="1128" w:type="dxa"/>
            <w:vAlign w:val="center"/>
          </w:tcPr>
          <w:p>
            <w:pPr>
              <w:spacing w:line="240" w:lineRule="auto"/>
              <w:ind w:firstLine="0" w:firstLineChars="0"/>
              <w:jc w:val="center"/>
              <w:rPr>
                <w:sz w:val="21"/>
                <w:szCs w:val="21"/>
              </w:rPr>
            </w:pPr>
            <w:r>
              <w:rPr>
                <w:sz w:val="21"/>
                <w:szCs w:val="21"/>
              </w:rPr>
              <w:t>0</w:t>
            </w:r>
          </w:p>
        </w:tc>
        <w:tc>
          <w:tcPr>
            <w:tcW w:w="1131" w:type="dxa"/>
            <w:vAlign w:val="center"/>
          </w:tcPr>
          <w:p>
            <w:pPr>
              <w:spacing w:line="240" w:lineRule="auto"/>
              <w:ind w:firstLine="0" w:firstLineChars="0"/>
              <w:jc w:val="center"/>
              <w:rPr>
                <w:sz w:val="21"/>
                <w:szCs w:val="21"/>
              </w:rPr>
            </w:pPr>
            <w:r>
              <w:rPr>
                <w:sz w:val="21"/>
                <w:szCs w:val="21"/>
              </w:rPr>
              <w:t>60</w:t>
            </w:r>
          </w:p>
        </w:tc>
        <w:tc>
          <w:tcPr>
            <w:tcW w:w="1138" w:type="dxa"/>
            <w:vAlign w:val="center"/>
          </w:tcPr>
          <w:p>
            <w:pPr>
              <w:spacing w:line="240" w:lineRule="auto"/>
              <w:ind w:firstLine="0" w:firstLineChars="0"/>
              <w:rPr>
                <w:sz w:val="21"/>
                <w:szCs w:val="21"/>
              </w:rPr>
            </w:pPr>
            <w:r>
              <w:rPr>
                <w:sz w:val="21"/>
                <w:szCs w:val="21"/>
              </w:rPr>
              <w:t>50.7</w:t>
            </w:r>
          </w:p>
        </w:tc>
        <w:tc>
          <w:tcPr>
            <w:tcW w:w="1131" w:type="dxa"/>
            <w:vAlign w:val="center"/>
          </w:tcPr>
          <w:p>
            <w:pPr>
              <w:spacing w:line="240" w:lineRule="auto"/>
              <w:ind w:firstLine="0" w:firstLineChars="0"/>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dxa"/>
            <w:vAlign w:val="center"/>
          </w:tcPr>
          <w:p>
            <w:pPr>
              <w:spacing w:line="240" w:lineRule="auto"/>
              <w:ind w:firstLine="0" w:firstLineChars="0"/>
              <w:rPr>
                <w:sz w:val="21"/>
                <w:szCs w:val="21"/>
              </w:rPr>
            </w:pPr>
            <w:r>
              <w:rPr>
                <w:sz w:val="21"/>
                <w:szCs w:val="21"/>
              </w:rPr>
              <w:t>2</w:t>
            </w:r>
          </w:p>
        </w:tc>
        <w:tc>
          <w:tcPr>
            <w:tcW w:w="1597" w:type="dxa"/>
            <w:vAlign w:val="center"/>
          </w:tcPr>
          <w:p>
            <w:pPr>
              <w:spacing w:line="240" w:lineRule="auto"/>
              <w:ind w:firstLine="0" w:firstLineChars="0"/>
              <w:jc w:val="center"/>
              <w:rPr>
                <w:sz w:val="21"/>
                <w:szCs w:val="21"/>
              </w:rPr>
            </w:pPr>
            <w:r>
              <w:rPr>
                <w:sz w:val="21"/>
                <w:szCs w:val="21"/>
              </w:rPr>
              <w:t>南侧</w:t>
            </w:r>
          </w:p>
        </w:tc>
        <w:tc>
          <w:tcPr>
            <w:tcW w:w="1135" w:type="dxa"/>
            <w:vAlign w:val="center"/>
          </w:tcPr>
          <w:p>
            <w:pPr>
              <w:spacing w:line="240" w:lineRule="auto"/>
              <w:ind w:firstLine="0" w:firstLineChars="0"/>
              <w:jc w:val="center"/>
              <w:rPr>
                <w:sz w:val="21"/>
                <w:szCs w:val="21"/>
              </w:rPr>
            </w:pPr>
            <w:r>
              <w:rPr>
                <w:sz w:val="21"/>
                <w:szCs w:val="21"/>
              </w:rPr>
              <w:t>81</w:t>
            </w:r>
          </w:p>
        </w:tc>
        <w:tc>
          <w:tcPr>
            <w:tcW w:w="1135" w:type="dxa"/>
            <w:vAlign w:val="center"/>
          </w:tcPr>
          <w:p>
            <w:pPr>
              <w:spacing w:line="240" w:lineRule="auto"/>
              <w:ind w:firstLine="0" w:firstLineChars="0"/>
              <w:jc w:val="center"/>
              <w:rPr>
                <w:sz w:val="21"/>
                <w:szCs w:val="21"/>
              </w:rPr>
            </w:pPr>
            <w:r>
              <w:rPr>
                <w:sz w:val="21"/>
                <w:szCs w:val="21"/>
              </w:rPr>
              <w:t>32</w:t>
            </w:r>
          </w:p>
        </w:tc>
        <w:tc>
          <w:tcPr>
            <w:tcW w:w="1128" w:type="dxa"/>
            <w:vAlign w:val="center"/>
          </w:tcPr>
          <w:p>
            <w:pPr>
              <w:spacing w:line="240" w:lineRule="auto"/>
              <w:ind w:firstLine="0" w:firstLineChars="0"/>
              <w:jc w:val="center"/>
              <w:rPr>
                <w:sz w:val="21"/>
                <w:szCs w:val="21"/>
              </w:rPr>
            </w:pPr>
            <w:r>
              <w:rPr>
                <w:sz w:val="21"/>
                <w:szCs w:val="21"/>
              </w:rPr>
              <w:t>0</w:t>
            </w:r>
          </w:p>
        </w:tc>
        <w:tc>
          <w:tcPr>
            <w:tcW w:w="1131" w:type="dxa"/>
            <w:vAlign w:val="center"/>
          </w:tcPr>
          <w:p>
            <w:pPr>
              <w:spacing w:line="240" w:lineRule="auto"/>
              <w:ind w:firstLine="0" w:firstLineChars="0"/>
              <w:jc w:val="center"/>
              <w:rPr>
                <w:sz w:val="21"/>
                <w:szCs w:val="21"/>
              </w:rPr>
            </w:pPr>
            <w:r>
              <w:rPr>
                <w:sz w:val="21"/>
                <w:szCs w:val="21"/>
              </w:rPr>
              <w:t>60</w:t>
            </w:r>
          </w:p>
        </w:tc>
        <w:tc>
          <w:tcPr>
            <w:tcW w:w="1138" w:type="dxa"/>
            <w:vAlign w:val="center"/>
          </w:tcPr>
          <w:p>
            <w:pPr>
              <w:spacing w:line="240" w:lineRule="auto"/>
              <w:ind w:firstLine="0" w:firstLineChars="0"/>
              <w:rPr>
                <w:sz w:val="21"/>
                <w:szCs w:val="21"/>
              </w:rPr>
            </w:pPr>
            <w:r>
              <w:rPr>
                <w:sz w:val="21"/>
                <w:szCs w:val="21"/>
              </w:rPr>
              <w:t>52.2</w:t>
            </w:r>
          </w:p>
        </w:tc>
        <w:tc>
          <w:tcPr>
            <w:tcW w:w="1131" w:type="dxa"/>
            <w:vAlign w:val="center"/>
          </w:tcPr>
          <w:p>
            <w:pPr>
              <w:spacing w:line="240" w:lineRule="auto"/>
              <w:ind w:firstLine="0" w:firstLineChars="0"/>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dxa"/>
            <w:vAlign w:val="center"/>
          </w:tcPr>
          <w:p>
            <w:pPr>
              <w:spacing w:line="240" w:lineRule="auto"/>
              <w:ind w:firstLine="0" w:firstLineChars="0"/>
              <w:rPr>
                <w:sz w:val="21"/>
                <w:szCs w:val="21"/>
              </w:rPr>
            </w:pPr>
            <w:r>
              <w:rPr>
                <w:sz w:val="21"/>
                <w:szCs w:val="21"/>
              </w:rPr>
              <w:t>3</w:t>
            </w:r>
          </w:p>
        </w:tc>
        <w:tc>
          <w:tcPr>
            <w:tcW w:w="1597" w:type="dxa"/>
            <w:vAlign w:val="center"/>
          </w:tcPr>
          <w:p>
            <w:pPr>
              <w:spacing w:line="240" w:lineRule="auto"/>
              <w:ind w:firstLine="0" w:firstLineChars="0"/>
              <w:jc w:val="center"/>
              <w:rPr>
                <w:sz w:val="21"/>
                <w:szCs w:val="21"/>
              </w:rPr>
            </w:pPr>
            <w:r>
              <w:rPr>
                <w:sz w:val="21"/>
                <w:szCs w:val="21"/>
              </w:rPr>
              <w:t>西侧</w:t>
            </w:r>
          </w:p>
        </w:tc>
        <w:tc>
          <w:tcPr>
            <w:tcW w:w="1135" w:type="dxa"/>
            <w:vAlign w:val="center"/>
          </w:tcPr>
          <w:p>
            <w:pPr>
              <w:spacing w:line="240" w:lineRule="auto"/>
              <w:ind w:firstLine="0" w:firstLineChars="0"/>
              <w:jc w:val="center"/>
              <w:rPr>
                <w:sz w:val="21"/>
                <w:szCs w:val="21"/>
              </w:rPr>
            </w:pPr>
            <w:r>
              <w:rPr>
                <w:sz w:val="21"/>
                <w:szCs w:val="21"/>
              </w:rPr>
              <w:t>-28</w:t>
            </w:r>
          </w:p>
        </w:tc>
        <w:tc>
          <w:tcPr>
            <w:tcW w:w="1135" w:type="dxa"/>
            <w:vAlign w:val="center"/>
          </w:tcPr>
          <w:p>
            <w:pPr>
              <w:spacing w:line="240" w:lineRule="auto"/>
              <w:ind w:firstLine="0" w:firstLineChars="0"/>
              <w:jc w:val="center"/>
              <w:rPr>
                <w:sz w:val="21"/>
                <w:szCs w:val="21"/>
              </w:rPr>
            </w:pPr>
            <w:r>
              <w:rPr>
                <w:sz w:val="21"/>
                <w:szCs w:val="21"/>
              </w:rPr>
              <w:t>17</w:t>
            </w:r>
          </w:p>
        </w:tc>
        <w:tc>
          <w:tcPr>
            <w:tcW w:w="1128" w:type="dxa"/>
            <w:vAlign w:val="center"/>
          </w:tcPr>
          <w:p>
            <w:pPr>
              <w:spacing w:line="240" w:lineRule="auto"/>
              <w:ind w:firstLine="0" w:firstLineChars="0"/>
              <w:jc w:val="center"/>
              <w:rPr>
                <w:sz w:val="21"/>
                <w:szCs w:val="21"/>
              </w:rPr>
            </w:pPr>
            <w:r>
              <w:rPr>
                <w:sz w:val="21"/>
                <w:szCs w:val="21"/>
              </w:rPr>
              <w:t>0</w:t>
            </w:r>
          </w:p>
        </w:tc>
        <w:tc>
          <w:tcPr>
            <w:tcW w:w="1131" w:type="dxa"/>
            <w:vAlign w:val="center"/>
          </w:tcPr>
          <w:p>
            <w:pPr>
              <w:spacing w:line="240" w:lineRule="auto"/>
              <w:ind w:firstLine="0" w:firstLineChars="0"/>
              <w:jc w:val="center"/>
              <w:rPr>
                <w:sz w:val="21"/>
                <w:szCs w:val="21"/>
              </w:rPr>
            </w:pPr>
            <w:r>
              <w:rPr>
                <w:sz w:val="21"/>
                <w:szCs w:val="21"/>
              </w:rPr>
              <w:t>60</w:t>
            </w:r>
          </w:p>
        </w:tc>
        <w:tc>
          <w:tcPr>
            <w:tcW w:w="1138" w:type="dxa"/>
            <w:vAlign w:val="center"/>
          </w:tcPr>
          <w:p>
            <w:pPr>
              <w:spacing w:line="240" w:lineRule="auto"/>
              <w:ind w:firstLine="0" w:firstLineChars="0"/>
              <w:rPr>
                <w:sz w:val="21"/>
                <w:szCs w:val="21"/>
              </w:rPr>
            </w:pPr>
            <w:r>
              <w:rPr>
                <w:sz w:val="21"/>
                <w:szCs w:val="21"/>
              </w:rPr>
              <w:t>50.5</w:t>
            </w:r>
          </w:p>
        </w:tc>
        <w:tc>
          <w:tcPr>
            <w:tcW w:w="1131" w:type="dxa"/>
            <w:vAlign w:val="center"/>
          </w:tcPr>
          <w:p>
            <w:pPr>
              <w:spacing w:line="240" w:lineRule="auto"/>
              <w:ind w:firstLine="0" w:firstLineChars="0"/>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dxa"/>
            <w:vAlign w:val="center"/>
          </w:tcPr>
          <w:p>
            <w:pPr>
              <w:spacing w:line="240" w:lineRule="auto"/>
              <w:ind w:firstLine="0" w:firstLineChars="0"/>
              <w:rPr>
                <w:sz w:val="21"/>
                <w:szCs w:val="21"/>
              </w:rPr>
            </w:pPr>
            <w:r>
              <w:rPr>
                <w:sz w:val="21"/>
                <w:szCs w:val="21"/>
              </w:rPr>
              <w:t>4</w:t>
            </w:r>
          </w:p>
        </w:tc>
        <w:tc>
          <w:tcPr>
            <w:tcW w:w="1597" w:type="dxa"/>
            <w:vAlign w:val="center"/>
          </w:tcPr>
          <w:p>
            <w:pPr>
              <w:spacing w:line="240" w:lineRule="auto"/>
              <w:ind w:firstLine="0" w:firstLineChars="0"/>
              <w:jc w:val="center"/>
              <w:rPr>
                <w:sz w:val="21"/>
                <w:szCs w:val="21"/>
              </w:rPr>
            </w:pPr>
            <w:r>
              <w:rPr>
                <w:sz w:val="21"/>
                <w:szCs w:val="21"/>
              </w:rPr>
              <w:t>北侧</w:t>
            </w:r>
          </w:p>
        </w:tc>
        <w:tc>
          <w:tcPr>
            <w:tcW w:w="1135" w:type="dxa"/>
            <w:vAlign w:val="center"/>
          </w:tcPr>
          <w:p>
            <w:pPr>
              <w:spacing w:line="240" w:lineRule="auto"/>
              <w:ind w:firstLine="0" w:firstLineChars="0"/>
              <w:jc w:val="center"/>
              <w:rPr>
                <w:sz w:val="21"/>
                <w:szCs w:val="21"/>
              </w:rPr>
            </w:pPr>
            <w:r>
              <w:rPr>
                <w:sz w:val="21"/>
                <w:szCs w:val="21"/>
              </w:rPr>
              <w:t>30</w:t>
            </w:r>
          </w:p>
        </w:tc>
        <w:tc>
          <w:tcPr>
            <w:tcW w:w="1135" w:type="dxa"/>
            <w:vAlign w:val="center"/>
          </w:tcPr>
          <w:p>
            <w:pPr>
              <w:spacing w:line="240" w:lineRule="auto"/>
              <w:ind w:firstLine="0" w:firstLineChars="0"/>
              <w:jc w:val="center"/>
              <w:rPr>
                <w:sz w:val="21"/>
                <w:szCs w:val="21"/>
              </w:rPr>
            </w:pPr>
            <w:r>
              <w:rPr>
                <w:sz w:val="21"/>
                <w:szCs w:val="21"/>
              </w:rPr>
              <w:t>96</w:t>
            </w:r>
          </w:p>
        </w:tc>
        <w:tc>
          <w:tcPr>
            <w:tcW w:w="1128" w:type="dxa"/>
            <w:vAlign w:val="center"/>
          </w:tcPr>
          <w:p>
            <w:pPr>
              <w:spacing w:line="240" w:lineRule="auto"/>
              <w:ind w:firstLine="0" w:firstLineChars="0"/>
              <w:jc w:val="center"/>
              <w:rPr>
                <w:sz w:val="21"/>
                <w:szCs w:val="21"/>
              </w:rPr>
            </w:pPr>
            <w:r>
              <w:rPr>
                <w:sz w:val="21"/>
                <w:szCs w:val="21"/>
              </w:rPr>
              <w:t>0</w:t>
            </w:r>
          </w:p>
        </w:tc>
        <w:tc>
          <w:tcPr>
            <w:tcW w:w="1131" w:type="dxa"/>
            <w:vAlign w:val="center"/>
          </w:tcPr>
          <w:p>
            <w:pPr>
              <w:spacing w:line="240" w:lineRule="auto"/>
              <w:ind w:firstLine="0" w:firstLineChars="0"/>
              <w:jc w:val="center"/>
              <w:rPr>
                <w:sz w:val="21"/>
                <w:szCs w:val="21"/>
              </w:rPr>
            </w:pPr>
            <w:r>
              <w:rPr>
                <w:sz w:val="21"/>
                <w:szCs w:val="21"/>
              </w:rPr>
              <w:t>60</w:t>
            </w:r>
          </w:p>
        </w:tc>
        <w:tc>
          <w:tcPr>
            <w:tcW w:w="1138" w:type="dxa"/>
            <w:vAlign w:val="center"/>
          </w:tcPr>
          <w:p>
            <w:pPr>
              <w:spacing w:line="240" w:lineRule="auto"/>
              <w:ind w:firstLine="0" w:firstLineChars="0"/>
              <w:rPr>
                <w:sz w:val="21"/>
                <w:szCs w:val="21"/>
              </w:rPr>
            </w:pPr>
            <w:r>
              <w:rPr>
                <w:sz w:val="21"/>
                <w:szCs w:val="21"/>
              </w:rPr>
              <w:t>50.4</w:t>
            </w:r>
          </w:p>
        </w:tc>
        <w:tc>
          <w:tcPr>
            <w:tcW w:w="1131" w:type="dxa"/>
            <w:vAlign w:val="center"/>
          </w:tcPr>
          <w:p>
            <w:pPr>
              <w:spacing w:line="240" w:lineRule="auto"/>
              <w:ind w:firstLine="0" w:firstLineChars="0"/>
              <w:rPr>
                <w:sz w:val="21"/>
                <w:szCs w:val="21"/>
              </w:rPr>
            </w:pPr>
            <w:r>
              <w:rPr>
                <w:sz w:val="21"/>
                <w:szCs w:val="21"/>
              </w:rPr>
              <w:t>达标</w:t>
            </w:r>
          </w:p>
        </w:tc>
      </w:tr>
    </w:tbl>
    <w:p>
      <w:pPr>
        <w:pStyle w:val="222"/>
      </w:pPr>
      <w:r>
        <w:t>注：以厂房西南角为（0，0，0）点。</w:t>
      </w:r>
    </w:p>
    <w:p>
      <w:pPr>
        <w:pStyle w:val="222"/>
        <w:sectPr>
          <w:pgSz w:w="11907" w:h="16840"/>
          <w:pgMar w:top="1588" w:right="1418" w:bottom="1366" w:left="1418" w:header="851" w:footer="992" w:gutter="0"/>
          <w:cols w:space="425" w:num="1"/>
          <w:docGrid w:linePitch="312" w:charSpace="0"/>
        </w:sectPr>
      </w:pPr>
    </w:p>
    <w:p>
      <w:pPr>
        <w:pStyle w:val="84"/>
      </w:pPr>
      <w:r>
        <w:t>表6.2-28  声环境保护目标噪声预测结果与达标分析表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900"/>
        <w:gridCol w:w="863"/>
        <w:gridCol w:w="1010"/>
        <w:gridCol w:w="770"/>
        <w:gridCol w:w="722"/>
        <w:gridCol w:w="1077"/>
        <w:gridCol w:w="685"/>
        <w:gridCol w:w="1162"/>
        <w:gridCol w:w="1046"/>
        <w:gridCol w:w="1131"/>
        <w:gridCol w:w="886"/>
        <w:gridCol w:w="1080"/>
        <w:gridCol w:w="728"/>
        <w:gridCol w:w="683"/>
        <w:gridCol w:w="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序号</w:t>
            </w:r>
          </w:p>
        </w:tc>
        <w:tc>
          <w:tcPr>
            <w:tcW w:w="319" w:type="pct"/>
            <w:vMerge w:val="restart"/>
            <w:shd w:val="clear" w:color="auto" w:fill="D8D8D8" w:themeFill="background1" w:themeFillShade="D9"/>
            <w:vAlign w:val="center"/>
          </w:tcPr>
          <w:p>
            <w:pPr>
              <w:spacing w:line="240" w:lineRule="auto"/>
              <w:ind w:firstLine="0" w:firstLineChars="0"/>
              <w:jc w:val="center"/>
              <w:rPr>
                <w:b/>
                <w:sz w:val="21"/>
                <w:szCs w:val="21"/>
              </w:rPr>
            </w:pPr>
            <w:r>
              <w:rPr>
                <w:b/>
                <w:sz w:val="21"/>
                <w:szCs w:val="21"/>
              </w:rPr>
              <w:t>声环境保护目标</w:t>
            </w:r>
          </w:p>
        </w:tc>
        <w:tc>
          <w:tcPr>
            <w:tcW w:w="664"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噪声背景值/dB（A）</w:t>
            </w:r>
          </w:p>
        </w:tc>
        <w:tc>
          <w:tcPr>
            <w:tcW w:w="529"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噪声现状值/dB（A）</w:t>
            </w:r>
          </w:p>
        </w:tc>
        <w:tc>
          <w:tcPr>
            <w:tcW w:w="625"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噪声标准/dB（A）</w:t>
            </w:r>
          </w:p>
        </w:tc>
        <w:tc>
          <w:tcPr>
            <w:tcW w:w="783"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噪声贡献值/dB（A）</w:t>
            </w:r>
          </w:p>
        </w:tc>
        <w:tc>
          <w:tcPr>
            <w:tcW w:w="715"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噪声预测值/dB（A）</w:t>
            </w:r>
          </w:p>
        </w:tc>
        <w:tc>
          <w:tcPr>
            <w:tcW w:w="641"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较现状增量/dB（A）</w:t>
            </w:r>
          </w:p>
        </w:tc>
        <w:tc>
          <w:tcPr>
            <w:tcW w:w="483" w:type="pct"/>
            <w:gridSpan w:val="2"/>
            <w:shd w:val="clear" w:color="auto" w:fill="D8D8D8" w:themeFill="background1" w:themeFillShade="D9"/>
            <w:vAlign w:val="center"/>
          </w:tcPr>
          <w:p>
            <w:pPr>
              <w:spacing w:line="240" w:lineRule="auto"/>
              <w:ind w:firstLine="0" w:firstLineChars="0"/>
              <w:jc w:val="center"/>
              <w:rPr>
                <w:b/>
                <w:sz w:val="21"/>
                <w:szCs w:val="21"/>
              </w:rPr>
            </w:pPr>
            <w:r>
              <w:rPr>
                <w:b/>
                <w:sz w:val="21"/>
                <w:szCs w:val="21"/>
              </w:rPr>
              <w:t>超标和达标情况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 w:type="pct"/>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319" w:type="pct"/>
            <w:vMerge w:val="continue"/>
            <w:shd w:val="clear" w:color="auto" w:fill="D8D8D8" w:themeFill="background1" w:themeFillShade="D9"/>
            <w:vAlign w:val="center"/>
          </w:tcPr>
          <w:p>
            <w:pPr>
              <w:spacing w:line="240" w:lineRule="auto"/>
              <w:ind w:firstLine="0" w:firstLineChars="0"/>
              <w:jc w:val="center"/>
              <w:rPr>
                <w:b/>
                <w:sz w:val="21"/>
                <w:szCs w:val="21"/>
              </w:rPr>
            </w:pPr>
          </w:p>
        </w:tc>
        <w:tc>
          <w:tcPr>
            <w:tcW w:w="30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5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273"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56"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82"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43"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412"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71"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401"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314"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383"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58"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c>
          <w:tcPr>
            <w:tcW w:w="242"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昼间</w:t>
            </w:r>
          </w:p>
        </w:tc>
        <w:tc>
          <w:tcPr>
            <w:tcW w:w="241" w:type="pct"/>
            <w:shd w:val="clear" w:color="auto" w:fill="D8D8D8" w:themeFill="background1" w:themeFillShade="D9"/>
            <w:vAlign w:val="center"/>
          </w:tcPr>
          <w:p>
            <w:pPr>
              <w:spacing w:line="240" w:lineRule="auto"/>
              <w:ind w:firstLine="0" w:firstLineChars="0"/>
              <w:jc w:val="center"/>
              <w:rPr>
                <w:b/>
                <w:sz w:val="21"/>
                <w:szCs w:val="21"/>
              </w:rPr>
            </w:pPr>
            <w:r>
              <w:rPr>
                <w:b/>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2" w:type="pct"/>
            <w:vAlign w:val="center"/>
          </w:tcPr>
          <w:p>
            <w:pPr>
              <w:spacing w:line="240" w:lineRule="auto"/>
              <w:ind w:firstLine="0" w:firstLineChars="0"/>
              <w:jc w:val="center"/>
              <w:rPr>
                <w:sz w:val="21"/>
                <w:szCs w:val="21"/>
              </w:rPr>
            </w:pPr>
            <w:r>
              <w:rPr>
                <w:sz w:val="21"/>
                <w:szCs w:val="21"/>
              </w:rPr>
              <w:t>1</w:t>
            </w:r>
          </w:p>
        </w:tc>
        <w:tc>
          <w:tcPr>
            <w:tcW w:w="319" w:type="pct"/>
            <w:vAlign w:val="center"/>
          </w:tcPr>
          <w:p>
            <w:pPr>
              <w:spacing w:line="240" w:lineRule="auto"/>
              <w:ind w:firstLine="0" w:firstLineChars="0"/>
              <w:jc w:val="center"/>
              <w:rPr>
                <w:sz w:val="21"/>
                <w:szCs w:val="21"/>
              </w:rPr>
            </w:pPr>
            <w:r>
              <w:rPr>
                <w:sz w:val="21"/>
                <w:szCs w:val="21"/>
              </w:rPr>
              <w:t>北侧居民点1#</w:t>
            </w:r>
          </w:p>
        </w:tc>
        <w:tc>
          <w:tcPr>
            <w:tcW w:w="306" w:type="pct"/>
            <w:vAlign w:val="center"/>
          </w:tcPr>
          <w:p>
            <w:pPr>
              <w:spacing w:line="240" w:lineRule="auto"/>
              <w:ind w:firstLine="0" w:firstLineChars="0"/>
              <w:jc w:val="center"/>
              <w:rPr>
                <w:sz w:val="21"/>
                <w:szCs w:val="21"/>
              </w:rPr>
            </w:pPr>
            <w:r>
              <w:rPr>
                <w:sz w:val="21"/>
                <w:szCs w:val="21"/>
              </w:rPr>
              <w:t>54</w:t>
            </w:r>
          </w:p>
        </w:tc>
        <w:tc>
          <w:tcPr>
            <w:tcW w:w="358" w:type="pct"/>
            <w:vAlign w:val="center"/>
          </w:tcPr>
          <w:p>
            <w:pPr>
              <w:spacing w:line="240" w:lineRule="auto"/>
              <w:ind w:firstLine="0" w:firstLineChars="0"/>
              <w:jc w:val="center"/>
              <w:rPr>
                <w:sz w:val="21"/>
                <w:szCs w:val="21"/>
              </w:rPr>
            </w:pPr>
            <w:r>
              <w:rPr>
                <w:sz w:val="21"/>
                <w:szCs w:val="21"/>
              </w:rPr>
              <w:t>47</w:t>
            </w:r>
          </w:p>
        </w:tc>
        <w:tc>
          <w:tcPr>
            <w:tcW w:w="273" w:type="pct"/>
            <w:vAlign w:val="center"/>
          </w:tcPr>
          <w:p>
            <w:pPr>
              <w:spacing w:line="240" w:lineRule="auto"/>
              <w:ind w:firstLine="0" w:firstLineChars="0"/>
              <w:jc w:val="center"/>
              <w:rPr>
                <w:sz w:val="21"/>
                <w:szCs w:val="21"/>
              </w:rPr>
            </w:pPr>
            <w:r>
              <w:rPr>
                <w:sz w:val="21"/>
                <w:szCs w:val="21"/>
              </w:rPr>
              <w:t>54</w:t>
            </w:r>
          </w:p>
        </w:tc>
        <w:tc>
          <w:tcPr>
            <w:tcW w:w="256" w:type="pct"/>
            <w:vAlign w:val="center"/>
          </w:tcPr>
          <w:p>
            <w:pPr>
              <w:spacing w:line="240" w:lineRule="auto"/>
              <w:ind w:firstLine="0" w:firstLineChars="0"/>
              <w:jc w:val="center"/>
              <w:rPr>
                <w:sz w:val="21"/>
                <w:szCs w:val="21"/>
              </w:rPr>
            </w:pPr>
            <w:r>
              <w:rPr>
                <w:sz w:val="21"/>
                <w:szCs w:val="21"/>
              </w:rPr>
              <w:t>47</w:t>
            </w:r>
          </w:p>
        </w:tc>
        <w:tc>
          <w:tcPr>
            <w:tcW w:w="382" w:type="pct"/>
            <w:vAlign w:val="center"/>
          </w:tcPr>
          <w:p>
            <w:pPr>
              <w:spacing w:line="240" w:lineRule="auto"/>
              <w:ind w:firstLine="0" w:firstLineChars="0"/>
              <w:jc w:val="center"/>
              <w:rPr>
                <w:sz w:val="21"/>
                <w:szCs w:val="21"/>
              </w:rPr>
            </w:pPr>
            <w:r>
              <w:rPr>
                <w:sz w:val="21"/>
                <w:szCs w:val="21"/>
              </w:rPr>
              <w:t>60</w:t>
            </w:r>
          </w:p>
        </w:tc>
        <w:tc>
          <w:tcPr>
            <w:tcW w:w="243" w:type="pct"/>
            <w:vAlign w:val="center"/>
          </w:tcPr>
          <w:p>
            <w:pPr>
              <w:spacing w:line="240" w:lineRule="auto"/>
              <w:ind w:firstLine="0" w:firstLineChars="0"/>
              <w:jc w:val="center"/>
              <w:rPr>
                <w:sz w:val="21"/>
                <w:szCs w:val="21"/>
              </w:rPr>
            </w:pPr>
            <w:r>
              <w:rPr>
                <w:sz w:val="21"/>
                <w:szCs w:val="21"/>
              </w:rPr>
              <w:t>50</w:t>
            </w:r>
          </w:p>
        </w:tc>
        <w:tc>
          <w:tcPr>
            <w:tcW w:w="412" w:type="pct"/>
            <w:vAlign w:val="center"/>
          </w:tcPr>
          <w:p>
            <w:pPr>
              <w:spacing w:line="240" w:lineRule="auto"/>
              <w:ind w:firstLine="0" w:firstLineChars="0"/>
              <w:jc w:val="center"/>
              <w:rPr>
                <w:sz w:val="21"/>
                <w:szCs w:val="21"/>
              </w:rPr>
            </w:pPr>
            <w:r>
              <w:rPr>
                <w:sz w:val="21"/>
                <w:szCs w:val="21"/>
              </w:rPr>
              <w:t>32.5</w:t>
            </w:r>
          </w:p>
        </w:tc>
        <w:tc>
          <w:tcPr>
            <w:tcW w:w="371" w:type="pct"/>
            <w:vAlign w:val="center"/>
          </w:tcPr>
          <w:p>
            <w:pPr>
              <w:spacing w:line="240" w:lineRule="auto"/>
              <w:ind w:firstLine="0" w:firstLineChars="0"/>
              <w:jc w:val="center"/>
              <w:rPr>
                <w:sz w:val="21"/>
                <w:szCs w:val="21"/>
              </w:rPr>
            </w:pPr>
            <w:r>
              <w:rPr>
                <w:sz w:val="21"/>
                <w:szCs w:val="21"/>
              </w:rPr>
              <w:t>32.5</w:t>
            </w:r>
          </w:p>
        </w:tc>
        <w:tc>
          <w:tcPr>
            <w:tcW w:w="401" w:type="pct"/>
            <w:vAlign w:val="center"/>
          </w:tcPr>
          <w:p>
            <w:pPr>
              <w:spacing w:line="240" w:lineRule="auto"/>
              <w:ind w:firstLine="0" w:firstLineChars="0"/>
              <w:jc w:val="center"/>
              <w:rPr>
                <w:sz w:val="21"/>
                <w:szCs w:val="21"/>
              </w:rPr>
            </w:pPr>
            <w:r>
              <w:rPr>
                <w:sz w:val="21"/>
                <w:szCs w:val="21"/>
              </w:rPr>
              <w:t>54.0</w:t>
            </w:r>
          </w:p>
        </w:tc>
        <w:tc>
          <w:tcPr>
            <w:tcW w:w="314" w:type="pct"/>
            <w:vAlign w:val="center"/>
          </w:tcPr>
          <w:p>
            <w:pPr>
              <w:spacing w:line="240" w:lineRule="auto"/>
              <w:ind w:firstLine="0" w:firstLineChars="0"/>
              <w:jc w:val="center"/>
              <w:rPr>
                <w:sz w:val="21"/>
                <w:szCs w:val="21"/>
              </w:rPr>
            </w:pPr>
            <w:r>
              <w:rPr>
                <w:sz w:val="21"/>
                <w:szCs w:val="21"/>
              </w:rPr>
              <w:t>47.6</w:t>
            </w:r>
          </w:p>
        </w:tc>
        <w:tc>
          <w:tcPr>
            <w:tcW w:w="383" w:type="pct"/>
            <w:vAlign w:val="center"/>
          </w:tcPr>
          <w:p>
            <w:pPr>
              <w:spacing w:line="240" w:lineRule="auto"/>
              <w:ind w:firstLine="0" w:firstLineChars="0"/>
              <w:jc w:val="center"/>
              <w:rPr>
                <w:sz w:val="21"/>
                <w:szCs w:val="21"/>
              </w:rPr>
            </w:pPr>
            <w:r>
              <w:rPr>
                <w:sz w:val="21"/>
                <w:szCs w:val="21"/>
              </w:rPr>
              <w:t>0</w:t>
            </w:r>
          </w:p>
        </w:tc>
        <w:tc>
          <w:tcPr>
            <w:tcW w:w="258" w:type="pct"/>
            <w:vAlign w:val="center"/>
          </w:tcPr>
          <w:p>
            <w:pPr>
              <w:spacing w:line="240" w:lineRule="auto"/>
              <w:ind w:firstLine="0" w:firstLineChars="0"/>
              <w:jc w:val="center"/>
              <w:rPr>
                <w:sz w:val="21"/>
                <w:szCs w:val="21"/>
              </w:rPr>
            </w:pPr>
            <w:r>
              <w:rPr>
                <w:sz w:val="21"/>
                <w:szCs w:val="21"/>
              </w:rPr>
              <w:t>0.6</w:t>
            </w:r>
          </w:p>
        </w:tc>
        <w:tc>
          <w:tcPr>
            <w:tcW w:w="242" w:type="pct"/>
            <w:vAlign w:val="center"/>
          </w:tcPr>
          <w:p>
            <w:pPr>
              <w:spacing w:line="240" w:lineRule="auto"/>
              <w:ind w:firstLine="0" w:firstLineChars="0"/>
              <w:jc w:val="center"/>
              <w:rPr>
                <w:sz w:val="21"/>
                <w:szCs w:val="21"/>
              </w:rPr>
            </w:pPr>
            <w:r>
              <w:rPr>
                <w:sz w:val="21"/>
                <w:szCs w:val="21"/>
              </w:rPr>
              <w:t>达标</w:t>
            </w:r>
          </w:p>
        </w:tc>
        <w:tc>
          <w:tcPr>
            <w:tcW w:w="241" w:type="pct"/>
            <w:vAlign w:val="center"/>
          </w:tcPr>
          <w:p>
            <w:pPr>
              <w:spacing w:line="240" w:lineRule="auto"/>
              <w:ind w:firstLine="0" w:firstLineChars="0"/>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2" w:type="pct"/>
            <w:vAlign w:val="center"/>
          </w:tcPr>
          <w:p>
            <w:pPr>
              <w:spacing w:line="240" w:lineRule="auto"/>
              <w:ind w:firstLine="0" w:firstLineChars="0"/>
              <w:jc w:val="center"/>
              <w:rPr>
                <w:sz w:val="21"/>
                <w:szCs w:val="21"/>
              </w:rPr>
            </w:pPr>
            <w:r>
              <w:rPr>
                <w:sz w:val="21"/>
                <w:szCs w:val="21"/>
              </w:rPr>
              <w:t>2</w:t>
            </w:r>
          </w:p>
        </w:tc>
        <w:tc>
          <w:tcPr>
            <w:tcW w:w="319" w:type="pct"/>
            <w:vAlign w:val="center"/>
          </w:tcPr>
          <w:p>
            <w:pPr>
              <w:spacing w:line="240" w:lineRule="auto"/>
              <w:ind w:firstLine="0" w:firstLineChars="0"/>
              <w:jc w:val="center"/>
              <w:rPr>
                <w:sz w:val="21"/>
                <w:szCs w:val="21"/>
              </w:rPr>
            </w:pPr>
            <w:r>
              <w:rPr>
                <w:sz w:val="21"/>
                <w:szCs w:val="21"/>
              </w:rPr>
              <w:t>北侧居民点2#</w:t>
            </w:r>
          </w:p>
        </w:tc>
        <w:tc>
          <w:tcPr>
            <w:tcW w:w="306" w:type="pct"/>
            <w:vAlign w:val="center"/>
          </w:tcPr>
          <w:p>
            <w:pPr>
              <w:spacing w:line="240" w:lineRule="auto"/>
              <w:ind w:firstLine="0" w:firstLineChars="0"/>
              <w:jc w:val="center"/>
              <w:rPr>
                <w:sz w:val="21"/>
                <w:szCs w:val="21"/>
              </w:rPr>
            </w:pPr>
            <w:r>
              <w:rPr>
                <w:sz w:val="21"/>
                <w:szCs w:val="21"/>
              </w:rPr>
              <w:t>55</w:t>
            </w:r>
          </w:p>
        </w:tc>
        <w:tc>
          <w:tcPr>
            <w:tcW w:w="358" w:type="pct"/>
            <w:vAlign w:val="center"/>
          </w:tcPr>
          <w:p>
            <w:pPr>
              <w:spacing w:line="240" w:lineRule="auto"/>
              <w:ind w:firstLine="0" w:firstLineChars="0"/>
              <w:jc w:val="center"/>
              <w:rPr>
                <w:sz w:val="21"/>
                <w:szCs w:val="21"/>
              </w:rPr>
            </w:pPr>
            <w:r>
              <w:rPr>
                <w:sz w:val="21"/>
                <w:szCs w:val="21"/>
              </w:rPr>
              <w:t>45</w:t>
            </w:r>
          </w:p>
        </w:tc>
        <w:tc>
          <w:tcPr>
            <w:tcW w:w="273" w:type="pct"/>
            <w:vAlign w:val="center"/>
          </w:tcPr>
          <w:p>
            <w:pPr>
              <w:spacing w:line="240" w:lineRule="auto"/>
              <w:ind w:firstLine="0" w:firstLineChars="0"/>
              <w:jc w:val="center"/>
              <w:rPr>
                <w:sz w:val="21"/>
                <w:szCs w:val="21"/>
              </w:rPr>
            </w:pPr>
            <w:r>
              <w:rPr>
                <w:sz w:val="21"/>
                <w:szCs w:val="21"/>
              </w:rPr>
              <w:t>55</w:t>
            </w:r>
          </w:p>
        </w:tc>
        <w:tc>
          <w:tcPr>
            <w:tcW w:w="256" w:type="pct"/>
            <w:vAlign w:val="center"/>
          </w:tcPr>
          <w:p>
            <w:pPr>
              <w:spacing w:line="240" w:lineRule="auto"/>
              <w:ind w:firstLine="0" w:firstLineChars="0"/>
              <w:jc w:val="center"/>
              <w:rPr>
                <w:sz w:val="21"/>
                <w:szCs w:val="21"/>
              </w:rPr>
            </w:pPr>
            <w:r>
              <w:rPr>
                <w:sz w:val="21"/>
                <w:szCs w:val="21"/>
              </w:rPr>
              <w:t>45</w:t>
            </w:r>
          </w:p>
        </w:tc>
        <w:tc>
          <w:tcPr>
            <w:tcW w:w="382" w:type="pct"/>
            <w:vAlign w:val="center"/>
          </w:tcPr>
          <w:p>
            <w:pPr>
              <w:spacing w:line="240" w:lineRule="auto"/>
              <w:ind w:firstLine="0" w:firstLineChars="0"/>
              <w:jc w:val="center"/>
              <w:rPr>
                <w:sz w:val="21"/>
                <w:szCs w:val="21"/>
              </w:rPr>
            </w:pPr>
            <w:r>
              <w:rPr>
                <w:sz w:val="21"/>
                <w:szCs w:val="21"/>
              </w:rPr>
              <w:t>60</w:t>
            </w:r>
          </w:p>
        </w:tc>
        <w:tc>
          <w:tcPr>
            <w:tcW w:w="243" w:type="pct"/>
            <w:vAlign w:val="center"/>
          </w:tcPr>
          <w:p>
            <w:pPr>
              <w:spacing w:line="240" w:lineRule="auto"/>
              <w:ind w:firstLine="0" w:firstLineChars="0"/>
              <w:jc w:val="center"/>
              <w:rPr>
                <w:sz w:val="21"/>
                <w:szCs w:val="21"/>
              </w:rPr>
            </w:pPr>
            <w:r>
              <w:rPr>
                <w:sz w:val="21"/>
                <w:szCs w:val="21"/>
              </w:rPr>
              <w:t>50</w:t>
            </w:r>
          </w:p>
        </w:tc>
        <w:tc>
          <w:tcPr>
            <w:tcW w:w="412" w:type="pct"/>
            <w:vAlign w:val="center"/>
          </w:tcPr>
          <w:p>
            <w:pPr>
              <w:spacing w:line="240" w:lineRule="auto"/>
              <w:ind w:firstLine="0" w:firstLineChars="0"/>
              <w:jc w:val="center"/>
              <w:rPr>
                <w:sz w:val="21"/>
                <w:szCs w:val="21"/>
              </w:rPr>
            </w:pPr>
            <w:r>
              <w:rPr>
                <w:sz w:val="21"/>
                <w:szCs w:val="21"/>
              </w:rPr>
              <w:t>31.5</w:t>
            </w:r>
          </w:p>
        </w:tc>
        <w:tc>
          <w:tcPr>
            <w:tcW w:w="371" w:type="pct"/>
            <w:vAlign w:val="center"/>
          </w:tcPr>
          <w:p>
            <w:pPr>
              <w:spacing w:line="240" w:lineRule="auto"/>
              <w:ind w:firstLine="0" w:firstLineChars="0"/>
              <w:jc w:val="center"/>
              <w:rPr>
                <w:sz w:val="21"/>
                <w:szCs w:val="21"/>
              </w:rPr>
            </w:pPr>
            <w:r>
              <w:rPr>
                <w:sz w:val="21"/>
                <w:szCs w:val="21"/>
              </w:rPr>
              <w:t>31.5</w:t>
            </w:r>
          </w:p>
        </w:tc>
        <w:tc>
          <w:tcPr>
            <w:tcW w:w="401" w:type="pct"/>
            <w:vAlign w:val="center"/>
          </w:tcPr>
          <w:p>
            <w:pPr>
              <w:spacing w:line="240" w:lineRule="auto"/>
              <w:ind w:firstLine="0" w:firstLineChars="0"/>
              <w:jc w:val="center"/>
              <w:rPr>
                <w:sz w:val="21"/>
                <w:szCs w:val="21"/>
              </w:rPr>
            </w:pPr>
            <w:r>
              <w:rPr>
                <w:sz w:val="21"/>
                <w:szCs w:val="21"/>
              </w:rPr>
              <w:t>55.0</w:t>
            </w:r>
          </w:p>
        </w:tc>
        <w:tc>
          <w:tcPr>
            <w:tcW w:w="314" w:type="pct"/>
            <w:vAlign w:val="center"/>
          </w:tcPr>
          <w:p>
            <w:pPr>
              <w:spacing w:line="240" w:lineRule="auto"/>
              <w:ind w:firstLine="0" w:firstLineChars="0"/>
              <w:jc w:val="center"/>
              <w:rPr>
                <w:sz w:val="21"/>
                <w:szCs w:val="21"/>
              </w:rPr>
            </w:pPr>
            <w:r>
              <w:rPr>
                <w:sz w:val="21"/>
                <w:szCs w:val="21"/>
              </w:rPr>
              <w:t>45.2</w:t>
            </w:r>
          </w:p>
        </w:tc>
        <w:tc>
          <w:tcPr>
            <w:tcW w:w="383" w:type="pct"/>
            <w:vAlign w:val="center"/>
          </w:tcPr>
          <w:p>
            <w:pPr>
              <w:spacing w:line="240" w:lineRule="auto"/>
              <w:ind w:firstLine="0" w:firstLineChars="0"/>
              <w:jc w:val="center"/>
              <w:rPr>
                <w:sz w:val="21"/>
                <w:szCs w:val="21"/>
              </w:rPr>
            </w:pPr>
            <w:r>
              <w:rPr>
                <w:sz w:val="21"/>
                <w:szCs w:val="21"/>
              </w:rPr>
              <w:t>0</w:t>
            </w:r>
          </w:p>
        </w:tc>
        <w:tc>
          <w:tcPr>
            <w:tcW w:w="258" w:type="pct"/>
            <w:vAlign w:val="center"/>
          </w:tcPr>
          <w:p>
            <w:pPr>
              <w:spacing w:line="240" w:lineRule="auto"/>
              <w:ind w:firstLine="0" w:firstLineChars="0"/>
              <w:jc w:val="center"/>
              <w:rPr>
                <w:sz w:val="21"/>
                <w:szCs w:val="21"/>
              </w:rPr>
            </w:pPr>
            <w:r>
              <w:rPr>
                <w:sz w:val="21"/>
                <w:szCs w:val="21"/>
              </w:rPr>
              <w:t>0.2</w:t>
            </w:r>
          </w:p>
        </w:tc>
        <w:tc>
          <w:tcPr>
            <w:tcW w:w="242" w:type="pct"/>
            <w:vAlign w:val="center"/>
          </w:tcPr>
          <w:p>
            <w:pPr>
              <w:spacing w:line="240" w:lineRule="auto"/>
              <w:ind w:firstLine="0" w:firstLineChars="0"/>
              <w:jc w:val="center"/>
              <w:rPr>
                <w:sz w:val="21"/>
                <w:szCs w:val="21"/>
              </w:rPr>
            </w:pPr>
            <w:r>
              <w:rPr>
                <w:sz w:val="21"/>
                <w:szCs w:val="21"/>
              </w:rPr>
              <w:t>达标</w:t>
            </w:r>
          </w:p>
        </w:tc>
        <w:tc>
          <w:tcPr>
            <w:tcW w:w="241" w:type="pct"/>
            <w:vAlign w:val="center"/>
          </w:tcPr>
          <w:p>
            <w:pPr>
              <w:spacing w:line="240" w:lineRule="auto"/>
              <w:ind w:firstLine="0" w:firstLineChars="0"/>
              <w:jc w:val="center"/>
              <w:rPr>
                <w:sz w:val="21"/>
                <w:szCs w:val="21"/>
              </w:rPr>
            </w:pPr>
            <w:r>
              <w:rPr>
                <w:sz w:val="21"/>
                <w:szCs w:val="21"/>
              </w:rPr>
              <w:t>达标</w:t>
            </w:r>
          </w:p>
        </w:tc>
      </w:tr>
    </w:tbl>
    <w:p>
      <w:pPr>
        <w:pStyle w:val="222"/>
      </w:pPr>
    </w:p>
    <w:p>
      <w:pPr>
        <w:pStyle w:val="222"/>
      </w:pPr>
    </w:p>
    <w:p>
      <w:pPr>
        <w:pStyle w:val="222"/>
      </w:pPr>
    </w:p>
    <w:p>
      <w:pPr>
        <w:pStyle w:val="222"/>
      </w:pPr>
    </w:p>
    <w:p>
      <w:pPr>
        <w:pStyle w:val="222"/>
      </w:pPr>
    </w:p>
    <w:p>
      <w:pPr>
        <w:pStyle w:val="222"/>
        <w:sectPr>
          <w:pgSz w:w="16840" w:h="11907" w:orient="landscape"/>
          <w:pgMar w:top="1418" w:right="1588" w:bottom="1418" w:left="1366" w:header="851" w:footer="992" w:gutter="0"/>
          <w:cols w:space="425" w:num="1"/>
          <w:docGrid w:linePitch="354" w:charSpace="0"/>
        </w:sectPr>
      </w:pPr>
    </w:p>
    <w:p>
      <w:pPr>
        <w:pStyle w:val="222"/>
        <w:jc w:val="center"/>
      </w:pPr>
      <w:r>
        <w:drawing>
          <wp:anchor distT="0" distB="0" distL="114300" distR="114300" simplePos="0" relativeHeight="251980800" behindDoc="0" locked="0" layoutInCell="1" allowOverlap="1">
            <wp:simplePos x="0" y="0"/>
            <wp:positionH relativeFrom="column">
              <wp:posOffset>0</wp:posOffset>
            </wp:positionH>
            <wp:positionV relativeFrom="paragraph">
              <wp:posOffset>64135</wp:posOffset>
            </wp:positionV>
            <wp:extent cx="5760085" cy="4443095"/>
            <wp:effectExtent l="0" t="0" r="0" b="0"/>
            <wp:wrapTopAndBottom/>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pic:cNvPicPr>
                  </pic:nvPicPr>
                  <pic:blipFill>
                    <a:blip r:embed="rId100">
                      <a:extLst>
                        <a:ext uri="{28A0092B-C50C-407E-A947-70E740481C1C}">
                          <a14:useLocalDpi xmlns:a14="http://schemas.microsoft.com/office/drawing/2010/main" val="false"/>
                        </a:ext>
                      </a:extLst>
                    </a:blip>
                    <a:stretch>
                      <a:fillRect/>
                    </a:stretch>
                  </pic:blipFill>
                  <pic:spPr>
                    <a:xfrm>
                      <a:off x="0" y="0"/>
                      <a:ext cx="5760085" cy="4443095"/>
                    </a:xfrm>
                    <a:prstGeom prst="rect">
                      <a:avLst/>
                    </a:prstGeom>
                  </pic:spPr>
                </pic:pic>
              </a:graphicData>
            </a:graphic>
          </wp:anchor>
        </w:drawing>
      </w:r>
      <w:r>
        <w:t>图6-11 噪声预测结果图</w:t>
      </w:r>
    </w:p>
    <w:p>
      <w:pPr>
        <w:pStyle w:val="222"/>
      </w:pPr>
      <w:r>
        <w:t>由上表预测结果可知，工业场地内生产设备经采取建筑隔声、基础减振等措施后，工业场地四周厂界噪声满足《工业企业厂界环境噪声排放标准》（GB12348-2008）中2类标准。200m范围内2处声环境保护目标噪声预测结果满足《声环境质量标准》（GB3096-2008）2类标准要求，对环境保护目标影响小。</w:t>
      </w:r>
    </w:p>
    <w:p>
      <w:pPr>
        <w:pStyle w:val="5"/>
        <w:rPr>
          <w:color w:val="auto"/>
        </w:rPr>
      </w:pPr>
      <w:r>
        <w:rPr>
          <w:color w:val="auto"/>
        </w:rPr>
        <w:t>6.2.4振动影响分析</w:t>
      </w:r>
    </w:p>
    <w:p>
      <w:pPr>
        <w:pStyle w:val="3219"/>
        <w:rPr>
          <w:color w:val="auto"/>
        </w:rPr>
      </w:pPr>
      <w:r>
        <w:rPr>
          <w:color w:val="auto"/>
        </w:rPr>
        <w:t>（1）振动安全距离</w:t>
      </w:r>
    </w:p>
    <w:p>
      <w:pPr>
        <w:pStyle w:val="3219"/>
        <w:rPr>
          <w:color w:val="auto"/>
        </w:rPr>
      </w:pPr>
      <w:r>
        <w:rPr>
          <w:color w:val="auto"/>
        </w:rPr>
        <w:t>爆破振动安全允许距离，可以下公式计算：</w:t>
      </w:r>
    </w:p>
    <w:p>
      <w:pPr>
        <w:spacing w:line="360" w:lineRule="auto"/>
        <w:ind w:firstLine="480"/>
        <w:jc w:val="center"/>
        <w:rPr>
          <w:sz w:val="24"/>
          <w:szCs w:val="24"/>
        </w:rPr>
      </w:pPr>
      <w:r>
        <w:rPr>
          <w:sz w:val="24"/>
          <w:szCs w:val="24"/>
        </w:rPr>
        <w:object>
          <v:shape id="_x0000_i1032" o:spt="75" type="#_x0000_t75" style="height:41.9pt;width:83.8pt;" o:ole="t" filled="f" o:preferrelative="t" stroked="f" coordsize="21600,21600">
            <v:path/>
            <v:fill on="f" focussize="0,0"/>
            <v:stroke on="f" joinstyle="miter"/>
            <v:imagedata r:id="rId102" o:title=""/>
            <o:lock v:ext="edit" aspectratio="t"/>
            <w10:wrap type="none"/>
            <w10:anchorlock/>
          </v:shape>
          <o:OLEObject Type="Embed" ProgID="Equation.3" ShapeID="_x0000_i1032" DrawAspect="Content" ObjectID="_1468075732" r:id="rId101">
            <o:LockedField>false</o:LockedField>
          </o:OLEObject>
        </w:object>
      </w:r>
    </w:p>
    <w:p>
      <w:pPr>
        <w:pStyle w:val="3219"/>
        <w:rPr>
          <w:color w:val="auto"/>
        </w:rPr>
      </w:pPr>
      <w:r>
        <w:rPr>
          <w:color w:val="auto"/>
        </w:rPr>
        <w:t>式中：R—爆破振动安全允许距离，单位为m；</w:t>
      </w:r>
    </w:p>
    <w:p>
      <w:pPr>
        <w:pStyle w:val="3219"/>
        <w:rPr>
          <w:color w:val="auto"/>
        </w:rPr>
      </w:pPr>
      <w:r>
        <w:rPr>
          <w:color w:val="auto"/>
        </w:rPr>
        <w:t>Q—炸药量，齐发爆破为总药量，延时爆破为最大一段药量，单位为kg；</w:t>
      </w:r>
    </w:p>
    <w:p>
      <w:pPr>
        <w:pStyle w:val="3219"/>
        <w:rPr>
          <w:color w:val="auto"/>
        </w:rPr>
      </w:pPr>
      <w:r>
        <w:rPr>
          <w:color w:val="auto"/>
        </w:rPr>
        <w:t>V—保护对象所在地质点振动安全允许速度，单位为cm/s；矿区周边建筑为一般民用建筑，取2。</w:t>
      </w:r>
    </w:p>
    <w:p>
      <w:pPr>
        <w:pStyle w:val="3219"/>
        <w:rPr>
          <w:color w:val="auto"/>
        </w:rPr>
      </w:pPr>
      <w:r>
        <w:rPr>
          <w:color w:val="auto"/>
        </w:rPr>
        <w:t>K—与爆破地点地形、地质条件有关系数，中硬岩石取200；</w:t>
      </w:r>
    </w:p>
    <w:p>
      <w:pPr>
        <w:pStyle w:val="3219"/>
        <w:rPr>
          <w:color w:val="auto"/>
        </w:rPr>
      </w:pPr>
      <w:r>
        <w:rPr>
          <w:color w:val="auto"/>
        </w:rPr>
        <w:t>a—与爆破地点地形、地质条件衰减系数，中硬岩石取1.7；</w:t>
      </w:r>
    </w:p>
    <w:p>
      <w:pPr>
        <w:pStyle w:val="3219"/>
        <w:rPr>
          <w:color w:val="auto"/>
        </w:rPr>
      </w:pPr>
      <w:r>
        <w:rPr>
          <w:color w:val="auto"/>
        </w:rPr>
        <w:t>本项目矿山开采规模100万t/a，每次爆破最大装药量Q按最不利情况取404kg。经计算，本项目的爆破振动影响允许安全距离为111m。</w:t>
      </w:r>
    </w:p>
    <w:p>
      <w:pPr>
        <w:pStyle w:val="3219"/>
        <w:rPr>
          <w:color w:val="auto"/>
        </w:rPr>
      </w:pPr>
      <w:r>
        <w:rPr>
          <w:color w:val="auto"/>
        </w:rPr>
        <w:t>（2）振动影响</w:t>
      </w:r>
    </w:p>
    <w:p>
      <w:pPr>
        <w:pStyle w:val="3219"/>
        <w:rPr>
          <w:color w:val="auto"/>
        </w:rPr>
      </w:pPr>
      <w:r>
        <w:rPr>
          <w:color w:val="auto"/>
        </w:rPr>
        <w:t>爆破声为瞬间突发噪声，且伴随发生振动，影响范围较大。该矿山采用中深孔微差爆破法，膨化硝铵炸药威力有限，仅起到开裂松动作用，从源头上减小了爆破振动对周边居民的影响。此外，爆破声持续时间短，频率低，爆破结束后即消失。项目居民距离采区均大于200m，距离较远，评价要求严格控制单孔炸药量和一次起爆总药量，合理安排爆破作业时间，项目爆破振动对周边敏居民的影响较小，可接受。</w:t>
      </w:r>
    </w:p>
    <w:p>
      <w:pPr>
        <w:pStyle w:val="5"/>
        <w:jc w:val="both"/>
        <w:rPr>
          <w:color w:val="auto"/>
        </w:rPr>
      </w:pPr>
      <w:r>
        <w:rPr>
          <w:color w:val="auto"/>
        </w:rPr>
        <w:t>6.2.5固体废物影响分析</w:t>
      </w:r>
    </w:p>
    <w:p>
      <w:pPr>
        <w:spacing w:line="360" w:lineRule="auto"/>
        <w:ind w:firstLine="480"/>
        <w:jc w:val="both"/>
        <w:rPr>
          <w:sz w:val="24"/>
          <w:szCs w:val="24"/>
        </w:rPr>
      </w:pPr>
      <w:r>
        <w:rPr>
          <w:sz w:val="24"/>
          <w:szCs w:val="24"/>
        </w:rPr>
        <w:t>本项目开采期固体废物主要为沉淀池沉沙、生活垃圾、含油废物、含油棉纱手套。</w:t>
      </w:r>
    </w:p>
    <w:p>
      <w:pPr>
        <w:pStyle w:val="300"/>
      </w:pPr>
      <w:r>
        <w:t>矿山建设的沉淀池含有少量的污泥，工业场地喷雾废水、车辆清洗废水经沉淀池沉淀处理后，定期清掏沉淀池内的污泥，少量的污泥运至堆土场进行堆放，用于矿山复绿做表土绿化使用。</w:t>
      </w:r>
    </w:p>
    <w:p>
      <w:pPr>
        <w:pStyle w:val="222"/>
      </w:pPr>
      <w:r>
        <w:t>项目采用边开采边生态恢复的生产方式，剥离产生的表土转移至排土场内堆放，用于采空区复垦。</w:t>
      </w:r>
    </w:p>
    <w:p>
      <w:pPr>
        <w:pStyle w:val="222"/>
      </w:pPr>
      <w:r>
        <w:t>含油废物和含油棉手套等产生量较少，属于危险废物。在机修间内设置面积10m</w:t>
      </w:r>
      <w:r>
        <w:rPr>
          <w:vertAlign w:val="superscript"/>
        </w:rPr>
        <w:t>2</w:t>
      </w:r>
      <w:r>
        <w:t>危险废物贮存间，废润滑油采用专用带盖的收集桶收集，定期交有资质单位处置。危险废物贮存间按《危险废物贮存污染物控制标准》（GB18597-2023）和《建设项目危险废物环境影响评价指南》要求建设，做到“四防”措施（防风、防雨、防晒、防渗漏）。</w:t>
      </w:r>
    </w:p>
    <w:p>
      <w:pPr>
        <w:pStyle w:val="222"/>
      </w:pPr>
      <w:r>
        <w:t>生活垃圾产生量5.94t/a，生活办公区内设置垃圾收集桶，定期交环卫部门处置。</w:t>
      </w:r>
    </w:p>
    <w:p>
      <w:pPr>
        <w:pStyle w:val="222"/>
      </w:pPr>
      <w:r>
        <w:t>综上所述，本项目产生的固体废物经过妥善处置、综合利用后对环境的影响小。</w:t>
      </w:r>
    </w:p>
    <w:p>
      <w:pPr>
        <w:pStyle w:val="5"/>
        <w:rPr>
          <w:color w:val="auto"/>
        </w:rPr>
      </w:pPr>
      <w:bookmarkStart w:id="196" w:name="_TOC_250015"/>
      <w:r>
        <w:rPr>
          <w:color w:val="auto"/>
        </w:rPr>
        <w:t>6.2.6运输影响分析</w:t>
      </w:r>
    </w:p>
    <w:p>
      <w:pPr>
        <w:pStyle w:val="222"/>
      </w:pPr>
      <w:r>
        <w:t>（1）运输过程中的环境影响</w:t>
      </w:r>
    </w:p>
    <w:p>
      <w:pPr>
        <w:pStyle w:val="222"/>
      </w:pPr>
      <w:r>
        <w:t>车辆运输过程将产生噪声，引起振动，排放废气，引起二次扬尘等，将会对周围环境产生一定影响。项目场外运输主要利用矿区公路—盐九路—国道G212运至合川区及临近区县。运输扬尘和噪声主要对道路沿线100m范围内的敏感点有一定影响。根据调查，运输公路沿线敏感点主要是分布于道路两侧周围20~200m之间的散户居民。建设单位通过加强车辆运输管理，注重车辆的维护保养，严禁使用冒黑烟车辆；出场车辆进行清洗禁止带泥上路，路过居民集中居民点减速慢行，减少对周围居民的影响。</w:t>
      </w:r>
    </w:p>
    <w:p>
      <w:pPr>
        <w:pStyle w:val="222"/>
      </w:pPr>
      <w:r>
        <w:t>（2）对交通运输影响</w:t>
      </w:r>
    </w:p>
    <w:p>
      <w:pPr>
        <w:pStyle w:val="222"/>
      </w:pPr>
      <w:r>
        <w:t>项目场外运输主要利用盐九路—国道G212运输，由于项目所处位置不是交通要道，社会车辆较少，道路上车辆主要为矿山运输车辆，因此，本项目建设对交通运输影响很小。</w:t>
      </w:r>
    </w:p>
    <w:p>
      <w:pPr>
        <w:pStyle w:val="4"/>
      </w:pPr>
      <w:bookmarkStart w:id="197" w:name="_Toc161676118"/>
      <w:r>
        <w:t>6.3闭矿期环境影响分析</w:t>
      </w:r>
      <w:bookmarkEnd w:id="197"/>
    </w:p>
    <w:p>
      <w:pPr>
        <w:pStyle w:val="5"/>
        <w:rPr>
          <w:color w:val="auto"/>
        </w:rPr>
      </w:pPr>
      <w:r>
        <w:rPr>
          <w:color w:val="auto"/>
        </w:rPr>
        <w:t>6.3.1闭矿期环境影响分析</w:t>
      </w:r>
    </w:p>
    <w:p>
      <w:pPr>
        <w:pStyle w:val="222"/>
      </w:pPr>
      <w:r>
        <w:t>根据《重庆峰磊矿业有限公司合川区盐井街道观音村五社建筑石料用灰岩矿矿山地质环境恢复治理和土地复垦方案》，本项目矿区闭矿后，主要对矿区范围、工业场地、办公生活区、排土场进行全面生态恢复和土地复垦。拆除工业场地、办公生活区所有建构筑物和生产设施、设备，对场地清理平整，按照编制的矿区生态恢复治理和土地复垦方案对矿区和工业场地等进行生态恢复。闭矿工作完成后，人员及设备撤场。闭矿期环境影响主要表现在以下几个方面：</w:t>
      </w:r>
    </w:p>
    <w:p>
      <w:pPr>
        <w:pStyle w:val="222"/>
      </w:pPr>
      <w:r>
        <w:t>（1）矿山闭矿后各项生产活动已经停止，与矿石开采活动相关的废气、生活污水、生活垃圾、设备噪声等各种产污活动也相应消失。生态恢复后区域环境质量及生态环境将逐渐好转。</w:t>
      </w:r>
    </w:p>
    <w:p>
      <w:pPr>
        <w:pStyle w:val="222"/>
      </w:pPr>
      <w:r>
        <w:t>（2）对地面设施拆除及迹地清理过程中会产生少量的粉尘和固体废物，在采取洒水降尘和分类处置固体废物措施后，环境影响有限。</w:t>
      </w:r>
    </w:p>
    <w:p>
      <w:pPr>
        <w:pStyle w:val="222"/>
      </w:pPr>
      <w:r>
        <w:t>（3）对矿区进行土地复垦、生态恢复，营运期因破坏山体而造成对植被、动物、景观等生态环境要素的不利影响将逐渐消失。</w:t>
      </w:r>
    </w:p>
    <w:p>
      <w:pPr>
        <w:pStyle w:val="222"/>
      </w:pPr>
      <w:r>
        <w:t>（4）矿山闭矿时将形成一个大的采终坡面，若不对这个巨大裸露坡面进行合理的处置，在矿山闭矿期仍可能产生景观和地质灾害危害等不利影响。矿山闭矿期应严格按照矿山地质环境恢复治理和土地复垦方案制定的生态恢复措施进行生态恢复，维持当地生态环境的可持续发展。</w:t>
      </w:r>
    </w:p>
    <w:p>
      <w:pPr>
        <w:pStyle w:val="5"/>
        <w:rPr>
          <w:color w:val="auto"/>
        </w:rPr>
      </w:pPr>
      <w:r>
        <w:rPr>
          <w:color w:val="auto"/>
        </w:rPr>
        <w:t>6.3.2闭矿期环境保护措施</w:t>
      </w:r>
    </w:p>
    <w:p>
      <w:pPr>
        <w:pStyle w:val="222"/>
      </w:pPr>
      <w:r>
        <w:t>（1）矿区资源全部开采完毕后，关闭矿山必须提出矿山闭矿报告及有关采掘工程、</w:t>
      </w:r>
      <w:r>
        <w:rPr>
          <w:rFonts w:hint="eastAsia"/>
          <w:lang w:eastAsia="zh-CN"/>
        </w:rPr>
        <w:t>安全隐患</w:t>
      </w:r>
      <w:r>
        <w:t>、土地复垦利用、环境保护的资料，并按照国家规定报请审查批准。</w:t>
      </w:r>
    </w:p>
    <w:p>
      <w:pPr>
        <w:pStyle w:val="222"/>
      </w:pPr>
      <w:r>
        <w:t>（2）办公生活区复垦为林地，工业场地复垦为旱地，</w:t>
      </w:r>
      <w:r>
        <w:rPr>
          <w:bCs/>
        </w:rPr>
        <w:t>蓄水池及沉淀池区域复垦为有林地，</w:t>
      </w:r>
      <w:r>
        <w:t>场地内建（构）筑物能够转为其他用途，如：作为永久居民房等，予以保留；无法利用的进行拆除，同时拆除后对办公生活区进行清理，建筑垃圾等固体废物分类集中处理，不得遗弃在工程占地范围内。</w:t>
      </w:r>
    </w:p>
    <w:p>
      <w:pPr>
        <w:pStyle w:val="222"/>
      </w:pPr>
      <w:r>
        <w:t>（3）在保护自然景观的前提下，逐步做好采矿的收尾工作。根据《重庆峰磊矿业有限公司合川区盐井街道观音村五社建筑石料用灰岩矿矿山地质环境恢复治理和土地复垦方案》中的要求，进行矿山闭矿治理。</w:t>
      </w:r>
    </w:p>
    <w:p>
      <w:pPr>
        <w:pStyle w:val="222"/>
      </w:pPr>
      <w:r>
        <w:rPr>
          <w:rFonts w:hint="eastAsia" w:ascii="宋体" w:hAnsi="宋体" w:cs="宋体"/>
        </w:rPr>
        <w:t>①</w:t>
      </w:r>
      <w:r>
        <w:t>边坡治理：开采完毕时对坡面实施检查，对坡面进行平整及修复；在终了边坡修建截（排）水沟，以防止降水对边坡产生冲刷和破坏，以及对边坡进行植被绿化，并对排水系统定期清理和疏浚，以防止排水不畅而使地表雨水进入采区。</w:t>
      </w:r>
    </w:p>
    <w:p>
      <w:pPr>
        <w:pStyle w:val="222"/>
      </w:pPr>
      <w:r>
        <w:rPr>
          <w:rFonts w:hint="eastAsia" w:ascii="宋体" w:hAnsi="宋体" w:cs="宋体"/>
        </w:rPr>
        <w:t>②</w:t>
      </w:r>
      <w:r>
        <w:t>采区复垦：对采区进行平整，覆土厚度约30~50cm，浇水使土层自然沉降变紧实。采区底盘复垦为旱地，开采边坡复垦采用乔木、灌木和藤蔓植物相结合方式进行植被恢复，矿山公路复垦为林地。复垦区域种植当地一般易于成活、生长较快的树种，靠近边坡处可种植蔓藤类植物进行垂直绿化。</w:t>
      </w:r>
    </w:p>
    <w:p>
      <w:pPr>
        <w:pStyle w:val="222"/>
      </w:pPr>
      <w:r>
        <w:t>（4）调查矿区占地范围容易发生滑坡、泥石流的区域，采取相应措施减少不良地质灾害发生。</w:t>
      </w:r>
    </w:p>
    <w:p>
      <w:pPr>
        <w:pStyle w:val="222"/>
      </w:pPr>
      <w:r>
        <w:t>（5）加强矿区范围内地表地质监测，发现有裂缝和地面变形区域，应采取覆土等措施进行整治，并补植林木，减轻矿区开采地表变形造成的生态破坏。</w:t>
      </w:r>
    </w:p>
    <w:p>
      <w:pPr>
        <w:pStyle w:val="5"/>
        <w:rPr>
          <w:color w:val="auto"/>
        </w:rPr>
      </w:pPr>
      <w:r>
        <w:rPr>
          <w:color w:val="auto"/>
        </w:rPr>
        <w:t>6.3.3闭矿期土地复垦</w:t>
      </w:r>
    </w:p>
    <w:p>
      <w:pPr>
        <w:pStyle w:val="222"/>
      </w:pPr>
      <w:r>
        <w:t>根据《土地复垦条例》，土地复垦实行“谁破坏、谁复垦”的原则。具体方案按照《重庆峰磊矿业有限公司合川区盐井街道观音村五社建筑石料用灰岩矿矿山地质环境恢复治理和土地复垦方案》中的要求执行，复垦时采用种植灌木、乔木、边坡种草结合方式，尽量选用本地种且保持和项目所在区域景观、物种的一致性。本评价建议底盘复垦耕地面积不小于总体占用耕地面积，其他复垦为林地，土地复垦率应达到90%。</w:t>
      </w:r>
    </w:p>
    <w:p>
      <w:pPr>
        <w:pStyle w:val="222"/>
        <w:sectPr>
          <w:pgSz w:w="11907" w:h="16840"/>
          <w:pgMar w:top="1588" w:right="1418" w:bottom="1366" w:left="1418" w:header="851" w:footer="992" w:gutter="0"/>
          <w:cols w:space="425" w:num="1"/>
          <w:docGrid w:linePitch="312" w:charSpace="0"/>
        </w:sectPr>
      </w:pPr>
    </w:p>
    <w:p>
      <w:pPr>
        <w:pStyle w:val="3"/>
        <w:numPr>
          <w:ilvl w:val="0"/>
          <w:numId w:val="0"/>
        </w:numPr>
        <w:spacing w:before="240" w:after="240"/>
      </w:pPr>
      <w:bookmarkStart w:id="198" w:name="_Toc161676119"/>
      <w:r>
        <w:t>7环境风险评价</w:t>
      </w:r>
      <w:bookmarkEnd w:id="198"/>
    </w:p>
    <w:p>
      <w:pPr>
        <w:pStyle w:val="222"/>
      </w:pPr>
      <w:r>
        <w:t>根据《建设项目环境风险评价技术导则》（HJ 169-2018），以突发性事故导致的危险物质环境急性损害防控为目标，对建设项目的环境风险进行分析、预测和评估，提出环境风险防控、控制、减缓措施，明确环境风险监控及应急建议要求，为建设项目环境风险防控提供科学依据。</w:t>
      </w:r>
    </w:p>
    <w:p>
      <w:pPr>
        <w:pStyle w:val="4"/>
      </w:pPr>
      <w:bookmarkStart w:id="199" w:name="_Toc161676120"/>
      <w:r>
        <w:t>7.1评价依据</w:t>
      </w:r>
      <w:bookmarkEnd w:id="199"/>
    </w:p>
    <w:p>
      <w:pPr>
        <w:pStyle w:val="5"/>
        <w:rPr>
          <w:color w:val="auto"/>
        </w:rPr>
      </w:pPr>
      <w:r>
        <w:rPr>
          <w:color w:val="auto"/>
        </w:rPr>
        <w:t>7.1.1 风险调查</w:t>
      </w:r>
    </w:p>
    <w:p>
      <w:pPr>
        <w:pStyle w:val="222"/>
      </w:pPr>
      <w:r>
        <w:rPr>
          <w:lang w:bidi="en-US"/>
        </w:rPr>
        <w:t>本项目的爆破作业委托有资质的爆破公司实施，场区不设置炸药库。</w:t>
      </w:r>
      <w:r>
        <w:t>项目原料主要为石灰岩矿、柴油、润滑油，项目工业场地设柴油间，包括3个柴油罐（2用1备），根据《建设项目环境风险评价技术导则》（HJ 169-2018）附录B进行对比，本项目涉及的环境风险物质主要为柴油、润滑油和设备维护保养过程产生的少量废油，见下表。</w:t>
      </w:r>
    </w:p>
    <w:p>
      <w:pPr>
        <w:pStyle w:val="84"/>
      </w:pPr>
      <w:r>
        <w:t>表7.1-1  拟建项目危险物质识别一览表</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7"/>
        <w:gridCol w:w="1809"/>
        <w:gridCol w:w="1560"/>
        <w:gridCol w:w="1486"/>
        <w:gridCol w:w="1413"/>
        <w:gridCol w:w="1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65"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名称</w:t>
            </w:r>
          </w:p>
        </w:tc>
        <w:tc>
          <w:tcPr>
            <w:tcW w:w="974"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储存场所</w:t>
            </w:r>
          </w:p>
        </w:tc>
        <w:tc>
          <w:tcPr>
            <w:tcW w:w="84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储存方式</w:t>
            </w:r>
          </w:p>
        </w:tc>
        <w:tc>
          <w:tcPr>
            <w:tcW w:w="800"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单个容积</w:t>
            </w:r>
          </w:p>
        </w:tc>
        <w:tc>
          <w:tcPr>
            <w:tcW w:w="76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个/台数</w:t>
            </w:r>
          </w:p>
        </w:tc>
        <w:tc>
          <w:tcPr>
            <w:tcW w:w="761"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最大储存量t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865" w:type="pct"/>
            <w:vMerge w:val="restart"/>
            <w:vAlign w:val="center"/>
          </w:tcPr>
          <w:p>
            <w:pPr>
              <w:spacing w:line="240" w:lineRule="auto"/>
              <w:ind w:firstLine="0" w:firstLineChars="0"/>
              <w:jc w:val="center"/>
              <w:rPr>
                <w:sz w:val="21"/>
                <w:szCs w:val="21"/>
              </w:rPr>
            </w:pPr>
            <w:r>
              <w:rPr>
                <w:sz w:val="21"/>
                <w:szCs w:val="21"/>
              </w:rPr>
              <w:t>柴油</w:t>
            </w:r>
          </w:p>
        </w:tc>
        <w:tc>
          <w:tcPr>
            <w:tcW w:w="974" w:type="pct"/>
            <w:vMerge w:val="restart"/>
            <w:vAlign w:val="center"/>
          </w:tcPr>
          <w:p>
            <w:pPr>
              <w:spacing w:line="240" w:lineRule="auto"/>
              <w:ind w:firstLine="0" w:firstLineChars="0"/>
              <w:jc w:val="center"/>
              <w:rPr>
                <w:sz w:val="21"/>
                <w:szCs w:val="21"/>
              </w:rPr>
            </w:pPr>
            <w:r>
              <w:rPr>
                <w:sz w:val="21"/>
                <w:szCs w:val="21"/>
              </w:rPr>
              <w:t>工业场地</w:t>
            </w:r>
          </w:p>
        </w:tc>
        <w:tc>
          <w:tcPr>
            <w:tcW w:w="840" w:type="pct"/>
            <w:vMerge w:val="restart"/>
            <w:vAlign w:val="center"/>
          </w:tcPr>
          <w:p>
            <w:pPr>
              <w:spacing w:line="240" w:lineRule="auto"/>
              <w:ind w:firstLine="0" w:firstLineChars="0"/>
              <w:jc w:val="center"/>
              <w:rPr>
                <w:sz w:val="21"/>
                <w:szCs w:val="21"/>
              </w:rPr>
            </w:pPr>
            <w:r>
              <w:rPr>
                <w:sz w:val="21"/>
                <w:szCs w:val="21"/>
              </w:rPr>
              <w:t>卧式储罐</w:t>
            </w:r>
          </w:p>
        </w:tc>
        <w:tc>
          <w:tcPr>
            <w:tcW w:w="800" w:type="pct"/>
            <w:vAlign w:val="center"/>
          </w:tcPr>
          <w:p>
            <w:pPr>
              <w:spacing w:line="240" w:lineRule="auto"/>
              <w:ind w:firstLine="0" w:firstLineChars="0"/>
              <w:jc w:val="center"/>
              <w:rPr>
                <w:sz w:val="21"/>
                <w:szCs w:val="21"/>
              </w:rPr>
            </w:pPr>
            <w:r>
              <w:rPr>
                <w:sz w:val="21"/>
                <w:szCs w:val="21"/>
              </w:rPr>
              <w:t>20m</w:t>
            </w:r>
            <w:r>
              <w:rPr>
                <w:sz w:val="21"/>
                <w:szCs w:val="21"/>
                <w:vertAlign w:val="superscript"/>
              </w:rPr>
              <w:t>3</w:t>
            </w:r>
          </w:p>
        </w:tc>
        <w:tc>
          <w:tcPr>
            <w:tcW w:w="761" w:type="pct"/>
            <w:vAlign w:val="center"/>
          </w:tcPr>
          <w:p>
            <w:pPr>
              <w:spacing w:line="240" w:lineRule="auto"/>
              <w:ind w:firstLine="0" w:firstLineChars="0"/>
              <w:jc w:val="center"/>
              <w:rPr>
                <w:sz w:val="21"/>
                <w:szCs w:val="21"/>
              </w:rPr>
            </w:pPr>
            <w:r>
              <w:rPr>
                <w:sz w:val="21"/>
                <w:szCs w:val="21"/>
              </w:rPr>
              <w:t>2个</w:t>
            </w:r>
          </w:p>
        </w:tc>
        <w:tc>
          <w:tcPr>
            <w:tcW w:w="761" w:type="pct"/>
            <w:vAlign w:val="center"/>
          </w:tcPr>
          <w:p>
            <w:pPr>
              <w:spacing w:line="240" w:lineRule="auto"/>
              <w:ind w:firstLine="0" w:firstLineChars="0"/>
              <w:jc w:val="center"/>
              <w:rPr>
                <w:sz w:val="21"/>
                <w:szCs w:val="21"/>
              </w:rPr>
            </w:pPr>
            <w:r>
              <w:rPr>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865" w:type="pct"/>
            <w:vMerge w:val="continue"/>
            <w:vAlign w:val="center"/>
          </w:tcPr>
          <w:p>
            <w:pPr>
              <w:spacing w:line="240" w:lineRule="auto"/>
              <w:ind w:firstLine="0" w:firstLineChars="0"/>
              <w:jc w:val="center"/>
              <w:rPr>
                <w:sz w:val="21"/>
                <w:szCs w:val="21"/>
              </w:rPr>
            </w:pPr>
          </w:p>
        </w:tc>
        <w:tc>
          <w:tcPr>
            <w:tcW w:w="974" w:type="pct"/>
            <w:vMerge w:val="continue"/>
            <w:vAlign w:val="center"/>
          </w:tcPr>
          <w:p>
            <w:pPr>
              <w:spacing w:line="240" w:lineRule="auto"/>
              <w:ind w:firstLine="0" w:firstLineChars="0"/>
              <w:jc w:val="center"/>
              <w:rPr>
                <w:sz w:val="21"/>
                <w:szCs w:val="21"/>
              </w:rPr>
            </w:pPr>
          </w:p>
        </w:tc>
        <w:tc>
          <w:tcPr>
            <w:tcW w:w="840" w:type="pct"/>
            <w:vMerge w:val="continue"/>
            <w:vAlign w:val="center"/>
          </w:tcPr>
          <w:p>
            <w:pPr>
              <w:spacing w:line="240" w:lineRule="auto"/>
              <w:ind w:firstLine="0" w:firstLineChars="0"/>
              <w:jc w:val="center"/>
              <w:rPr>
                <w:sz w:val="21"/>
                <w:szCs w:val="21"/>
              </w:rPr>
            </w:pPr>
          </w:p>
        </w:tc>
        <w:tc>
          <w:tcPr>
            <w:tcW w:w="800" w:type="pct"/>
            <w:vAlign w:val="center"/>
          </w:tcPr>
          <w:p>
            <w:pPr>
              <w:spacing w:line="240" w:lineRule="auto"/>
              <w:ind w:firstLine="0" w:firstLineChars="0"/>
              <w:jc w:val="center"/>
              <w:rPr>
                <w:sz w:val="21"/>
                <w:szCs w:val="21"/>
              </w:rPr>
            </w:pPr>
            <w:r>
              <w:rPr>
                <w:sz w:val="21"/>
                <w:szCs w:val="21"/>
              </w:rPr>
              <w:t>15m</w:t>
            </w:r>
            <w:r>
              <w:rPr>
                <w:sz w:val="21"/>
                <w:szCs w:val="21"/>
                <w:vertAlign w:val="superscript"/>
              </w:rPr>
              <w:t>3</w:t>
            </w:r>
          </w:p>
        </w:tc>
        <w:tc>
          <w:tcPr>
            <w:tcW w:w="761" w:type="pct"/>
            <w:vAlign w:val="center"/>
          </w:tcPr>
          <w:p>
            <w:pPr>
              <w:spacing w:line="240" w:lineRule="auto"/>
              <w:ind w:firstLine="0" w:firstLineChars="0"/>
              <w:jc w:val="center"/>
              <w:rPr>
                <w:sz w:val="21"/>
                <w:szCs w:val="21"/>
              </w:rPr>
            </w:pPr>
            <w:r>
              <w:rPr>
                <w:sz w:val="21"/>
                <w:szCs w:val="21"/>
              </w:rPr>
              <w:t>1个</w:t>
            </w:r>
          </w:p>
        </w:tc>
        <w:tc>
          <w:tcPr>
            <w:tcW w:w="761" w:type="pct"/>
            <w:vAlign w:val="center"/>
          </w:tcPr>
          <w:p>
            <w:pPr>
              <w:spacing w:line="240" w:lineRule="auto"/>
              <w:ind w:firstLine="0" w:firstLineChars="0"/>
              <w:jc w:val="center"/>
              <w:rPr>
                <w:sz w:val="21"/>
                <w:szCs w:val="21"/>
              </w:rPr>
            </w:pPr>
            <w:r>
              <w:rPr>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65" w:type="pct"/>
            <w:vAlign w:val="center"/>
          </w:tcPr>
          <w:p>
            <w:pPr>
              <w:spacing w:line="240" w:lineRule="auto"/>
              <w:ind w:firstLine="0" w:firstLineChars="0"/>
              <w:jc w:val="center"/>
              <w:rPr>
                <w:sz w:val="21"/>
                <w:szCs w:val="21"/>
              </w:rPr>
            </w:pPr>
            <w:r>
              <w:rPr>
                <w:sz w:val="21"/>
                <w:szCs w:val="21"/>
              </w:rPr>
              <w:t>润滑油</w:t>
            </w:r>
          </w:p>
        </w:tc>
        <w:tc>
          <w:tcPr>
            <w:tcW w:w="974" w:type="pct"/>
            <w:vAlign w:val="center"/>
          </w:tcPr>
          <w:p>
            <w:pPr>
              <w:spacing w:line="240" w:lineRule="auto"/>
              <w:ind w:firstLine="0" w:firstLineChars="0"/>
              <w:jc w:val="center"/>
              <w:rPr>
                <w:sz w:val="21"/>
                <w:szCs w:val="21"/>
              </w:rPr>
            </w:pPr>
            <w:r>
              <w:rPr>
                <w:sz w:val="21"/>
                <w:szCs w:val="21"/>
              </w:rPr>
              <w:t>机修间</w:t>
            </w:r>
          </w:p>
        </w:tc>
        <w:tc>
          <w:tcPr>
            <w:tcW w:w="840" w:type="pct"/>
            <w:vAlign w:val="center"/>
          </w:tcPr>
          <w:p>
            <w:pPr>
              <w:spacing w:line="240" w:lineRule="auto"/>
              <w:ind w:firstLine="0" w:firstLineChars="0"/>
              <w:jc w:val="center"/>
              <w:rPr>
                <w:sz w:val="21"/>
                <w:szCs w:val="21"/>
              </w:rPr>
            </w:pPr>
            <w:r>
              <w:rPr>
                <w:sz w:val="21"/>
                <w:szCs w:val="21"/>
              </w:rPr>
              <w:t>桶装</w:t>
            </w:r>
          </w:p>
        </w:tc>
        <w:tc>
          <w:tcPr>
            <w:tcW w:w="800" w:type="pct"/>
            <w:vAlign w:val="center"/>
          </w:tcPr>
          <w:p>
            <w:pPr>
              <w:spacing w:line="240" w:lineRule="auto"/>
              <w:ind w:firstLine="0" w:firstLineChars="0"/>
              <w:jc w:val="center"/>
              <w:rPr>
                <w:sz w:val="21"/>
                <w:szCs w:val="21"/>
              </w:rPr>
            </w:pPr>
            <w:r>
              <w:rPr>
                <w:sz w:val="21"/>
                <w:szCs w:val="21"/>
              </w:rPr>
              <w:t>/</w:t>
            </w:r>
          </w:p>
        </w:tc>
        <w:tc>
          <w:tcPr>
            <w:tcW w:w="761" w:type="pct"/>
            <w:vAlign w:val="center"/>
          </w:tcPr>
          <w:p>
            <w:pPr>
              <w:spacing w:line="240" w:lineRule="auto"/>
              <w:ind w:firstLine="0" w:firstLineChars="0"/>
              <w:jc w:val="center"/>
              <w:rPr>
                <w:sz w:val="21"/>
                <w:szCs w:val="21"/>
              </w:rPr>
            </w:pPr>
            <w:r>
              <w:rPr>
                <w:sz w:val="21"/>
                <w:szCs w:val="21"/>
              </w:rPr>
              <w:t>/</w:t>
            </w:r>
          </w:p>
        </w:tc>
        <w:tc>
          <w:tcPr>
            <w:tcW w:w="761" w:type="pct"/>
            <w:vAlign w:val="center"/>
          </w:tcPr>
          <w:p>
            <w:pPr>
              <w:spacing w:line="240" w:lineRule="auto"/>
              <w:ind w:firstLine="0" w:firstLineChars="0"/>
              <w:jc w:val="center"/>
              <w:rPr>
                <w:sz w:val="21"/>
                <w:szCs w:val="21"/>
              </w:rPr>
            </w:pPr>
            <w:r>
              <w:rPr>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65" w:type="pct"/>
            <w:vAlign w:val="center"/>
          </w:tcPr>
          <w:p>
            <w:pPr>
              <w:spacing w:line="240" w:lineRule="auto"/>
              <w:ind w:firstLine="0" w:firstLineChars="0"/>
              <w:jc w:val="center"/>
              <w:rPr>
                <w:sz w:val="21"/>
                <w:szCs w:val="21"/>
              </w:rPr>
            </w:pPr>
            <w:r>
              <w:rPr>
                <w:sz w:val="21"/>
                <w:szCs w:val="21"/>
              </w:rPr>
              <w:t>废润滑油</w:t>
            </w:r>
          </w:p>
        </w:tc>
        <w:tc>
          <w:tcPr>
            <w:tcW w:w="974" w:type="pct"/>
            <w:vAlign w:val="center"/>
          </w:tcPr>
          <w:p>
            <w:pPr>
              <w:spacing w:line="240" w:lineRule="auto"/>
              <w:ind w:firstLine="0" w:firstLineChars="0"/>
              <w:jc w:val="center"/>
              <w:rPr>
                <w:sz w:val="21"/>
                <w:szCs w:val="21"/>
              </w:rPr>
            </w:pPr>
            <w:r>
              <w:rPr>
                <w:sz w:val="21"/>
                <w:szCs w:val="21"/>
              </w:rPr>
              <w:t>危险废物贮存间</w:t>
            </w:r>
          </w:p>
        </w:tc>
        <w:tc>
          <w:tcPr>
            <w:tcW w:w="840" w:type="pct"/>
            <w:vAlign w:val="center"/>
          </w:tcPr>
          <w:p>
            <w:pPr>
              <w:spacing w:line="240" w:lineRule="auto"/>
              <w:ind w:firstLine="0" w:firstLineChars="0"/>
              <w:jc w:val="center"/>
              <w:rPr>
                <w:sz w:val="21"/>
                <w:szCs w:val="21"/>
              </w:rPr>
            </w:pPr>
            <w:r>
              <w:rPr>
                <w:sz w:val="21"/>
                <w:szCs w:val="21"/>
              </w:rPr>
              <w:t>桶装</w:t>
            </w:r>
          </w:p>
        </w:tc>
        <w:tc>
          <w:tcPr>
            <w:tcW w:w="800" w:type="pct"/>
            <w:vAlign w:val="center"/>
          </w:tcPr>
          <w:p>
            <w:pPr>
              <w:spacing w:line="240" w:lineRule="auto"/>
              <w:ind w:firstLine="0" w:firstLineChars="0"/>
              <w:jc w:val="center"/>
              <w:rPr>
                <w:sz w:val="21"/>
                <w:szCs w:val="21"/>
              </w:rPr>
            </w:pPr>
            <w:r>
              <w:rPr>
                <w:sz w:val="21"/>
                <w:szCs w:val="21"/>
              </w:rPr>
              <w:t>/</w:t>
            </w:r>
          </w:p>
        </w:tc>
        <w:tc>
          <w:tcPr>
            <w:tcW w:w="761" w:type="pct"/>
            <w:vAlign w:val="center"/>
          </w:tcPr>
          <w:p>
            <w:pPr>
              <w:spacing w:line="240" w:lineRule="auto"/>
              <w:ind w:firstLine="0" w:firstLineChars="0"/>
              <w:jc w:val="center"/>
              <w:rPr>
                <w:sz w:val="21"/>
                <w:szCs w:val="21"/>
              </w:rPr>
            </w:pPr>
            <w:r>
              <w:rPr>
                <w:sz w:val="21"/>
                <w:szCs w:val="21"/>
              </w:rPr>
              <w:t>/</w:t>
            </w:r>
          </w:p>
        </w:tc>
        <w:tc>
          <w:tcPr>
            <w:tcW w:w="761" w:type="pct"/>
            <w:vAlign w:val="center"/>
          </w:tcPr>
          <w:p>
            <w:pPr>
              <w:spacing w:line="240" w:lineRule="auto"/>
              <w:ind w:firstLine="0" w:firstLineChars="0"/>
              <w:jc w:val="center"/>
              <w:rPr>
                <w:sz w:val="21"/>
                <w:szCs w:val="21"/>
              </w:rPr>
            </w:pPr>
            <w:r>
              <w:rPr>
                <w:sz w:val="21"/>
                <w:szCs w:val="21"/>
              </w:rPr>
              <w:t>0.2</w:t>
            </w:r>
          </w:p>
        </w:tc>
      </w:tr>
    </w:tbl>
    <w:p>
      <w:pPr>
        <w:pStyle w:val="222"/>
      </w:pPr>
      <w:r>
        <w:t>柴油属于易燃易爆物，可能存在因露天储存造成罐底破损引起柴油泄漏，野蛮操作、违规操作导致泄露，污染水体，甚至引发火灾。柴油化学性质见下表。</w:t>
      </w:r>
    </w:p>
    <w:p>
      <w:pPr>
        <w:pStyle w:val="84"/>
      </w:pPr>
      <w:r>
        <w:t>表7.1-2  柴油的理化性质和危险性分析表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04"/>
        <w:gridCol w:w="1597"/>
        <w:gridCol w:w="74"/>
        <w:gridCol w:w="719"/>
        <w:gridCol w:w="1579"/>
        <w:gridCol w:w="784"/>
        <w:gridCol w:w="1399"/>
        <w:gridCol w:w="141"/>
        <w:gridCol w:w="149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restart"/>
            <w:vAlign w:val="center"/>
          </w:tcPr>
          <w:p>
            <w:pPr>
              <w:spacing w:line="240" w:lineRule="atLeast"/>
              <w:ind w:firstLine="0" w:firstLineChars="0"/>
              <w:jc w:val="both"/>
              <w:rPr>
                <w:sz w:val="21"/>
                <w:szCs w:val="21"/>
              </w:rPr>
            </w:pPr>
            <w:r>
              <w:rPr>
                <w:sz w:val="21"/>
                <w:szCs w:val="21"/>
              </w:rPr>
              <w:t>理化性质</w:t>
            </w:r>
          </w:p>
        </w:tc>
        <w:tc>
          <w:tcPr>
            <w:tcW w:w="4190" w:type="pct"/>
            <w:gridSpan w:val="8"/>
            <w:vAlign w:val="center"/>
          </w:tcPr>
          <w:p>
            <w:pPr>
              <w:spacing w:line="240" w:lineRule="atLeast"/>
              <w:ind w:firstLine="0" w:firstLineChars="0"/>
              <w:jc w:val="both"/>
              <w:rPr>
                <w:sz w:val="21"/>
                <w:szCs w:val="21"/>
              </w:rPr>
            </w:pPr>
            <w:r>
              <w:rPr>
                <w:sz w:val="21"/>
                <w:szCs w:val="21"/>
              </w:rPr>
              <w:t>外观与性状：稍有粘性的淡黄色液体。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4190" w:type="pct"/>
            <w:gridSpan w:val="8"/>
            <w:vAlign w:val="center"/>
          </w:tcPr>
          <w:p>
            <w:pPr>
              <w:spacing w:line="240" w:lineRule="atLeast"/>
              <w:ind w:firstLine="0" w:firstLineChars="0"/>
              <w:jc w:val="both"/>
              <w:rPr>
                <w:sz w:val="21"/>
                <w:szCs w:val="21"/>
              </w:rPr>
            </w:pPr>
            <w:r>
              <w:rPr>
                <w:sz w:val="21"/>
                <w:szCs w:val="21"/>
              </w:rPr>
              <w:t>主要用途：主要用作柴油机的燃料。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1287" w:type="pct"/>
            <w:gridSpan w:val="3"/>
            <w:vAlign w:val="center"/>
          </w:tcPr>
          <w:p>
            <w:pPr>
              <w:spacing w:line="240" w:lineRule="atLeast"/>
              <w:ind w:firstLine="0" w:firstLineChars="0"/>
              <w:jc w:val="both"/>
              <w:rPr>
                <w:sz w:val="21"/>
                <w:szCs w:val="21"/>
              </w:rPr>
            </w:pPr>
            <w:r>
              <w:rPr>
                <w:sz w:val="21"/>
                <w:szCs w:val="21"/>
              </w:rPr>
              <w:t>凝固点（℃）</w:t>
            </w:r>
          </w:p>
        </w:tc>
        <w:tc>
          <w:tcPr>
            <w:tcW w:w="850" w:type="pct"/>
            <w:vAlign w:val="center"/>
          </w:tcPr>
          <w:p>
            <w:pPr>
              <w:spacing w:line="240" w:lineRule="atLeast"/>
              <w:ind w:firstLine="0" w:firstLineChars="0"/>
              <w:jc w:val="both"/>
              <w:rPr>
                <w:sz w:val="21"/>
                <w:szCs w:val="21"/>
              </w:rPr>
            </w:pPr>
            <w:r>
              <w:rPr>
                <w:sz w:val="21"/>
                <w:szCs w:val="21"/>
              </w:rPr>
              <w:t>0</w:t>
            </w:r>
          </w:p>
        </w:tc>
        <w:tc>
          <w:tcPr>
            <w:tcW w:w="1251" w:type="pct"/>
            <w:gridSpan w:val="3"/>
            <w:vAlign w:val="center"/>
          </w:tcPr>
          <w:p>
            <w:pPr>
              <w:spacing w:line="240" w:lineRule="atLeast"/>
              <w:ind w:firstLine="0" w:firstLineChars="0"/>
              <w:jc w:val="both"/>
              <w:rPr>
                <w:sz w:val="21"/>
                <w:szCs w:val="21"/>
              </w:rPr>
            </w:pPr>
            <w:r>
              <w:rPr>
                <w:sz w:val="21"/>
                <w:szCs w:val="21"/>
              </w:rPr>
              <w:t>相对密度（空气=1）</w:t>
            </w:r>
          </w:p>
        </w:tc>
        <w:tc>
          <w:tcPr>
            <w:tcW w:w="802" w:type="pct"/>
            <w:vAlign w:val="center"/>
          </w:tcPr>
          <w:p>
            <w:pPr>
              <w:spacing w:line="240" w:lineRule="atLeast"/>
              <w:ind w:firstLine="0" w:firstLineChars="0"/>
              <w:jc w:val="both"/>
              <w:rPr>
                <w:sz w:val="21"/>
                <w:szCs w:val="21"/>
              </w:rPr>
            </w:pPr>
            <w:r>
              <w:rPr>
                <w:sz w:val="21"/>
                <w:szCs w:val="21"/>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jc w:val="center"/>
        </w:trPr>
        <w:tc>
          <w:tcPr>
            <w:tcW w:w="810" w:type="pct"/>
            <w:vMerge w:val="continue"/>
            <w:vAlign w:val="center"/>
          </w:tcPr>
          <w:p>
            <w:pPr>
              <w:spacing w:line="240" w:lineRule="atLeast"/>
              <w:ind w:firstLine="0" w:firstLineChars="0"/>
              <w:jc w:val="both"/>
              <w:rPr>
                <w:sz w:val="21"/>
                <w:szCs w:val="21"/>
              </w:rPr>
            </w:pPr>
          </w:p>
        </w:tc>
        <w:tc>
          <w:tcPr>
            <w:tcW w:w="1287" w:type="pct"/>
            <w:gridSpan w:val="3"/>
            <w:vAlign w:val="center"/>
          </w:tcPr>
          <w:p>
            <w:pPr>
              <w:spacing w:line="240" w:lineRule="atLeast"/>
              <w:ind w:firstLine="0" w:firstLineChars="0"/>
              <w:jc w:val="both"/>
              <w:rPr>
                <w:sz w:val="21"/>
                <w:szCs w:val="21"/>
              </w:rPr>
            </w:pPr>
            <w:r>
              <w:rPr>
                <w:sz w:val="21"/>
                <w:szCs w:val="21"/>
              </w:rPr>
              <w:t>沸点（℃）</w:t>
            </w:r>
          </w:p>
        </w:tc>
        <w:tc>
          <w:tcPr>
            <w:tcW w:w="850" w:type="pct"/>
            <w:vAlign w:val="center"/>
          </w:tcPr>
          <w:p>
            <w:pPr>
              <w:spacing w:line="240" w:lineRule="atLeast"/>
              <w:ind w:firstLine="0" w:firstLineChars="0"/>
              <w:jc w:val="both"/>
              <w:rPr>
                <w:sz w:val="21"/>
                <w:szCs w:val="21"/>
              </w:rPr>
            </w:pPr>
            <w:r>
              <w:rPr>
                <w:sz w:val="21"/>
                <w:szCs w:val="21"/>
              </w:rPr>
              <w:t>282~338</w:t>
            </w:r>
          </w:p>
        </w:tc>
        <w:tc>
          <w:tcPr>
            <w:tcW w:w="1251" w:type="pct"/>
            <w:gridSpan w:val="3"/>
            <w:vAlign w:val="center"/>
          </w:tcPr>
          <w:p>
            <w:pPr>
              <w:spacing w:line="240" w:lineRule="atLeast"/>
              <w:ind w:firstLine="0" w:firstLineChars="0"/>
              <w:jc w:val="both"/>
              <w:rPr>
                <w:sz w:val="21"/>
                <w:szCs w:val="21"/>
              </w:rPr>
            </w:pPr>
            <w:r>
              <w:rPr>
                <w:sz w:val="21"/>
                <w:szCs w:val="21"/>
              </w:rPr>
              <w:t>相对密度（水=1）</w:t>
            </w:r>
          </w:p>
        </w:tc>
        <w:tc>
          <w:tcPr>
            <w:tcW w:w="802" w:type="pct"/>
            <w:vAlign w:val="center"/>
          </w:tcPr>
          <w:p>
            <w:pPr>
              <w:spacing w:line="240" w:lineRule="atLeast"/>
              <w:ind w:firstLine="0" w:firstLineChars="0"/>
              <w:jc w:val="both"/>
              <w:rPr>
                <w:sz w:val="21"/>
                <w:szCs w:val="21"/>
              </w:rPr>
            </w:pPr>
            <w:r>
              <w:rPr>
                <w:sz w:val="21"/>
                <w:szCs w:val="21"/>
              </w:rPr>
              <w:t>0.82~0.86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1287" w:type="pct"/>
            <w:gridSpan w:val="3"/>
            <w:vAlign w:val="center"/>
          </w:tcPr>
          <w:p>
            <w:pPr>
              <w:spacing w:line="240" w:lineRule="atLeast"/>
              <w:ind w:firstLine="0" w:firstLineChars="0"/>
              <w:jc w:val="both"/>
              <w:rPr>
                <w:sz w:val="21"/>
                <w:szCs w:val="21"/>
              </w:rPr>
            </w:pPr>
            <w:r>
              <w:rPr>
                <w:sz w:val="21"/>
                <w:szCs w:val="21"/>
              </w:rPr>
              <w:t>临界温度（℃）</w:t>
            </w:r>
          </w:p>
        </w:tc>
        <w:tc>
          <w:tcPr>
            <w:tcW w:w="850" w:type="pct"/>
            <w:vAlign w:val="center"/>
          </w:tcPr>
          <w:p>
            <w:pPr>
              <w:spacing w:line="240" w:lineRule="atLeast"/>
              <w:ind w:firstLine="0" w:firstLineChars="0"/>
              <w:jc w:val="both"/>
              <w:rPr>
                <w:sz w:val="21"/>
                <w:szCs w:val="21"/>
              </w:rPr>
            </w:pPr>
            <w:r>
              <w:rPr>
                <w:sz w:val="21"/>
                <w:szCs w:val="21"/>
              </w:rPr>
              <w:t>无资料</w:t>
            </w:r>
          </w:p>
        </w:tc>
        <w:tc>
          <w:tcPr>
            <w:tcW w:w="1251" w:type="pct"/>
            <w:gridSpan w:val="3"/>
            <w:vAlign w:val="center"/>
          </w:tcPr>
          <w:p>
            <w:pPr>
              <w:spacing w:line="240" w:lineRule="atLeast"/>
              <w:ind w:firstLine="0" w:firstLineChars="0"/>
              <w:jc w:val="both"/>
              <w:rPr>
                <w:sz w:val="21"/>
                <w:szCs w:val="21"/>
              </w:rPr>
            </w:pPr>
            <w:r>
              <w:rPr>
                <w:sz w:val="21"/>
                <w:szCs w:val="21"/>
              </w:rPr>
              <w:t>临界压力 （MPa）</w:t>
            </w:r>
          </w:p>
        </w:tc>
        <w:tc>
          <w:tcPr>
            <w:tcW w:w="802" w:type="pct"/>
            <w:vAlign w:val="center"/>
          </w:tcPr>
          <w:p>
            <w:pPr>
              <w:spacing w:line="240" w:lineRule="atLeast"/>
              <w:ind w:firstLine="0" w:firstLineChars="0"/>
              <w:jc w:val="both"/>
              <w:rPr>
                <w:sz w:val="21"/>
                <w:szCs w:val="21"/>
              </w:rPr>
            </w:pPr>
            <w:r>
              <w:rPr>
                <w:sz w:val="21"/>
                <w:szCs w:val="21"/>
              </w:rPr>
              <w:t>无资料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1287" w:type="pct"/>
            <w:gridSpan w:val="3"/>
            <w:vAlign w:val="center"/>
          </w:tcPr>
          <w:p>
            <w:pPr>
              <w:spacing w:line="240" w:lineRule="atLeast"/>
              <w:ind w:firstLine="0" w:firstLineChars="0"/>
              <w:jc w:val="both"/>
              <w:rPr>
                <w:sz w:val="21"/>
                <w:szCs w:val="21"/>
              </w:rPr>
            </w:pPr>
            <w:r>
              <w:rPr>
                <w:sz w:val="21"/>
                <w:szCs w:val="21"/>
              </w:rPr>
              <w:t>饱和蒸汽压（kPa）</w:t>
            </w:r>
          </w:p>
        </w:tc>
        <w:tc>
          <w:tcPr>
            <w:tcW w:w="850" w:type="pct"/>
            <w:vAlign w:val="center"/>
          </w:tcPr>
          <w:p>
            <w:pPr>
              <w:spacing w:line="240" w:lineRule="atLeast"/>
              <w:ind w:firstLine="0" w:firstLineChars="0"/>
              <w:jc w:val="both"/>
              <w:rPr>
                <w:sz w:val="21"/>
                <w:szCs w:val="21"/>
              </w:rPr>
            </w:pPr>
            <w:r>
              <w:rPr>
                <w:sz w:val="21"/>
                <w:szCs w:val="21"/>
              </w:rPr>
              <w:t>4.0</w:t>
            </w:r>
          </w:p>
        </w:tc>
        <w:tc>
          <w:tcPr>
            <w:tcW w:w="1251" w:type="pct"/>
            <w:gridSpan w:val="3"/>
            <w:vAlign w:val="center"/>
          </w:tcPr>
          <w:p>
            <w:pPr>
              <w:spacing w:line="240" w:lineRule="atLeast"/>
              <w:ind w:firstLine="0" w:firstLineChars="0"/>
              <w:jc w:val="both"/>
              <w:rPr>
                <w:sz w:val="21"/>
                <w:szCs w:val="21"/>
              </w:rPr>
            </w:pPr>
            <w:r>
              <w:rPr>
                <w:sz w:val="21"/>
                <w:szCs w:val="21"/>
              </w:rPr>
              <w:t>燃烧热 （MJ/kg）</w:t>
            </w:r>
          </w:p>
        </w:tc>
        <w:tc>
          <w:tcPr>
            <w:tcW w:w="802" w:type="pct"/>
            <w:vAlign w:val="center"/>
          </w:tcPr>
          <w:p>
            <w:pPr>
              <w:spacing w:line="240" w:lineRule="atLeast"/>
              <w:ind w:firstLine="0" w:firstLineChars="0"/>
              <w:jc w:val="both"/>
              <w:rPr>
                <w:sz w:val="21"/>
                <w:szCs w:val="21"/>
              </w:rPr>
            </w:pPr>
            <w:r>
              <w:rPr>
                <w:sz w:val="21"/>
                <w:szCs w:val="21"/>
              </w:rPr>
              <w:t>33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1287" w:type="pct"/>
            <w:gridSpan w:val="3"/>
            <w:vAlign w:val="center"/>
          </w:tcPr>
          <w:p>
            <w:pPr>
              <w:spacing w:line="240" w:lineRule="atLeast"/>
              <w:ind w:firstLine="0" w:firstLineChars="0"/>
              <w:jc w:val="both"/>
              <w:rPr>
                <w:sz w:val="21"/>
                <w:szCs w:val="21"/>
              </w:rPr>
            </w:pPr>
            <w:r>
              <w:rPr>
                <w:sz w:val="21"/>
                <w:szCs w:val="21"/>
              </w:rPr>
              <w:t>最小引燃热量（mJ）</w:t>
            </w:r>
          </w:p>
        </w:tc>
        <w:tc>
          <w:tcPr>
            <w:tcW w:w="2904" w:type="pct"/>
            <w:gridSpan w:val="5"/>
            <w:vAlign w:val="center"/>
          </w:tcPr>
          <w:p>
            <w:pPr>
              <w:spacing w:line="240" w:lineRule="atLeast"/>
              <w:ind w:firstLine="0" w:firstLineChars="0"/>
              <w:jc w:val="both"/>
              <w:rPr>
                <w:sz w:val="21"/>
                <w:szCs w:val="21"/>
              </w:rPr>
            </w:pPr>
            <w:r>
              <w:rPr>
                <w:sz w:val="21"/>
                <w:szCs w:val="21"/>
                <w:lang w:val="en-GB"/>
              </w:rPr>
              <w:t>无资料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jc w:val="center"/>
        </w:trPr>
        <w:tc>
          <w:tcPr>
            <w:tcW w:w="810" w:type="pct"/>
            <w:vMerge w:val="continue"/>
            <w:vAlign w:val="center"/>
          </w:tcPr>
          <w:p>
            <w:pPr>
              <w:spacing w:line="240" w:lineRule="atLeast"/>
              <w:ind w:firstLine="0" w:firstLineChars="0"/>
              <w:jc w:val="both"/>
              <w:rPr>
                <w:sz w:val="21"/>
                <w:szCs w:val="21"/>
              </w:rPr>
            </w:pPr>
          </w:p>
        </w:tc>
        <w:tc>
          <w:tcPr>
            <w:tcW w:w="4190" w:type="pct"/>
            <w:gridSpan w:val="8"/>
            <w:vAlign w:val="center"/>
          </w:tcPr>
          <w:p>
            <w:pPr>
              <w:spacing w:line="240" w:lineRule="atLeast"/>
              <w:ind w:firstLine="0" w:firstLineChars="0"/>
              <w:jc w:val="both"/>
              <w:rPr>
                <w:sz w:val="21"/>
                <w:szCs w:val="21"/>
              </w:rPr>
            </w:pPr>
            <w:r>
              <w:rPr>
                <w:sz w:val="21"/>
                <w:szCs w:val="21"/>
              </w:rPr>
              <w:t>溶解性： 不溶于水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restart"/>
            <w:vAlign w:val="center"/>
          </w:tcPr>
          <w:p>
            <w:pPr>
              <w:spacing w:line="240" w:lineRule="atLeast"/>
              <w:ind w:firstLine="0" w:firstLineChars="0"/>
              <w:jc w:val="both"/>
              <w:rPr>
                <w:sz w:val="21"/>
                <w:szCs w:val="21"/>
              </w:rPr>
            </w:pPr>
            <w:r>
              <w:rPr>
                <w:sz w:val="21"/>
                <w:szCs w:val="21"/>
              </w:rPr>
              <w:t>毒性及健康危害</w:t>
            </w:r>
          </w:p>
        </w:tc>
        <w:tc>
          <w:tcPr>
            <w:tcW w:w="860" w:type="pct"/>
            <w:vMerge w:val="restart"/>
            <w:vAlign w:val="center"/>
          </w:tcPr>
          <w:p>
            <w:pPr>
              <w:spacing w:line="240" w:lineRule="atLeast"/>
              <w:ind w:firstLine="0" w:firstLineChars="0"/>
              <w:jc w:val="both"/>
              <w:rPr>
                <w:sz w:val="21"/>
                <w:szCs w:val="21"/>
              </w:rPr>
            </w:pPr>
            <w:r>
              <w:rPr>
                <w:sz w:val="21"/>
                <w:szCs w:val="21"/>
              </w:rPr>
              <w:t>接触限值</w:t>
            </w:r>
          </w:p>
          <w:p>
            <w:pPr>
              <w:spacing w:line="240" w:lineRule="atLeast"/>
              <w:ind w:firstLine="0" w:firstLineChars="0"/>
              <w:jc w:val="both"/>
              <w:rPr>
                <w:sz w:val="21"/>
                <w:szCs w:val="21"/>
              </w:rPr>
            </w:pPr>
            <w:r>
              <w:rPr>
                <w:sz w:val="21"/>
                <w:szCs w:val="21"/>
              </w:rPr>
              <w:t>（mg/m</w:t>
            </w:r>
            <w:r>
              <w:rPr>
                <w:sz w:val="21"/>
                <w:szCs w:val="21"/>
                <w:vertAlign w:val="superscript"/>
              </w:rPr>
              <w:t>3</w:t>
            </w:r>
            <w:r>
              <w:rPr>
                <w:sz w:val="21"/>
                <w:szCs w:val="21"/>
              </w:rPr>
              <w:t>）</w:t>
            </w:r>
          </w:p>
        </w:tc>
        <w:tc>
          <w:tcPr>
            <w:tcW w:w="1699" w:type="pct"/>
            <w:gridSpan w:val="4"/>
            <w:vAlign w:val="center"/>
          </w:tcPr>
          <w:p>
            <w:pPr>
              <w:spacing w:line="240" w:lineRule="atLeast"/>
              <w:ind w:firstLine="0" w:firstLineChars="0"/>
              <w:jc w:val="both"/>
              <w:rPr>
                <w:sz w:val="21"/>
                <w:szCs w:val="21"/>
              </w:rPr>
            </w:pPr>
            <w:r>
              <w:rPr>
                <w:sz w:val="21"/>
                <w:szCs w:val="21"/>
              </w:rPr>
              <w:t>中国MAC：</w:t>
            </w:r>
            <w:r>
              <w:rPr>
                <w:sz w:val="21"/>
                <w:szCs w:val="21"/>
                <w:lang w:val="en-GB"/>
              </w:rPr>
              <w:t>未制定标准</w:t>
            </w:r>
          </w:p>
        </w:tc>
        <w:tc>
          <w:tcPr>
            <w:tcW w:w="1631" w:type="pct"/>
            <w:gridSpan w:val="3"/>
            <w:vAlign w:val="center"/>
          </w:tcPr>
          <w:p>
            <w:pPr>
              <w:spacing w:line="240" w:lineRule="atLeast"/>
              <w:ind w:firstLine="0" w:firstLineChars="0"/>
              <w:jc w:val="both"/>
              <w:rPr>
                <w:sz w:val="21"/>
                <w:szCs w:val="21"/>
              </w:rPr>
            </w:pPr>
            <w:r>
              <w:rPr>
                <w:sz w:val="21"/>
                <w:szCs w:val="21"/>
              </w:rPr>
              <w:t>美国TWA：</w:t>
            </w:r>
            <w:r>
              <w:rPr>
                <w:sz w:val="21"/>
                <w:szCs w:val="21"/>
                <w:lang w:val="en-GB"/>
              </w:rPr>
              <w:t>无资料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860" w:type="pct"/>
            <w:vMerge w:val="continue"/>
            <w:vAlign w:val="center"/>
          </w:tcPr>
          <w:p>
            <w:pPr>
              <w:spacing w:line="240" w:lineRule="atLeast"/>
              <w:ind w:firstLine="0" w:firstLineChars="0"/>
              <w:jc w:val="both"/>
              <w:rPr>
                <w:sz w:val="21"/>
                <w:szCs w:val="21"/>
              </w:rPr>
            </w:pPr>
          </w:p>
        </w:tc>
        <w:tc>
          <w:tcPr>
            <w:tcW w:w="1699" w:type="pct"/>
            <w:gridSpan w:val="4"/>
            <w:vAlign w:val="center"/>
          </w:tcPr>
          <w:p>
            <w:pPr>
              <w:spacing w:line="240" w:lineRule="atLeast"/>
              <w:ind w:firstLine="0" w:firstLineChars="0"/>
              <w:jc w:val="both"/>
              <w:rPr>
                <w:sz w:val="21"/>
                <w:szCs w:val="21"/>
              </w:rPr>
            </w:pPr>
            <w:r>
              <w:rPr>
                <w:sz w:val="21"/>
                <w:szCs w:val="21"/>
              </w:rPr>
              <w:t>前苏联MAC：</w:t>
            </w:r>
            <w:r>
              <w:rPr>
                <w:sz w:val="21"/>
                <w:szCs w:val="21"/>
                <w:lang w:val="en-GB"/>
              </w:rPr>
              <w:t>未制定标准</w:t>
            </w:r>
          </w:p>
        </w:tc>
        <w:tc>
          <w:tcPr>
            <w:tcW w:w="1631" w:type="pct"/>
            <w:gridSpan w:val="3"/>
            <w:vAlign w:val="center"/>
          </w:tcPr>
          <w:p>
            <w:pPr>
              <w:spacing w:line="240" w:lineRule="atLeast"/>
              <w:ind w:firstLine="0" w:firstLineChars="0"/>
              <w:jc w:val="both"/>
              <w:rPr>
                <w:sz w:val="21"/>
                <w:szCs w:val="21"/>
              </w:rPr>
            </w:pPr>
            <w:r>
              <w:rPr>
                <w:sz w:val="21"/>
                <w:szCs w:val="21"/>
              </w:rPr>
              <w:t>美国STEL：</w:t>
            </w:r>
            <w:r>
              <w:rPr>
                <w:sz w:val="21"/>
                <w:szCs w:val="21"/>
                <w:lang w:val="en-GB"/>
              </w:rPr>
              <w:t>无资料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860" w:type="pct"/>
            <w:vAlign w:val="center"/>
          </w:tcPr>
          <w:p>
            <w:pPr>
              <w:spacing w:line="240" w:lineRule="atLeast"/>
              <w:ind w:firstLine="0" w:firstLineChars="0"/>
              <w:jc w:val="both"/>
              <w:rPr>
                <w:sz w:val="21"/>
                <w:szCs w:val="21"/>
              </w:rPr>
            </w:pPr>
            <w:r>
              <w:rPr>
                <w:sz w:val="21"/>
                <w:szCs w:val="21"/>
              </w:rPr>
              <w:t>侵入途径</w:t>
            </w:r>
          </w:p>
        </w:tc>
        <w:tc>
          <w:tcPr>
            <w:tcW w:w="1699" w:type="pct"/>
            <w:gridSpan w:val="4"/>
            <w:vAlign w:val="center"/>
          </w:tcPr>
          <w:p>
            <w:pPr>
              <w:spacing w:line="240" w:lineRule="atLeast"/>
              <w:ind w:firstLine="0" w:firstLineChars="0"/>
              <w:jc w:val="both"/>
              <w:rPr>
                <w:sz w:val="21"/>
                <w:szCs w:val="21"/>
              </w:rPr>
            </w:pPr>
            <w:r>
              <w:rPr>
                <w:sz w:val="21"/>
                <w:szCs w:val="21"/>
                <w:lang w:val="en-GB"/>
              </w:rPr>
              <w:t>吸入、食入、皮肤接触。</w:t>
            </w:r>
          </w:p>
        </w:tc>
        <w:tc>
          <w:tcPr>
            <w:tcW w:w="1631" w:type="pct"/>
            <w:gridSpan w:val="3"/>
            <w:vAlign w:val="center"/>
          </w:tcPr>
          <w:p>
            <w:pPr>
              <w:spacing w:line="240" w:lineRule="atLeast"/>
              <w:ind w:firstLine="0" w:firstLineChars="0"/>
              <w:jc w:val="both"/>
              <w:rPr>
                <w:sz w:val="21"/>
                <w:szCs w:val="21"/>
              </w:rPr>
            </w:pPr>
            <w:r>
              <w:rPr>
                <w:sz w:val="21"/>
                <w:szCs w:val="21"/>
              </w:rPr>
              <w:t>毒性：LD</w:t>
            </w:r>
            <w:r>
              <w:rPr>
                <w:sz w:val="21"/>
                <w:szCs w:val="21"/>
                <w:vertAlign w:val="subscript"/>
              </w:rPr>
              <w:t>50</w:t>
            </w:r>
            <w:r>
              <w:rPr>
                <w:sz w:val="21"/>
                <w:szCs w:val="21"/>
              </w:rPr>
              <w:t>：</w:t>
            </w:r>
            <w:r>
              <w:rPr>
                <w:sz w:val="21"/>
                <w:szCs w:val="21"/>
                <w:lang w:val="en-GB"/>
              </w:rPr>
              <w:t>7500mg/kg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jc w:val="center"/>
        </w:trPr>
        <w:tc>
          <w:tcPr>
            <w:tcW w:w="810" w:type="pct"/>
            <w:vMerge w:val="continue"/>
            <w:vAlign w:val="center"/>
          </w:tcPr>
          <w:p>
            <w:pPr>
              <w:spacing w:line="240" w:lineRule="atLeast"/>
              <w:ind w:firstLine="0" w:firstLineChars="0"/>
              <w:jc w:val="both"/>
              <w:rPr>
                <w:sz w:val="21"/>
                <w:szCs w:val="21"/>
              </w:rPr>
            </w:pPr>
          </w:p>
        </w:tc>
        <w:tc>
          <w:tcPr>
            <w:tcW w:w="860" w:type="pct"/>
            <w:vAlign w:val="center"/>
          </w:tcPr>
          <w:p>
            <w:pPr>
              <w:spacing w:line="240" w:lineRule="atLeast"/>
              <w:ind w:firstLine="0" w:firstLineChars="0"/>
              <w:jc w:val="both"/>
              <w:rPr>
                <w:sz w:val="21"/>
                <w:szCs w:val="21"/>
              </w:rPr>
            </w:pPr>
            <w:r>
              <w:rPr>
                <w:sz w:val="21"/>
                <w:szCs w:val="21"/>
              </w:rPr>
              <w:t>健康危害</w:t>
            </w:r>
          </w:p>
        </w:tc>
        <w:tc>
          <w:tcPr>
            <w:tcW w:w="3330" w:type="pct"/>
            <w:gridSpan w:val="7"/>
            <w:vAlign w:val="center"/>
          </w:tcPr>
          <w:p>
            <w:pPr>
              <w:spacing w:line="240" w:lineRule="atLeast"/>
              <w:ind w:firstLine="0" w:firstLineChars="0"/>
              <w:jc w:val="both"/>
              <w:rPr>
                <w:sz w:val="21"/>
                <w:szCs w:val="21"/>
              </w:rPr>
            </w:pPr>
            <w:r>
              <w:rPr>
                <w:sz w:val="21"/>
                <w:szCs w:val="21"/>
              </w:rPr>
              <w:t>皮肤接触为主要吸收途径，可致急性肾脏损害。柴油可引起接触性皮炎、油性痤疮。吸入其雾滴或液体呛入可引起吸入性肺炎。能经胎盘进入胎儿血中。柴油废气可引起眼、鼻刺激症状、头晕及头痛。</w:t>
            </w:r>
          </w:p>
          <w:p>
            <w:pPr>
              <w:spacing w:line="240" w:lineRule="atLeast"/>
              <w:ind w:firstLine="0" w:firstLineChars="0"/>
              <w:jc w:val="both"/>
              <w:rPr>
                <w:sz w:val="21"/>
                <w:szCs w:val="21"/>
              </w:rPr>
            </w:pPr>
            <w:r>
              <w:rPr>
                <w:sz w:val="21"/>
                <w:szCs w:val="21"/>
              </w:rPr>
              <w:t>环境危害：对环境有危害，对水体和大气可造成污染。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860" w:type="pct"/>
            <w:vAlign w:val="center"/>
          </w:tcPr>
          <w:p>
            <w:pPr>
              <w:spacing w:line="240" w:lineRule="atLeast"/>
              <w:ind w:firstLine="0" w:firstLineChars="0"/>
              <w:jc w:val="both"/>
              <w:rPr>
                <w:sz w:val="21"/>
                <w:szCs w:val="21"/>
              </w:rPr>
            </w:pPr>
            <w:r>
              <w:rPr>
                <w:sz w:val="21"/>
                <w:szCs w:val="21"/>
              </w:rPr>
              <w:t>急救措施</w:t>
            </w:r>
          </w:p>
        </w:tc>
        <w:tc>
          <w:tcPr>
            <w:tcW w:w="3330" w:type="pct"/>
            <w:gridSpan w:val="7"/>
            <w:vAlign w:val="center"/>
          </w:tcPr>
          <w:p>
            <w:pPr>
              <w:spacing w:line="240" w:lineRule="atLeast"/>
              <w:ind w:firstLine="0" w:firstLineChars="0"/>
              <w:jc w:val="both"/>
              <w:rPr>
                <w:sz w:val="21"/>
                <w:szCs w:val="21"/>
              </w:rPr>
            </w:pPr>
            <w:r>
              <w:rPr>
                <w:sz w:val="21"/>
                <w:szCs w:val="21"/>
              </w:rPr>
              <w:t>皮肤接触：立即脱去污染的衣着，用肥皂水和清水彻底冲洗皮肤。就医。</w:t>
            </w:r>
          </w:p>
          <w:p>
            <w:pPr>
              <w:spacing w:line="240" w:lineRule="atLeast"/>
              <w:ind w:firstLine="0" w:firstLineChars="0"/>
              <w:jc w:val="both"/>
              <w:rPr>
                <w:sz w:val="21"/>
                <w:szCs w:val="21"/>
              </w:rPr>
            </w:pPr>
            <w:r>
              <w:rPr>
                <w:sz w:val="21"/>
                <w:szCs w:val="21"/>
              </w:rPr>
              <w:t>眼睛接触：立即提起眼睑，用流动清水或生理盐水冲洗。就医。</w:t>
            </w:r>
          </w:p>
          <w:p>
            <w:pPr>
              <w:spacing w:line="240" w:lineRule="atLeast"/>
              <w:ind w:firstLine="0" w:firstLineChars="0"/>
              <w:jc w:val="both"/>
              <w:rPr>
                <w:sz w:val="21"/>
                <w:szCs w:val="21"/>
              </w:rPr>
            </w:pPr>
            <w:r>
              <w:rPr>
                <w:sz w:val="21"/>
                <w:szCs w:val="21"/>
              </w:rPr>
              <w:t>吸入：迅速脱离现场至空气清新处，保持呼吸道畅通。如呼吸困难，给输氧。如呼吸停止，立即进行人工呼吸。就医。</w:t>
            </w:r>
          </w:p>
          <w:p>
            <w:pPr>
              <w:spacing w:line="240" w:lineRule="atLeast"/>
              <w:ind w:firstLine="0" w:firstLineChars="0"/>
              <w:jc w:val="both"/>
              <w:rPr>
                <w:sz w:val="21"/>
                <w:szCs w:val="21"/>
              </w:rPr>
            </w:pPr>
            <w:r>
              <w:rPr>
                <w:sz w:val="21"/>
                <w:szCs w:val="21"/>
              </w:rPr>
              <w:t>食入：尽快彻底洗胃。就医。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restart"/>
            <w:vAlign w:val="center"/>
          </w:tcPr>
          <w:p>
            <w:pPr>
              <w:spacing w:line="240" w:lineRule="atLeast"/>
              <w:ind w:firstLine="0" w:firstLineChars="0"/>
              <w:jc w:val="both"/>
              <w:rPr>
                <w:sz w:val="21"/>
                <w:szCs w:val="21"/>
              </w:rPr>
            </w:pPr>
            <w:r>
              <w:rPr>
                <w:sz w:val="21"/>
                <w:szCs w:val="21"/>
              </w:rPr>
              <w:t>燃烧爆炸危险性</w:t>
            </w:r>
          </w:p>
        </w:tc>
        <w:tc>
          <w:tcPr>
            <w:tcW w:w="900" w:type="pct"/>
            <w:gridSpan w:val="2"/>
            <w:vAlign w:val="center"/>
          </w:tcPr>
          <w:p>
            <w:pPr>
              <w:spacing w:line="240" w:lineRule="atLeast"/>
              <w:ind w:firstLine="0" w:firstLineChars="0"/>
              <w:jc w:val="both"/>
              <w:rPr>
                <w:sz w:val="21"/>
                <w:szCs w:val="21"/>
              </w:rPr>
            </w:pPr>
            <w:r>
              <w:rPr>
                <w:sz w:val="21"/>
                <w:szCs w:val="21"/>
              </w:rPr>
              <w:t>燃烧性</w:t>
            </w:r>
          </w:p>
        </w:tc>
        <w:tc>
          <w:tcPr>
            <w:tcW w:w="1237" w:type="pct"/>
            <w:gridSpan w:val="2"/>
            <w:vAlign w:val="center"/>
          </w:tcPr>
          <w:p>
            <w:pPr>
              <w:spacing w:line="240" w:lineRule="atLeast"/>
              <w:ind w:firstLine="0" w:firstLineChars="0"/>
              <w:jc w:val="both"/>
              <w:rPr>
                <w:sz w:val="21"/>
                <w:szCs w:val="21"/>
              </w:rPr>
            </w:pPr>
            <w:r>
              <w:rPr>
                <w:sz w:val="21"/>
                <w:szCs w:val="21"/>
              </w:rPr>
              <w:t>易燃</w:t>
            </w:r>
          </w:p>
        </w:tc>
        <w:tc>
          <w:tcPr>
            <w:tcW w:w="1175" w:type="pct"/>
            <w:gridSpan w:val="2"/>
            <w:vAlign w:val="center"/>
          </w:tcPr>
          <w:p>
            <w:pPr>
              <w:spacing w:line="240" w:lineRule="atLeast"/>
              <w:ind w:firstLine="0" w:firstLineChars="0"/>
              <w:jc w:val="both"/>
              <w:rPr>
                <w:sz w:val="21"/>
                <w:szCs w:val="21"/>
              </w:rPr>
            </w:pPr>
            <w:r>
              <w:rPr>
                <w:sz w:val="21"/>
                <w:szCs w:val="21"/>
              </w:rPr>
              <w:t>闪点（℃）</w:t>
            </w:r>
          </w:p>
        </w:tc>
        <w:tc>
          <w:tcPr>
            <w:tcW w:w="878" w:type="pct"/>
            <w:gridSpan w:val="2"/>
            <w:vAlign w:val="center"/>
          </w:tcPr>
          <w:p>
            <w:pPr>
              <w:spacing w:line="240" w:lineRule="atLeast"/>
              <w:ind w:firstLine="0" w:firstLineChars="0"/>
              <w:jc w:val="both"/>
              <w:rPr>
                <w:sz w:val="21"/>
                <w:szCs w:val="21"/>
              </w:rPr>
            </w:pPr>
            <w:r>
              <w:rPr>
                <w:sz w:val="21"/>
                <w:szCs w:val="21"/>
                <w:lang w:val="en-GB"/>
              </w:rPr>
              <w:t>不低于55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自燃温度（℃）</w:t>
            </w:r>
          </w:p>
        </w:tc>
        <w:tc>
          <w:tcPr>
            <w:tcW w:w="1237" w:type="pct"/>
            <w:gridSpan w:val="2"/>
            <w:vAlign w:val="center"/>
          </w:tcPr>
          <w:p>
            <w:pPr>
              <w:spacing w:line="240" w:lineRule="atLeast"/>
              <w:ind w:firstLine="0" w:firstLineChars="0"/>
              <w:jc w:val="both"/>
              <w:rPr>
                <w:sz w:val="21"/>
                <w:szCs w:val="21"/>
                <w:lang w:val="en-GB"/>
              </w:rPr>
            </w:pPr>
            <w:r>
              <w:rPr>
                <w:sz w:val="21"/>
                <w:szCs w:val="21"/>
                <w:lang w:val="en-GB"/>
              </w:rPr>
              <w:t>/</w:t>
            </w:r>
          </w:p>
        </w:tc>
        <w:tc>
          <w:tcPr>
            <w:tcW w:w="1175" w:type="pct"/>
            <w:gridSpan w:val="2"/>
            <w:vAlign w:val="center"/>
          </w:tcPr>
          <w:p>
            <w:pPr>
              <w:spacing w:line="240" w:lineRule="atLeast"/>
              <w:ind w:firstLine="0" w:firstLineChars="0"/>
              <w:jc w:val="both"/>
              <w:rPr>
                <w:sz w:val="21"/>
                <w:szCs w:val="21"/>
              </w:rPr>
            </w:pPr>
            <w:r>
              <w:rPr>
                <w:sz w:val="21"/>
                <w:szCs w:val="21"/>
              </w:rPr>
              <w:t>爆炸极限</w:t>
            </w:r>
            <w:r>
              <w:rPr>
                <w:sz w:val="21"/>
                <w:szCs w:val="21"/>
                <w:lang w:val="en-GB"/>
              </w:rPr>
              <w:t>（v</w:t>
            </w:r>
            <w:r>
              <w:rPr>
                <w:sz w:val="21"/>
                <w:szCs w:val="21"/>
              </w:rPr>
              <w:t xml:space="preserve"> %</w:t>
            </w:r>
            <w:r>
              <w:rPr>
                <w:sz w:val="21"/>
                <w:szCs w:val="21"/>
                <w:lang w:val="en-GB"/>
              </w:rPr>
              <w:t>）</w:t>
            </w:r>
          </w:p>
        </w:tc>
        <w:tc>
          <w:tcPr>
            <w:tcW w:w="878" w:type="pct"/>
            <w:gridSpan w:val="2"/>
            <w:vAlign w:val="center"/>
          </w:tcPr>
          <w:p>
            <w:pPr>
              <w:spacing w:line="240" w:lineRule="atLeast"/>
              <w:ind w:firstLine="0" w:firstLineChars="0"/>
              <w:jc w:val="both"/>
              <w:rPr>
                <w:sz w:val="21"/>
                <w:szCs w:val="21"/>
              </w:rPr>
            </w:pPr>
            <w:r>
              <w:rPr>
                <w:sz w:val="21"/>
                <w:szCs w:val="21"/>
              </w:rPr>
              <w:t>0.7～5.0%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危险特性</w:t>
            </w:r>
          </w:p>
        </w:tc>
        <w:tc>
          <w:tcPr>
            <w:tcW w:w="3291" w:type="pct"/>
            <w:gridSpan w:val="6"/>
            <w:vAlign w:val="center"/>
          </w:tcPr>
          <w:p>
            <w:pPr>
              <w:spacing w:line="240" w:lineRule="atLeast"/>
              <w:ind w:firstLine="0" w:firstLineChars="0"/>
              <w:jc w:val="both"/>
              <w:rPr>
                <w:sz w:val="21"/>
                <w:szCs w:val="21"/>
              </w:rPr>
            </w:pPr>
            <w:r>
              <w:rPr>
                <w:sz w:val="21"/>
                <w:szCs w:val="21"/>
                <w:lang w:val="en-GB"/>
              </w:rPr>
              <w:t>本品易燃。遇明火、高热或氧化剂接触，有引起燃烧爆炸的危险。若遇高热，容器内压增大，有开裂和爆炸的危险。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燃烧分解产物</w:t>
            </w:r>
          </w:p>
        </w:tc>
        <w:tc>
          <w:tcPr>
            <w:tcW w:w="3291" w:type="pct"/>
            <w:gridSpan w:val="6"/>
            <w:vAlign w:val="center"/>
          </w:tcPr>
          <w:p>
            <w:pPr>
              <w:spacing w:line="240" w:lineRule="atLeast"/>
              <w:ind w:firstLine="0" w:firstLineChars="0"/>
              <w:jc w:val="both"/>
              <w:rPr>
                <w:sz w:val="21"/>
                <w:szCs w:val="21"/>
              </w:rPr>
            </w:pPr>
            <w:r>
              <w:rPr>
                <w:sz w:val="21"/>
                <w:szCs w:val="21"/>
              </w:rPr>
              <w:t>一氧化碳、二氧化碳和水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稳定性</w:t>
            </w:r>
          </w:p>
        </w:tc>
        <w:tc>
          <w:tcPr>
            <w:tcW w:w="3291" w:type="pct"/>
            <w:gridSpan w:val="6"/>
            <w:vAlign w:val="center"/>
          </w:tcPr>
          <w:p>
            <w:pPr>
              <w:spacing w:line="240" w:lineRule="atLeast"/>
              <w:ind w:firstLine="0" w:firstLineChars="0"/>
              <w:jc w:val="both"/>
              <w:rPr>
                <w:sz w:val="21"/>
                <w:szCs w:val="21"/>
              </w:rPr>
            </w:pPr>
            <w:r>
              <w:rPr>
                <w:sz w:val="21"/>
                <w:szCs w:val="21"/>
                <w:lang w:val="en-GB"/>
              </w:rPr>
              <w:t>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聚合危害</w:t>
            </w:r>
          </w:p>
        </w:tc>
        <w:tc>
          <w:tcPr>
            <w:tcW w:w="3291" w:type="pct"/>
            <w:gridSpan w:val="6"/>
            <w:vAlign w:val="center"/>
          </w:tcPr>
          <w:p>
            <w:pPr>
              <w:spacing w:line="240" w:lineRule="atLeast"/>
              <w:ind w:firstLine="0" w:firstLineChars="0"/>
              <w:jc w:val="both"/>
              <w:rPr>
                <w:sz w:val="21"/>
                <w:szCs w:val="21"/>
              </w:rPr>
            </w:pPr>
            <w:r>
              <w:rPr>
                <w:sz w:val="21"/>
                <w:szCs w:val="21"/>
                <w:lang w:val="en-GB"/>
              </w:rPr>
              <w:t>不聚合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禁忌物</w:t>
            </w:r>
          </w:p>
        </w:tc>
        <w:tc>
          <w:tcPr>
            <w:tcW w:w="3291" w:type="pct"/>
            <w:gridSpan w:val="6"/>
            <w:vAlign w:val="center"/>
          </w:tcPr>
          <w:p>
            <w:pPr>
              <w:spacing w:line="240" w:lineRule="atLeast"/>
              <w:ind w:firstLine="0" w:firstLineChars="0"/>
              <w:jc w:val="both"/>
              <w:rPr>
                <w:sz w:val="21"/>
                <w:szCs w:val="21"/>
              </w:rPr>
            </w:pPr>
            <w:r>
              <w:rPr>
                <w:sz w:val="21"/>
                <w:szCs w:val="21"/>
                <w:lang w:val="en-GB"/>
              </w:rPr>
              <w:t>强氧化剂、卤素。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0" w:type="pct"/>
            <w:vMerge w:val="continue"/>
            <w:vAlign w:val="center"/>
          </w:tcPr>
          <w:p>
            <w:pPr>
              <w:spacing w:line="240" w:lineRule="atLeast"/>
              <w:ind w:firstLine="0" w:firstLineChars="0"/>
              <w:jc w:val="both"/>
              <w:rPr>
                <w:sz w:val="21"/>
                <w:szCs w:val="21"/>
              </w:rPr>
            </w:pPr>
          </w:p>
        </w:tc>
        <w:tc>
          <w:tcPr>
            <w:tcW w:w="900" w:type="pct"/>
            <w:gridSpan w:val="2"/>
            <w:vAlign w:val="center"/>
          </w:tcPr>
          <w:p>
            <w:pPr>
              <w:spacing w:line="240" w:lineRule="atLeast"/>
              <w:ind w:firstLine="0" w:firstLineChars="0"/>
              <w:jc w:val="both"/>
              <w:rPr>
                <w:sz w:val="21"/>
                <w:szCs w:val="21"/>
              </w:rPr>
            </w:pPr>
            <w:r>
              <w:rPr>
                <w:sz w:val="21"/>
                <w:szCs w:val="21"/>
              </w:rPr>
              <w:t>灭火方法</w:t>
            </w:r>
          </w:p>
        </w:tc>
        <w:tc>
          <w:tcPr>
            <w:tcW w:w="3291" w:type="pct"/>
            <w:gridSpan w:val="6"/>
            <w:vAlign w:val="center"/>
          </w:tcPr>
          <w:p>
            <w:pPr>
              <w:spacing w:line="240" w:lineRule="atLeast"/>
              <w:ind w:firstLine="0" w:firstLineChars="0"/>
              <w:jc w:val="both"/>
              <w:rPr>
                <w:sz w:val="21"/>
                <w:szCs w:val="21"/>
              </w:rPr>
            </w:pPr>
            <w:r>
              <w:rPr>
                <w:sz w:val="21"/>
                <w:szCs w:val="21"/>
                <w:lang w:val="en-GB"/>
              </w:rPr>
              <w:t>采用雾状水、泡沫、干粉、二氧化碳等灭火剂灭火。</w:t>
            </w:r>
          </w:p>
        </w:tc>
      </w:tr>
    </w:tbl>
    <w:p>
      <w:pPr>
        <w:pStyle w:val="5"/>
        <w:rPr>
          <w:color w:val="auto"/>
        </w:rPr>
      </w:pPr>
      <w:r>
        <w:rPr>
          <w:color w:val="auto"/>
        </w:rPr>
        <w:t>7.1.2风险潜势初判</w:t>
      </w:r>
    </w:p>
    <w:p>
      <w:pPr>
        <w:pStyle w:val="6"/>
        <w:numPr>
          <w:ilvl w:val="3"/>
          <w:numId w:val="0"/>
        </w:numPr>
      </w:pPr>
      <w:r>
        <w:t>7.1.2.1危险物质数量与临界量比值Q</w:t>
      </w:r>
    </w:p>
    <w:p>
      <w:pPr>
        <w:pStyle w:val="222"/>
      </w:pPr>
      <w:r>
        <w:t>根据《建设项目环境风险评价技术导则》（HJ 169-2018）附录B中确定的危险物质的临界量，项目危险物质数量与临界量的比值（Q）计算如下：</w:t>
      </w:r>
    </w:p>
    <w:p>
      <w:pPr>
        <w:spacing w:line="460" w:lineRule="exact"/>
        <w:ind w:firstLine="480"/>
        <w:jc w:val="both"/>
        <w:rPr>
          <w:sz w:val="24"/>
          <w:szCs w:val="24"/>
        </w:rPr>
      </w:pPr>
      <w:r>
        <w:rPr>
          <w:sz w:val="24"/>
          <w:szCs w:val="24"/>
        </w:rPr>
        <w:t>Q=q</w:t>
      </w:r>
      <w:r>
        <w:rPr>
          <w:sz w:val="24"/>
          <w:szCs w:val="24"/>
          <w:vertAlign w:val="subscript"/>
        </w:rPr>
        <w:t>1</w:t>
      </w:r>
      <w:r>
        <w:rPr>
          <w:sz w:val="24"/>
          <w:szCs w:val="24"/>
        </w:rPr>
        <w:t>/Q</w:t>
      </w:r>
      <w:r>
        <w:rPr>
          <w:sz w:val="24"/>
          <w:szCs w:val="24"/>
          <w:vertAlign w:val="subscript"/>
        </w:rPr>
        <w:t>1</w:t>
      </w:r>
      <w:r>
        <w:rPr>
          <w:sz w:val="24"/>
          <w:szCs w:val="24"/>
        </w:rPr>
        <w:t>+q</w:t>
      </w:r>
      <w:r>
        <w:rPr>
          <w:sz w:val="24"/>
          <w:szCs w:val="24"/>
          <w:vertAlign w:val="subscript"/>
        </w:rPr>
        <w:t>2</w:t>
      </w:r>
      <w:r>
        <w:rPr>
          <w:sz w:val="24"/>
          <w:szCs w:val="24"/>
        </w:rPr>
        <w:t>/Q</w:t>
      </w:r>
      <w:r>
        <w:rPr>
          <w:sz w:val="24"/>
          <w:szCs w:val="24"/>
          <w:vertAlign w:val="subscript"/>
        </w:rPr>
        <w:t>2</w:t>
      </w:r>
      <w:r>
        <w:rPr>
          <w:sz w:val="24"/>
          <w:szCs w:val="24"/>
        </w:rPr>
        <w:t>……+q</w:t>
      </w:r>
      <w:r>
        <w:rPr>
          <w:sz w:val="24"/>
          <w:szCs w:val="24"/>
          <w:vertAlign w:val="subscript"/>
        </w:rPr>
        <w:t>n</w:t>
      </w:r>
      <w:r>
        <w:rPr>
          <w:sz w:val="24"/>
          <w:szCs w:val="24"/>
        </w:rPr>
        <w:t>/Q</w:t>
      </w:r>
      <w:r>
        <w:rPr>
          <w:sz w:val="24"/>
          <w:szCs w:val="24"/>
          <w:vertAlign w:val="subscript"/>
        </w:rPr>
        <w:t>n</w:t>
      </w:r>
    </w:p>
    <w:p>
      <w:pPr>
        <w:pStyle w:val="222"/>
      </w:pPr>
      <w:r>
        <w:t>式中：q</w:t>
      </w:r>
      <w:r>
        <w:rPr>
          <w:vertAlign w:val="subscript"/>
        </w:rPr>
        <w:t>1</w:t>
      </w:r>
      <w:r>
        <w:t>、q</w:t>
      </w:r>
      <w:r>
        <w:rPr>
          <w:vertAlign w:val="subscript"/>
        </w:rPr>
        <w:t>2</w:t>
      </w:r>
      <w:r>
        <w:t>，…，q</w:t>
      </w:r>
      <w:r>
        <w:rPr>
          <w:vertAlign w:val="subscript"/>
        </w:rPr>
        <w:t>n</w:t>
      </w:r>
      <w:r>
        <w:t>—每种危险物质的最大存在总量，t；</w:t>
      </w:r>
    </w:p>
    <w:p>
      <w:pPr>
        <w:pStyle w:val="222"/>
      </w:pPr>
      <w:r>
        <w:t>Q</w:t>
      </w:r>
      <w:r>
        <w:rPr>
          <w:vertAlign w:val="subscript"/>
        </w:rPr>
        <w:t>1</w:t>
      </w:r>
      <w:r>
        <w:t>、Q</w:t>
      </w:r>
      <w:r>
        <w:rPr>
          <w:vertAlign w:val="subscript"/>
        </w:rPr>
        <w:t>2</w:t>
      </w:r>
      <w:r>
        <w:t>，…，Q</w:t>
      </w:r>
      <w:r>
        <w:rPr>
          <w:vertAlign w:val="subscript"/>
        </w:rPr>
        <w:t>n</w:t>
      </w:r>
      <w:r>
        <w:t>—每种危险物质的临界量，t。</w:t>
      </w:r>
    </w:p>
    <w:p>
      <w:pPr>
        <w:pStyle w:val="222"/>
      </w:pPr>
      <w:r>
        <w:t>当Q＜1时，该项目环境风险潜势为Ⅰ。</w:t>
      </w:r>
    </w:p>
    <w:p>
      <w:pPr>
        <w:pStyle w:val="222"/>
      </w:pPr>
      <w:r>
        <w:t>当Q≥1时，将Q值划分为：（1）1≤Q＜10；（2）10≤Q＜100；（3）Q≥100。</w:t>
      </w:r>
    </w:p>
    <w:p>
      <w:pPr>
        <w:spacing w:line="460" w:lineRule="exact"/>
        <w:ind w:firstLine="520"/>
        <w:jc w:val="both"/>
        <w:rPr>
          <w:szCs w:val="24"/>
        </w:rPr>
      </w:pPr>
      <w:r>
        <w:rPr>
          <w:szCs w:val="24"/>
        </w:rPr>
        <w:t>根据《建设项目环境风险评价技术导则》（HJ 169-2018）附录B中重点关注的危险物质及临界量，项目Q值确定见下表。</w:t>
      </w:r>
    </w:p>
    <w:p>
      <w:pPr>
        <w:spacing w:line="460" w:lineRule="exact"/>
        <w:ind w:firstLine="520"/>
        <w:jc w:val="both"/>
        <w:rPr>
          <w:bCs/>
          <w:snapToGrid w:val="0"/>
          <w:vanish/>
          <w:kern w:val="0"/>
          <w:szCs w:val="24"/>
        </w:rPr>
      </w:pPr>
    </w:p>
    <w:p>
      <w:pPr>
        <w:pStyle w:val="84"/>
      </w:pPr>
      <w:r>
        <w:t>表7.1-3  建设项目Q值确定表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1900"/>
        <w:gridCol w:w="1696"/>
        <w:gridCol w:w="1950"/>
        <w:gridCol w:w="1499"/>
        <w:gridCol w:w="1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7" w:type="pct"/>
            <w:shd w:val="clear" w:color="auto" w:fill="D8D8D8" w:themeFill="background1" w:themeFillShade="D9"/>
            <w:vAlign w:val="center"/>
          </w:tcPr>
          <w:p>
            <w:pPr>
              <w:pStyle w:val="3238"/>
            </w:pPr>
            <w:r>
              <w:t>序号</w:t>
            </w:r>
          </w:p>
        </w:tc>
        <w:tc>
          <w:tcPr>
            <w:tcW w:w="1023" w:type="pct"/>
            <w:shd w:val="clear" w:color="auto" w:fill="D8D8D8" w:themeFill="background1" w:themeFillShade="D9"/>
            <w:vAlign w:val="center"/>
          </w:tcPr>
          <w:p>
            <w:pPr>
              <w:pStyle w:val="3238"/>
            </w:pPr>
            <w:r>
              <w:t>危险物质名称</w:t>
            </w:r>
          </w:p>
        </w:tc>
        <w:tc>
          <w:tcPr>
            <w:tcW w:w="913" w:type="pct"/>
            <w:shd w:val="clear" w:color="auto" w:fill="D8D8D8" w:themeFill="background1" w:themeFillShade="D9"/>
            <w:vAlign w:val="center"/>
          </w:tcPr>
          <w:p>
            <w:pPr>
              <w:pStyle w:val="3238"/>
            </w:pPr>
            <w:r>
              <w:t>CAS号</w:t>
            </w:r>
          </w:p>
        </w:tc>
        <w:tc>
          <w:tcPr>
            <w:tcW w:w="1050" w:type="pct"/>
            <w:shd w:val="clear" w:color="auto" w:fill="D8D8D8" w:themeFill="background1" w:themeFillShade="D9"/>
            <w:vAlign w:val="center"/>
          </w:tcPr>
          <w:p>
            <w:pPr>
              <w:pStyle w:val="3238"/>
            </w:pPr>
            <w:r>
              <w:t>最大存储量q</w:t>
            </w:r>
            <w:r>
              <w:rPr>
                <w:vertAlign w:val="subscript"/>
              </w:rPr>
              <w:t>n</w:t>
            </w:r>
            <w:r>
              <w:t>/t</w:t>
            </w:r>
          </w:p>
        </w:tc>
        <w:tc>
          <w:tcPr>
            <w:tcW w:w="807" w:type="pct"/>
            <w:shd w:val="clear" w:color="auto" w:fill="D8D8D8" w:themeFill="background1" w:themeFillShade="D9"/>
            <w:vAlign w:val="center"/>
          </w:tcPr>
          <w:p>
            <w:pPr>
              <w:pStyle w:val="3238"/>
            </w:pPr>
            <w:r>
              <w:t>临界量Qn/t</w:t>
            </w:r>
          </w:p>
        </w:tc>
        <w:tc>
          <w:tcPr>
            <w:tcW w:w="740" w:type="pct"/>
            <w:shd w:val="clear" w:color="auto" w:fill="D8D8D8" w:themeFill="background1" w:themeFillShade="D9"/>
            <w:vAlign w:val="center"/>
          </w:tcPr>
          <w:p>
            <w:pPr>
              <w:pStyle w:val="3238"/>
            </w:pPr>
            <w: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467" w:type="pct"/>
            <w:shd w:val="clear" w:color="auto" w:fill="auto"/>
            <w:vAlign w:val="center"/>
          </w:tcPr>
          <w:p>
            <w:pPr>
              <w:pStyle w:val="3238"/>
            </w:pPr>
            <w:r>
              <w:t>1</w:t>
            </w:r>
          </w:p>
        </w:tc>
        <w:tc>
          <w:tcPr>
            <w:tcW w:w="1023" w:type="pct"/>
            <w:shd w:val="clear" w:color="auto" w:fill="auto"/>
            <w:vAlign w:val="center"/>
          </w:tcPr>
          <w:p>
            <w:pPr>
              <w:pStyle w:val="3238"/>
              <w:rPr>
                <w:b/>
              </w:rPr>
            </w:pPr>
            <w:r>
              <w:t>柴油</w:t>
            </w:r>
          </w:p>
        </w:tc>
        <w:tc>
          <w:tcPr>
            <w:tcW w:w="913" w:type="pct"/>
            <w:vAlign w:val="center"/>
          </w:tcPr>
          <w:p>
            <w:pPr>
              <w:pStyle w:val="3238"/>
            </w:pPr>
            <w:r>
              <w:t>/</w:t>
            </w:r>
          </w:p>
        </w:tc>
        <w:tc>
          <w:tcPr>
            <w:tcW w:w="1050" w:type="pct"/>
            <w:shd w:val="clear" w:color="auto" w:fill="auto"/>
            <w:vAlign w:val="center"/>
          </w:tcPr>
          <w:p>
            <w:pPr>
              <w:pStyle w:val="3238"/>
              <w:rPr>
                <w:b/>
              </w:rPr>
            </w:pPr>
            <w:r>
              <w:t>42</w:t>
            </w:r>
          </w:p>
        </w:tc>
        <w:tc>
          <w:tcPr>
            <w:tcW w:w="807" w:type="pct"/>
            <w:shd w:val="clear" w:color="auto" w:fill="auto"/>
            <w:vAlign w:val="center"/>
          </w:tcPr>
          <w:p>
            <w:pPr>
              <w:pStyle w:val="3238"/>
              <w:rPr>
                <w:b/>
              </w:rPr>
            </w:pPr>
            <w:r>
              <w:t>2500</w:t>
            </w:r>
          </w:p>
        </w:tc>
        <w:tc>
          <w:tcPr>
            <w:tcW w:w="740" w:type="pct"/>
            <w:shd w:val="clear" w:color="auto" w:fill="auto"/>
            <w:vAlign w:val="center"/>
          </w:tcPr>
          <w:p>
            <w:pPr>
              <w:pStyle w:val="3238"/>
              <w:rPr>
                <w:b/>
              </w:rPr>
            </w:pPr>
            <w:r>
              <w:t>0.0168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7" w:type="pct"/>
            <w:shd w:val="clear" w:color="auto" w:fill="auto"/>
            <w:vAlign w:val="center"/>
          </w:tcPr>
          <w:p>
            <w:pPr>
              <w:pStyle w:val="3238"/>
            </w:pPr>
            <w:r>
              <w:t>2</w:t>
            </w:r>
          </w:p>
        </w:tc>
        <w:tc>
          <w:tcPr>
            <w:tcW w:w="1023" w:type="pct"/>
            <w:shd w:val="clear" w:color="auto" w:fill="auto"/>
            <w:vAlign w:val="center"/>
          </w:tcPr>
          <w:p>
            <w:pPr>
              <w:pStyle w:val="3238"/>
              <w:rPr>
                <w:b/>
              </w:rPr>
            </w:pPr>
            <w:r>
              <w:t>润滑油</w:t>
            </w:r>
          </w:p>
        </w:tc>
        <w:tc>
          <w:tcPr>
            <w:tcW w:w="913" w:type="pct"/>
            <w:vAlign w:val="center"/>
          </w:tcPr>
          <w:p>
            <w:pPr>
              <w:pStyle w:val="3238"/>
            </w:pPr>
            <w:r>
              <w:t>/</w:t>
            </w:r>
          </w:p>
        </w:tc>
        <w:tc>
          <w:tcPr>
            <w:tcW w:w="1050" w:type="pct"/>
            <w:shd w:val="clear" w:color="auto" w:fill="auto"/>
            <w:vAlign w:val="center"/>
          </w:tcPr>
          <w:p>
            <w:pPr>
              <w:pStyle w:val="3238"/>
              <w:rPr>
                <w:b/>
              </w:rPr>
            </w:pPr>
            <w:r>
              <w:t>0.05</w:t>
            </w:r>
          </w:p>
        </w:tc>
        <w:tc>
          <w:tcPr>
            <w:tcW w:w="807" w:type="pct"/>
            <w:shd w:val="clear" w:color="auto" w:fill="auto"/>
            <w:vAlign w:val="center"/>
          </w:tcPr>
          <w:p>
            <w:pPr>
              <w:pStyle w:val="3238"/>
              <w:rPr>
                <w:b/>
              </w:rPr>
            </w:pPr>
            <w:r>
              <w:t>2500</w:t>
            </w:r>
          </w:p>
        </w:tc>
        <w:tc>
          <w:tcPr>
            <w:tcW w:w="740" w:type="pct"/>
            <w:shd w:val="clear" w:color="auto" w:fill="auto"/>
            <w:vAlign w:val="center"/>
          </w:tcPr>
          <w:p>
            <w:pPr>
              <w:pStyle w:val="3238"/>
              <w:rPr>
                <w:b/>
              </w:rPr>
            </w:pPr>
            <w:r>
              <w:t>0.00002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467" w:type="pct"/>
            <w:shd w:val="clear" w:color="auto" w:fill="auto"/>
            <w:vAlign w:val="center"/>
          </w:tcPr>
          <w:p>
            <w:pPr>
              <w:pStyle w:val="3238"/>
            </w:pPr>
            <w:r>
              <w:t>3</w:t>
            </w:r>
          </w:p>
        </w:tc>
        <w:tc>
          <w:tcPr>
            <w:tcW w:w="1023" w:type="pct"/>
            <w:shd w:val="clear" w:color="auto" w:fill="auto"/>
            <w:vAlign w:val="center"/>
          </w:tcPr>
          <w:p>
            <w:pPr>
              <w:pStyle w:val="3238"/>
              <w:rPr>
                <w:b/>
              </w:rPr>
            </w:pPr>
            <w:r>
              <w:t>废润滑油</w:t>
            </w:r>
          </w:p>
        </w:tc>
        <w:tc>
          <w:tcPr>
            <w:tcW w:w="913" w:type="pct"/>
            <w:vAlign w:val="center"/>
          </w:tcPr>
          <w:p>
            <w:pPr>
              <w:pStyle w:val="3238"/>
            </w:pPr>
            <w:r>
              <w:t>/</w:t>
            </w:r>
          </w:p>
        </w:tc>
        <w:tc>
          <w:tcPr>
            <w:tcW w:w="1050" w:type="pct"/>
            <w:shd w:val="clear" w:color="auto" w:fill="auto"/>
            <w:vAlign w:val="center"/>
          </w:tcPr>
          <w:p>
            <w:pPr>
              <w:pStyle w:val="3238"/>
              <w:rPr>
                <w:b/>
              </w:rPr>
            </w:pPr>
            <w:r>
              <w:t>0.2</w:t>
            </w:r>
          </w:p>
        </w:tc>
        <w:tc>
          <w:tcPr>
            <w:tcW w:w="807" w:type="pct"/>
            <w:shd w:val="clear" w:color="auto" w:fill="auto"/>
            <w:vAlign w:val="center"/>
          </w:tcPr>
          <w:p>
            <w:pPr>
              <w:pStyle w:val="3238"/>
              <w:rPr>
                <w:b/>
              </w:rPr>
            </w:pPr>
            <w:r>
              <w:t>2500</w:t>
            </w:r>
          </w:p>
        </w:tc>
        <w:tc>
          <w:tcPr>
            <w:tcW w:w="740" w:type="pct"/>
            <w:shd w:val="clear" w:color="auto" w:fill="auto"/>
            <w:vAlign w:val="center"/>
          </w:tcPr>
          <w:p>
            <w:pPr>
              <w:pStyle w:val="3238"/>
              <w:rPr>
                <w:b/>
              </w:rPr>
            </w:pPr>
            <w:r>
              <w:t>0.00008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7" w:type="pct"/>
            <w:shd w:val="clear" w:color="auto" w:fill="auto"/>
            <w:vAlign w:val="center"/>
          </w:tcPr>
          <w:p>
            <w:pPr>
              <w:pStyle w:val="3238"/>
            </w:pPr>
            <w:r>
              <w:t>4</w:t>
            </w:r>
          </w:p>
        </w:tc>
        <w:tc>
          <w:tcPr>
            <w:tcW w:w="1023" w:type="pct"/>
            <w:shd w:val="clear" w:color="auto" w:fill="auto"/>
            <w:vAlign w:val="center"/>
          </w:tcPr>
          <w:p>
            <w:pPr>
              <w:pStyle w:val="3238"/>
              <w:rPr>
                <w:b/>
              </w:rPr>
            </w:pPr>
            <w:r>
              <w:t>合计</w:t>
            </w:r>
          </w:p>
        </w:tc>
        <w:tc>
          <w:tcPr>
            <w:tcW w:w="913" w:type="pct"/>
            <w:vAlign w:val="center"/>
          </w:tcPr>
          <w:p>
            <w:pPr>
              <w:pStyle w:val="3238"/>
            </w:pPr>
            <w:r>
              <w:t>/</w:t>
            </w:r>
          </w:p>
        </w:tc>
        <w:tc>
          <w:tcPr>
            <w:tcW w:w="1050" w:type="pct"/>
            <w:shd w:val="clear" w:color="auto" w:fill="auto"/>
            <w:vAlign w:val="center"/>
          </w:tcPr>
          <w:p>
            <w:pPr>
              <w:pStyle w:val="3238"/>
            </w:pPr>
            <w:r>
              <w:t>/</w:t>
            </w:r>
          </w:p>
        </w:tc>
        <w:tc>
          <w:tcPr>
            <w:tcW w:w="807" w:type="pct"/>
            <w:shd w:val="clear" w:color="auto" w:fill="auto"/>
            <w:vAlign w:val="center"/>
          </w:tcPr>
          <w:p>
            <w:pPr>
              <w:pStyle w:val="3238"/>
            </w:pPr>
            <w:r>
              <w:t>/</w:t>
            </w:r>
          </w:p>
        </w:tc>
        <w:tc>
          <w:tcPr>
            <w:tcW w:w="740" w:type="pct"/>
            <w:shd w:val="clear" w:color="auto" w:fill="auto"/>
            <w:vAlign w:val="center"/>
          </w:tcPr>
          <w:p>
            <w:pPr>
              <w:pStyle w:val="3238"/>
              <w:rPr>
                <w:b/>
              </w:rPr>
            </w:pPr>
            <w:r>
              <w:t>0.0169</w:t>
            </w:r>
          </w:p>
        </w:tc>
      </w:tr>
    </w:tbl>
    <w:p>
      <w:pPr>
        <w:pStyle w:val="222"/>
      </w:pPr>
      <w:r>
        <w:t>经计算，项目涉及危险物质数量与临界量比值Q值为0.0169＜1，则本项目的环境风险潜势为Ⅰ。</w:t>
      </w:r>
    </w:p>
    <w:p>
      <w:pPr>
        <w:pStyle w:val="5"/>
        <w:rPr>
          <w:color w:val="auto"/>
        </w:rPr>
      </w:pPr>
      <w:r>
        <w:rPr>
          <w:color w:val="auto"/>
        </w:rPr>
        <w:t>7.1.3评价等级</w:t>
      </w:r>
    </w:p>
    <w:p>
      <w:pPr>
        <w:spacing w:line="460" w:lineRule="exact"/>
        <w:ind w:firstLine="480"/>
        <w:jc w:val="both"/>
        <w:rPr>
          <w:sz w:val="24"/>
          <w:szCs w:val="24"/>
        </w:rPr>
      </w:pPr>
      <w:r>
        <w:rPr>
          <w:sz w:val="24"/>
          <w:szCs w:val="24"/>
        </w:rPr>
        <w:t>根据《建设项目环境风险评价技术导则》（HJ 169-2018），环境风险评价等级根据项目涉及的物质及工艺系统危险性和所在地的环境敏感性确定环境风险潜势判断，其规定见下表。</w:t>
      </w:r>
    </w:p>
    <w:p>
      <w:pPr>
        <w:pStyle w:val="84"/>
      </w:pPr>
      <w:r>
        <w:t>表7.1-4  评价工作等级划分</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1742"/>
        <w:gridCol w:w="1937"/>
        <w:gridCol w:w="1969"/>
        <w:gridCol w:w="1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blHeader/>
          <w:jc w:val="center"/>
        </w:trPr>
        <w:tc>
          <w:tcPr>
            <w:tcW w:w="904" w:type="pct"/>
            <w:shd w:val="clear" w:color="auto" w:fill="D8D8D8" w:themeFill="background1" w:themeFillShade="D9"/>
            <w:vAlign w:val="center"/>
          </w:tcPr>
          <w:p>
            <w:pPr>
              <w:pStyle w:val="3238"/>
            </w:pPr>
            <w:r>
              <w:t>环境风险潜势</w:t>
            </w:r>
          </w:p>
        </w:tc>
        <w:tc>
          <w:tcPr>
            <w:tcW w:w="938" w:type="pct"/>
            <w:shd w:val="clear" w:color="auto" w:fill="D8D8D8" w:themeFill="background1" w:themeFillShade="D9"/>
            <w:vAlign w:val="center"/>
          </w:tcPr>
          <w:p>
            <w:pPr>
              <w:pStyle w:val="3238"/>
            </w:pPr>
            <w:r>
              <w:t>Ⅳ、Ⅳ</w:t>
            </w:r>
            <w:r>
              <w:rPr>
                <w:vertAlign w:val="superscript"/>
              </w:rPr>
              <w:t>+</w:t>
            </w:r>
          </w:p>
        </w:tc>
        <w:tc>
          <w:tcPr>
            <w:tcW w:w="1043" w:type="pct"/>
            <w:shd w:val="clear" w:color="auto" w:fill="D8D8D8" w:themeFill="background1" w:themeFillShade="D9"/>
            <w:vAlign w:val="center"/>
          </w:tcPr>
          <w:p>
            <w:pPr>
              <w:pStyle w:val="3238"/>
            </w:pPr>
            <w:r>
              <w:t>Ⅲ</w:t>
            </w:r>
          </w:p>
        </w:tc>
        <w:tc>
          <w:tcPr>
            <w:tcW w:w="1060" w:type="pct"/>
            <w:shd w:val="clear" w:color="auto" w:fill="D8D8D8" w:themeFill="background1" w:themeFillShade="D9"/>
            <w:vAlign w:val="center"/>
          </w:tcPr>
          <w:p>
            <w:pPr>
              <w:pStyle w:val="3238"/>
            </w:pPr>
            <w:r>
              <w:t>Ⅱ</w:t>
            </w:r>
          </w:p>
        </w:tc>
        <w:tc>
          <w:tcPr>
            <w:tcW w:w="1055" w:type="pct"/>
            <w:shd w:val="clear" w:color="auto" w:fill="D8D8D8" w:themeFill="background1" w:themeFillShade="D9"/>
            <w:vAlign w:val="center"/>
          </w:tcPr>
          <w:p>
            <w:pPr>
              <w:pStyle w:val="3238"/>
            </w:pPr>
            <w: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blHeader/>
          <w:jc w:val="center"/>
        </w:trPr>
        <w:tc>
          <w:tcPr>
            <w:tcW w:w="904" w:type="pct"/>
            <w:vAlign w:val="center"/>
          </w:tcPr>
          <w:p>
            <w:pPr>
              <w:pStyle w:val="3238"/>
            </w:pPr>
            <w:r>
              <w:t>评价工作等级</w:t>
            </w:r>
          </w:p>
        </w:tc>
        <w:tc>
          <w:tcPr>
            <w:tcW w:w="938" w:type="pct"/>
            <w:vAlign w:val="center"/>
          </w:tcPr>
          <w:p>
            <w:pPr>
              <w:pStyle w:val="3238"/>
            </w:pPr>
            <w:r>
              <w:t>一</w:t>
            </w:r>
          </w:p>
        </w:tc>
        <w:tc>
          <w:tcPr>
            <w:tcW w:w="1043" w:type="pct"/>
            <w:vAlign w:val="center"/>
          </w:tcPr>
          <w:p>
            <w:pPr>
              <w:pStyle w:val="3238"/>
            </w:pPr>
            <w:r>
              <w:t>二</w:t>
            </w:r>
          </w:p>
        </w:tc>
        <w:tc>
          <w:tcPr>
            <w:tcW w:w="1060" w:type="pct"/>
            <w:vAlign w:val="center"/>
          </w:tcPr>
          <w:p>
            <w:pPr>
              <w:pStyle w:val="3238"/>
            </w:pPr>
            <w:r>
              <w:t>三</w:t>
            </w:r>
          </w:p>
        </w:tc>
        <w:tc>
          <w:tcPr>
            <w:tcW w:w="1055" w:type="pct"/>
            <w:vAlign w:val="center"/>
          </w:tcPr>
          <w:p>
            <w:pPr>
              <w:pStyle w:val="3238"/>
            </w:pPr>
            <w:r>
              <w:t>简单分析</w:t>
            </w:r>
            <w:r>
              <w:rPr>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blHeader/>
          <w:jc w:val="center"/>
        </w:trPr>
        <w:tc>
          <w:tcPr>
            <w:tcW w:w="5000" w:type="pct"/>
            <w:gridSpan w:val="5"/>
            <w:vAlign w:val="center"/>
          </w:tcPr>
          <w:p>
            <w:pPr>
              <w:pStyle w:val="3238"/>
              <w:rPr>
                <w:b/>
              </w:rPr>
            </w:pPr>
            <w:r>
              <w:t>a 是相对于详细评价工作内容而言，在描述危险物质、环境影响途径、环境危害后果、风险防范措施等方面给出定性的说明。见附录A。</w:t>
            </w:r>
          </w:p>
        </w:tc>
      </w:tr>
    </w:tbl>
    <w:p>
      <w:pPr>
        <w:spacing w:line="460" w:lineRule="exact"/>
        <w:ind w:firstLine="480"/>
        <w:jc w:val="both"/>
        <w:rPr>
          <w:sz w:val="24"/>
          <w:szCs w:val="24"/>
        </w:rPr>
      </w:pPr>
      <w:r>
        <w:rPr>
          <w:sz w:val="24"/>
          <w:szCs w:val="24"/>
        </w:rPr>
        <w:t>根据上表，本项目环境风险评价等级为简单分析。</w:t>
      </w:r>
    </w:p>
    <w:p>
      <w:pPr>
        <w:pStyle w:val="4"/>
      </w:pPr>
      <w:bookmarkStart w:id="200" w:name="_Toc161676121"/>
      <w:r>
        <w:t>7.2环境敏感目标概况</w:t>
      </w:r>
      <w:bookmarkEnd w:id="200"/>
    </w:p>
    <w:p>
      <w:pPr>
        <w:spacing w:line="460" w:lineRule="atLeast"/>
        <w:ind w:firstLine="480"/>
        <w:jc w:val="both"/>
        <w:rPr>
          <w:bCs/>
          <w:sz w:val="24"/>
          <w:szCs w:val="21"/>
        </w:rPr>
      </w:pPr>
      <w:r>
        <w:rPr>
          <w:bCs/>
          <w:sz w:val="24"/>
          <w:szCs w:val="21"/>
        </w:rPr>
        <w:t>根据调查，本项目用地范围内不涉及风景名胜区、自然保护区等，不在已划定的九峰山森林公园、合川区生态保护红线范围内。本项目</w:t>
      </w:r>
      <w:r>
        <w:rPr>
          <w:bCs/>
          <w:sz w:val="24"/>
          <w:szCs w:val="24"/>
        </w:rPr>
        <w:t>矿区外东侧最近居民直线距离约为165m，</w:t>
      </w:r>
      <w:r>
        <w:rPr>
          <w:sz w:val="24"/>
          <w:szCs w:val="24"/>
        </w:rPr>
        <w:t>工业场地外北侧</w:t>
      </w:r>
      <w:r>
        <w:rPr>
          <w:bCs/>
          <w:sz w:val="24"/>
          <w:szCs w:val="21"/>
        </w:rPr>
        <w:t>最近的居民点距离约185m，</w:t>
      </w:r>
      <w:r>
        <w:rPr>
          <w:sz w:val="24"/>
          <w:szCs w:val="21"/>
        </w:rPr>
        <w:t>九峰山森林公园内居民点生活用水来自山泉水</w:t>
      </w:r>
      <w:r>
        <w:rPr>
          <w:bCs/>
          <w:sz w:val="24"/>
          <w:szCs w:val="21"/>
        </w:rPr>
        <w:t>。项目附近可视范围内无铁路、高压线、油气管线。</w:t>
      </w:r>
    </w:p>
    <w:p>
      <w:pPr>
        <w:spacing w:line="460" w:lineRule="atLeast"/>
        <w:ind w:firstLine="480"/>
        <w:jc w:val="both"/>
        <w:rPr>
          <w:bCs/>
          <w:sz w:val="24"/>
          <w:szCs w:val="21"/>
        </w:rPr>
      </w:pPr>
      <w:r>
        <w:rPr>
          <w:sz w:val="24"/>
          <w:szCs w:val="24"/>
        </w:rPr>
        <w:t>矿区及工业场地内无河流、水库等地表水体，北侧紧邻干沟河（未划分水域功能），干沟河自西南向东北汇入嘉陵江。</w:t>
      </w:r>
    </w:p>
    <w:p>
      <w:pPr>
        <w:pStyle w:val="4"/>
      </w:pPr>
      <w:bookmarkStart w:id="201" w:name="_Toc161676122"/>
      <w:r>
        <w:t>7.3环境风险识别</w:t>
      </w:r>
      <w:bookmarkEnd w:id="201"/>
    </w:p>
    <w:p>
      <w:pPr>
        <w:spacing w:line="460" w:lineRule="atLeast"/>
        <w:ind w:firstLine="480"/>
        <w:jc w:val="both"/>
        <w:rPr>
          <w:sz w:val="24"/>
          <w:szCs w:val="24"/>
        </w:rPr>
      </w:pPr>
      <w:r>
        <w:rPr>
          <w:sz w:val="24"/>
          <w:szCs w:val="24"/>
        </w:rPr>
        <w:t>（1）环境风险识别</w:t>
      </w:r>
    </w:p>
    <w:p>
      <w:pPr>
        <w:spacing w:line="460" w:lineRule="atLeast"/>
        <w:ind w:firstLine="480"/>
        <w:jc w:val="both"/>
        <w:rPr>
          <w:sz w:val="24"/>
          <w:szCs w:val="24"/>
        </w:rPr>
      </w:pPr>
      <w:r>
        <w:rPr>
          <w:sz w:val="24"/>
          <w:szCs w:val="24"/>
        </w:rPr>
        <w:t>对项目风险物质进行分析，项目环境风险识别情况见下表。</w:t>
      </w:r>
    </w:p>
    <w:p>
      <w:pPr>
        <w:pStyle w:val="84"/>
      </w:pPr>
      <w:r>
        <w:t>表7.3-1  项目环境风险识别情况表</w:t>
      </w:r>
    </w:p>
    <w:tbl>
      <w:tblPr>
        <w:tblStyle w:val="88"/>
        <w:tblW w:w="4952"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672"/>
        <w:gridCol w:w="710"/>
        <w:gridCol w:w="991"/>
        <w:gridCol w:w="993"/>
        <w:gridCol w:w="993"/>
        <w:gridCol w:w="483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c>
          <w:tcPr>
            <w:tcW w:w="366" w:type="pct"/>
            <w:shd w:val="clear" w:color="auto" w:fill="D8D8D8" w:themeFill="background1" w:themeFillShade="D9"/>
            <w:tcMar>
              <w:top w:w="0" w:type="dxa"/>
              <w:left w:w="105" w:type="dxa"/>
              <w:bottom w:w="0" w:type="dxa"/>
              <w:right w:w="105" w:type="dxa"/>
            </w:tcMar>
            <w:vAlign w:val="center"/>
          </w:tcPr>
          <w:p>
            <w:pPr>
              <w:wordWrap w:val="0"/>
              <w:spacing w:line="240" w:lineRule="auto"/>
              <w:ind w:firstLine="0" w:firstLineChars="0"/>
              <w:jc w:val="center"/>
              <w:rPr>
                <w:b/>
                <w:bCs/>
                <w:sz w:val="21"/>
                <w:szCs w:val="21"/>
              </w:rPr>
            </w:pPr>
            <w:r>
              <w:rPr>
                <w:b/>
                <w:bCs/>
                <w:sz w:val="21"/>
                <w:szCs w:val="21"/>
              </w:rPr>
              <w:t>序号</w:t>
            </w:r>
          </w:p>
        </w:tc>
        <w:tc>
          <w:tcPr>
            <w:tcW w:w="386" w:type="pct"/>
            <w:shd w:val="clear" w:color="auto" w:fill="D8D8D8" w:themeFill="background1" w:themeFillShade="D9"/>
            <w:tcMar>
              <w:top w:w="0" w:type="dxa"/>
              <w:left w:w="105" w:type="dxa"/>
              <w:bottom w:w="0" w:type="dxa"/>
              <w:right w:w="105" w:type="dxa"/>
            </w:tcMar>
            <w:vAlign w:val="center"/>
          </w:tcPr>
          <w:p>
            <w:pPr>
              <w:wordWrap w:val="0"/>
              <w:spacing w:line="240" w:lineRule="auto"/>
              <w:ind w:firstLine="0" w:firstLineChars="0"/>
              <w:jc w:val="center"/>
              <w:rPr>
                <w:b/>
                <w:bCs/>
                <w:sz w:val="21"/>
                <w:szCs w:val="21"/>
              </w:rPr>
            </w:pPr>
            <w:r>
              <w:rPr>
                <w:b/>
                <w:bCs/>
                <w:sz w:val="21"/>
                <w:szCs w:val="21"/>
              </w:rPr>
              <w:t>危险单元</w:t>
            </w:r>
          </w:p>
        </w:tc>
        <w:tc>
          <w:tcPr>
            <w:tcW w:w="539" w:type="pct"/>
            <w:shd w:val="clear" w:color="auto" w:fill="D8D8D8" w:themeFill="background1" w:themeFillShade="D9"/>
            <w:tcMar>
              <w:top w:w="0" w:type="dxa"/>
              <w:left w:w="105" w:type="dxa"/>
              <w:bottom w:w="0" w:type="dxa"/>
              <w:right w:w="105" w:type="dxa"/>
            </w:tcMar>
            <w:vAlign w:val="center"/>
          </w:tcPr>
          <w:p>
            <w:pPr>
              <w:wordWrap w:val="0"/>
              <w:spacing w:line="240" w:lineRule="auto"/>
              <w:ind w:firstLine="0" w:firstLineChars="0"/>
              <w:jc w:val="center"/>
              <w:rPr>
                <w:b/>
                <w:bCs/>
                <w:sz w:val="21"/>
                <w:szCs w:val="21"/>
              </w:rPr>
            </w:pPr>
            <w:r>
              <w:rPr>
                <w:b/>
                <w:bCs/>
                <w:sz w:val="21"/>
                <w:szCs w:val="21"/>
              </w:rPr>
              <w:t>风险源</w:t>
            </w:r>
          </w:p>
        </w:tc>
        <w:tc>
          <w:tcPr>
            <w:tcW w:w="540" w:type="pct"/>
            <w:shd w:val="clear" w:color="auto" w:fill="D8D8D8" w:themeFill="background1" w:themeFillShade="D9"/>
            <w:tcMar>
              <w:top w:w="0" w:type="dxa"/>
              <w:left w:w="105" w:type="dxa"/>
              <w:bottom w:w="0" w:type="dxa"/>
              <w:right w:w="105" w:type="dxa"/>
            </w:tcMar>
            <w:vAlign w:val="center"/>
          </w:tcPr>
          <w:p>
            <w:pPr>
              <w:wordWrap w:val="0"/>
              <w:spacing w:line="240" w:lineRule="auto"/>
              <w:ind w:firstLine="0" w:firstLineChars="0"/>
              <w:jc w:val="center"/>
              <w:rPr>
                <w:b/>
                <w:bCs/>
                <w:sz w:val="21"/>
                <w:szCs w:val="21"/>
              </w:rPr>
            </w:pPr>
            <w:r>
              <w:rPr>
                <w:b/>
                <w:bCs/>
                <w:sz w:val="21"/>
                <w:szCs w:val="21"/>
              </w:rPr>
              <w:t>主要危险物质</w:t>
            </w:r>
          </w:p>
        </w:tc>
        <w:tc>
          <w:tcPr>
            <w:tcW w:w="540" w:type="pct"/>
            <w:shd w:val="clear" w:color="auto" w:fill="D8D8D8" w:themeFill="background1" w:themeFillShade="D9"/>
            <w:tcMar>
              <w:top w:w="0" w:type="dxa"/>
              <w:left w:w="105" w:type="dxa"/>
              <w:bottom w:w="0" w:type="dxa"/>
              <w:right w:w="105" w:type="dxa"/>
            </w:tcMar>
            <w:vAlign w:val="center"/>
          </w:tcPr>
          <w:p>
            <w:pPr>
              <w:wordWrap w:val="0"/>
              <w:spacing w:line="240" w:lineRule="auto"/>
              <w:ind w:firstLine="0" w:firstLineChars="0"/>
              <w:jc w:val="center"/>
              <w:rPr>
                <w:b/>
                <w:bCs/>
                <w:sz w:val="21"/>
                <w:szCs w:val="21"/>
              </w:rPr>
            </w:pPr>
            <w:r>
              <w:rPr>
                <w:b/>
                <w:bCs/>
                <w:sz w:val="21"/>
                <w:szCs w:val="21"/>
              </w:rPr>
              <w:t>环境风险类型</w:t>
            </w:r>
          </w:p>
        </w:tc>
        <w:tc>
          <w:tcPr>
            <w:tcW w:w="2629" w:type="pct"/>
            <w:shd w:val="clear" w:color="auto" w:fill="D8D8D8" w:themeFill="background1" w:themeFillShade="D9"/>
            <w:tcMar>
              <w:top w:w="0" w:type="dxa"/>
              <w:left w:w="105" w:type="dxa"/>
              <w:bottom w:w="0" w:type="dxa"/>
              <w:right w:w="105" w:type="dxa"/>
            </w:tcMar>
            <w:vAlign w:val="center"/>
          </w:tcPr>
          <w:p>
            <w:pPr>
              <w:wordWrap w:val="0"/>
              <w:spacing w:line="240" w:lineRule="auto"/>
              <w:ind w:firstLine="0" w:firstLineChars="0"/>
              <w:jc w:val="center"/>
              <w:rPr>
                <w:b/>
                <w:bCs/>
                <w:sz w:val="21"/>
                <w:szCs w:val="21"/>
              </w:rPr>
            </w:pPr>
            <w:r>
              <w:rPr>
                <w:b/>
                <w:bCs/>
                <w:sz w:val="21"/>
                <w:szCs w:val="21"/>
              </w:rPr>
              <w:t>环境影响途径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366"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1</w:t>
            </w:r>
          </w:p>
        </w:tc>
        <w:tc>
          <w:tcPr>
            <w:tcW w:w="386"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柴油罐区</w:t>
            </w:r>
          </w:p>
        </w:tc>
        <w:tc>
          <w:tcPr>
            <w:tcW w:w="539"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柴油罐</w:t>
            </w:r>
          </w:p>
        </w:tc>
        <w:tc>
          <w:tcPr>
            <w:tcW w:w="540"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柴油</w:t>
            </w:r>
          </w:p>
        </w:tc>
        <w:tc>
          <w:tcPr>
            <w:tcW w:w="540"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可燃、毒性</w:t>
            </w:r>
          </w:p>
        </w:tc>
        <w:tc>
          <w:tcPr>
            <w:tcW w:w="2629" w:type="pct"/>
            <w:vMerge w:val="restar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柴油、废润滑油泄漏排入周围水体会影响地表水环境，渗漏进入地下水会影响地下水环境，对局部水体、土壤造成污染；柴油、废润滑油遇明火、高热或与氧化剂有引起燃烧爆炸的危险，燃烧产生CO排放至空气中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366"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2</w:t>
            </w:r>
          </w:p>
        </w:tc>
        <w:tc>
          <w:tcPr>
            <w:tcW w:w="386"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危险废物贮存间</w:t>
            </w:r>
          </w:p>
        </w:tc>
        <w:tc>
          <w:tcPr>
            <w:tcW w:w="539"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废油桶</w:t>
            </w:r>
          </w:p>
        </w:tc>
        <w:tc>
          <w:tcPr>
            <w:tcW w:w="540"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矿物油</w:t>
            </w:r>
          </w:p>
        </w:tc>
        <w:tc>
          <w:tcPr>
            <w:tcW w:w="540" w:type="pct"/>
            <w:tcMar>
              <w:top w:w="0" w:type="dxa"/>
              <w:left w:w="105" w:type="dxa"/>
              <w:bottom w:w="0" w:type="dxa"/>
              <w:right w:w="105" w:type="dxa"/>
            </w:tcMar>
            <w:vAlign w:val="center"/>
          </w:tcPr>
          <w:p>
            <w:pPr>
              <w:wordWrap w:val="0"/>
              <w:spacing w:line="240" w:lineRule="auto"/>
              <w:ind w:firstLine="0" w:firstLineChars="0"/>
              <w:jc w:val="center"/>
              <w:rPr>
                <w:sz w:val="21"/>
                <w:szCs w:val="21"/>
              </w:rPr>
            </w:pPr>
            <w:r>
              <w:rPr>
                <w:sz w:val="21"/>
                <w:szCs w:val="21"/>
              </w:rPr>
              <w:t>可燃、毒性</w:t>
            </w:r>
          </w:p>
        </w:tc>
        <w:tc>
          <w:tcPr>
            <w:tcW w:w="2629" w:type="pct"/>
            <w:vMerge w:val="continue"/>
            <w:tcMar>
              <w:top w:w="0" w:type="dxa"/>
              <w:left w:w="105" w:type="dxa"/>
              <w:bottom w:w="0" w:type="dxa"/>
              <w:right w:w="105" w:type="dxa"/>
            </w:tcMar>
            <w:vAlign w:val="center"/>
          </w:tcPr>
          <w:p>
            <w:pPr>
              <w:wordWrap w:val="0"/>
              <w:spacing w:line="240" w:lineRule="auto"/>
              <w:ind w:firstLine="0" w:firstLineChars="0"/>
              <w:jc w:val="center"/>
              <w:rPr>
                <w:sz w:val="21"/>
                <w:szCs w:val="21"/>
              </w:rPr>
            </w:pPr>
          </w:p>
        </w:tc>
      </w:tr>
    </w:tbl>
    <w:p>
      <w:pPr>
        <w:spacing w:line="460" w:lineRule="exact"/>
        <w:ind w:firstLine="480"/>
        <w:jc w:val="both"/>
        <w:rPr>
          <w:bCs/>
          <w:sz w:val="24"/>
          <w:szCs w:val="24"/>
        </w:rPr>
      </w:pPr>
      <w:r>
        <w:rPr>
          <w:bCs/>
          <w:sz w:val="24"/>
          <w:szCs w:val="24"/>
        </w:rPr>
        <w:t>（2）其他可能发生风险</w:t>
      </w:r>
    </w:p>
    <w:p>
      <w:pPr>
        <w:spacing w:line="460" w:lineRule="exact"/>
        <w:ind w:firstLine="480"/>
        <w:jc w:val="both"/>
        <w:rPr>
          <w:bCs/>
          <w:sz w:val="24"/>
          <w:szCs w:val="24"/>
        </w:rPr>
      </w:pPr>
      <w:r>
        <w:rPr>
          <w:bCs/>
          <w:sz w:val="24"/>
          <w:szCs w:val="24"/>
        </w:rPr>
        <w:t>根据项目的生产特点，还可能发生风险的因素如下：</w:t>
      </w:r>
    </w:p>
    <w:p>
      <w:pPr>
        <w:spacing w:line="460" w:lineRule="exact"/>
        <w:ind w:firstLine="480"/>
        <w:jc w:val="both"/>
        <w:rPr>
          <w:bCs/>
          <w:sz w:val="24"/>
          <w:szCs w:val="24"/>
        </w:rPr>
      </w:pPr>
      <w:r>
        <w:rPr>
          <w:rFonts w:hint="eastAsia" w:ascii="宋体" w:hAnsi="宋体" w:cs="宋体"/>
          <w:bCs/>
          <w:sz w:val="24"/>
          <w:szCs w:val="24"/>
        </w:rPr>
        <w:t>①</w:t>
      </w:r>
      <w:r>
        <w:rPr>
          <w:bCs/>
          <w:sz w:val="24"/>
          <w:szCs w:val="24"/>
        </w:rPr>
        <w:t>地质灾害</w:t>
      </w:r>
    </w:p>
    <w:p>
      <w:pPr>
        <w:spacing w:line="460" w:lineRule="exact"/>
        <w:ind w:firstLine="480"/>
        <w:jc w:val="both"/>
        <w:rPr>
          <w:bCs/>
          <w:sz w:val="24"/>
          <w:szCs w:val="24"/>
        </w:rPr>
      </w:pPr>
      <w:r>
        <w:rPr>
          <w:bCs/>
          <w:sz w:val="24"/>
          <w:szCs w:val="24"/>
        </w:rPr>
        <w:t xml:space="preserve"> 矿山开采破坏了矿区原有的地形，打破了原有的平衡状态，导致局部区域</w:t>
      </w:r>
      <w:r>
        <w:rPr>
          <w:sz w:val="24"/>
          <w:szCs w:val="21"/>
        </w:rPr>
        <w:t>出</w:t>
      </w:r>
      <w:r>
        <w:rPr>
          <w:bCs/>
          <w:sz w:val="24"/>
          <w:szCs w:val="24"/>
        </w:rPr>
        <w:t>现边坡过高、过陡，危石、浮石没有及时清除，或由于矿石稳定性差或地质结构变化，在凿岩、爆破震动、雨水冲刷等外力作用下，引起边坡垮塌、滑坡等不良地质灾害，危及现场工作人员和设备财产安全。</w:t>
      </w:r>
    </w:p>
    <w:p>
      <w:pPr>
        <w:spacing w:line="460" w:lineRule="exact"/>
        <w:ind w:firstLine="600" w:firstLineChars="250"/>
        <w:jc w:val="both"/>
        <w:rPr>
          <w:bCs/>
          <w:sz w:val="24"/>
          <w:szCs w:val="24"/>
        </w:rPr>
      </w:pPr>
      <w:r>
        <w:rPr>
          <w:rFonts w:hint="eastAsia" w:ascii="宋体" w:hAnsi="宋体" w:cs="宋体"/>
          <w:bCs/>
          <w:sz w:val="24"/>
          <w:szCs w:val="24"/>
        </w:rPr>
        <w:t>②</w:t>
      </w:r>
      <w:r>
        <w:rPr>
          <w:bCs/>
          <w:sz w:val="24"/>
          <w:szCs w:val="24"/>
        </w:rPr>
        <w:t>爆破危险</w:t>
      </w:r>
    </w:p>
    <w:p>
      <w:pPr>
        <w:spacing w:line="460" w:lineRule="exact"/>
        <w:ind w:firstLine="480"/>
        <w:jc w:val="both"/>
        <w:rPr>
          <w:bCs/>
          <w:sz w:val="24"/>
          <w:szCs w:val="24"/>
        </w:rPr>
      </w:pPr>
      <w:r>
        <w:rPr>
          <w:bCs/>
          <w:sz w:val="24"/>
          <w:szCs w:val="24"/>
        </w:rPr>
        <w:t>爆破使用的炸药和雷管，由民爆管理公司按需要量当天运送、当天使用。不设置炸药库，无重大危险源。不存在炸药和雷管库房的风险问题，炸药的风险管理由供应单位民爆管理公司按照专业要求进行控制。</w:t>
      </w:r>
    </w:p>
    <w:p>
      <w:pPr>
        <w:spacing w:line="460" w:lineRule="exact"/>
        <w:ind w:firstLine="480"/>
        <w:jc w:val="both"/>
        <w:rPr>
          <w:bCs/>
          <w:sz w:val="24"/>
          <w:szCs w:val="24"/>
        </w:rPr>
      </w:pPr>
      <w:r>
        <w:rPr>
          <w:bCs/>
          <w:sz w:val="24"/>
          <w:szCs w:val="24"/>
        </w:rPr>
        <w:t>炸药和雷管产生的环境风险小，主要可能为安全事故。矿山要加强爆破过程的管理，严格控制爆破装药量，防止爆破过程中的飞石和闷爆的发生。</w:t>
      </w:r>
    </w:p>
    <w:p>
      <w:pPr>
        <w:spacing w:line="460" w:lineRule="exact"/>
        <w:ind w:firstLine="480"/>
        <w:jc w:val="both"/>
        <w:rPr>
          <w:bCs/>
          <w:sz w:val="24"/>
          <w:szCs w:val="24"/>
        </w:rPr>
      </w:pPr>
      <w:r>
        <w:rPr>
          <w:bCs/>
          <w:sz w:val="24"/>
          <w:szCs w:val="24"/>
        </w:rPr>
        <w:t>通过上述分析，地质灾害属于矿山地质灾害事故，在地质灾害危险性评估中提出要求；爆破属于生产安全风险，矿山安全评价中提出要求，因此，本评价不再纳入环境风险评价范畴。通过以上识别，本项目存在的环境风险源项主要为柴油、润滑油、废油泄漏和火灾风险。不涉及重大环境风险源。</w:t>
      </w:r>
    </w:p>
    <w:p>
      <w:pPr>
        <w:pStyle w:val="4"/>
      </w:pPr>
      <w:bookmarkStart w:id="202" w:name="_Toc161676123"/>
      <w:r>
        <w:t>7.4环境风险分析</w:t>
      </w:r>
      <w:bookmarkEnd w:id="202"/>
    </w:p>
    <w:p>
      <w:pPr>
        <w:spacing w:line="460" w:lineRule="atLeast"/>
        <w:ind w:firstLine="480"/>
        <w:jc w:val="both"/>
        <w:rPr>
          <w:bCs/>
          <w:sz w:val="24"/>
          <w:szCs w:val="24"/>
        </w:rPr>
      </w:pPr>
      <w:r>
        <w:rPr>
          <w:bCs/>
          <w:sz w:val="24"/>
          <w:szCs w:val="24"/>
        </w:rPr>
        <w:t>（1）柴油罐泄漏和火灾风险分析</w:t>
      </w:r>
    </w:p>
    <w:p>
      <w:pPr>
        <w:spacing w:line="460" w:lineRule="atLeast"/>
        <w:ind w:firstLine="480"/>
        <w:jc w:val="both"/>
        <w:rPr>
          <w:bCs/>
          <w:sz w:val="24"/>
          <w:szCs w:val="24"/>
        </w:rPr>
      </w:pPr>
      <w:r>
        <w:rPr>
          <w:bCs/>
          <w:sz w:val="24"/>
          <w:szCs w:val="24"/>
        </w:rPr>
        <w:t>本项目工业场地南侧设3个柴油罐，均为地埋式，柴油罐最大存储量为42t，该柴油用作矿区挖掘机、运输车等机械设备燃油使用。柴油储油罐存在的风险主要为火灾和泄漏。</w:t>
      </w:r>
    </w:p>
    <w:p>
      <w:pPr>
        <w:spacing w:line="460" w:lineRule="atLeast"/>
        <w:ind w:firstLine="480"/>
        <w:jc w:val="both"/>
        <w:rPr>
          <w:bCs/>
          <w:sz w:val="24"/>
          <w:szCs w:val="24"/>
        </w:rPr>
      </w:pPr>
      <w:r>
        <w:rPr>
          <w:bCs/>
          <w:sz w:val="24"/>
          <w:szCs w:val="24"/>
        </w:rPr>
        <w:t>柴油罐如遇明火、撞击、雷电等会引发火灾，一旦发生火灾，将对周边的建筑和灌木林地等构成完全威胁，同时火灾发生，柴油燃烧后将产生大量烟尘、CO 等有害物质污染大气环境。由于该柴油库周边防火距离范围内无居民建筑，且与项目产品料仓相距约15m，发生火灾对建构筑物基本不会造成较明显影响。要求柴油罐区设置禁止明火的警示标志，严禁烟火，引起火灾爆炸的可能性很小。</w:t>
      </w:r>
    </w:p>
    <w:p>
      <w:pPr>
        <w:spacing w:line="460" w:lineRule="exact"/>
        <w:ind w:firstLine="480"/>
        <w:jc w:val="both"/>
        <w:rPr>
          <w:sz w:val="24"/>
          <w:szCs w:val="24"/>
        </w:rPr>
      </w:pPr>
      <w:r>
        <w:rPr>
          <w:sz w:val="24"/>
          <w:szCs w:val="24"/>
        </w:rPr>
        <w:t>该储油罐距离九峰山森林公园林地约230m，距离生态保护红线约220m，发生火灾形成的热辐射可能会引发森林火灾，通过靠近九峰山森林公园一侧设置防火墙，隔断火源与林地之间的联系，同时及时采取灭火措施，确保不引发森林火灾。</w:t>
      </w:r>
    </w:p>
    <w:p>
      <w:pPr>
        <w:spacing w:line="460" w:lineRule="exact"/>
        <w:ind w:firstLine="480"/>
        <w:jc w:val="both"/>
        <w:rPr>
          <w:bCs/>
          <w:sz w:val="24"/>
          <w:szCs w:val="24"/>
        </w:rPr>
      </w:pPr>
      <w:r>
        <w:rPr>
          <w:bCs/>
          <w:sz w:val="24"/>
          <w:szCs w:val="24"/>
        </w:rPr>
        <w:t>柴油罐阀门因锈蚀或撞击等容易引发泄漏，泄漏的柴油会流入附近土地中，对土壤和地下水造成污染；如遇降雨时，则会随地表径流流入附近冲沟，对地表水环境造成污染。柴油罐为双层罐，地埋式，并采取防渗措施，柴油泄漏造成环境污染的可能性很小。</w:t>
      </w:r>
    </w:p>
    <w:p>
      <w:pPr>
        <w:spacing w:line="460" w:lineRule="exact"/>
        <w:ind w:firstLine="480"/>
        <w:jc w:val="both"/>
        <w:rPr>
          <w:bCs/>
          <w:sz w:val="24"/>
          <w:szCs w:val="24"/>
        </w:rPr>
      </w:pPr>
      <w:r>
        <w:rPr>
          <w:bCs/>
          <w:sz w:val="24"/>
          <w:szCs w:val="24"/>
        </w:rPr>
        <w:t>（2）润滑油和废润滑油泄漏风险分析</w:t>
      </w:r>
    </w:p>
    <w:p>
      <w:pPr>
        <w:spacing w:line="460" w:lineRule="exact"/>
        <w:ind w:firstLine="480"/>
        <w:jc w:val="both"/>
        <w:rPr>
          <w:bCs/>
          <w:sz w:val="24"/>
          <w:szCs w:val="24"/>
        </w:rPr>
      </w:pPr>
      <w:r>
        <w:rPr>
          <w:sz w:val="24"/>
          <w:szCs w:val="21"/>
        </w:rPr>
        <w:t>项目润滑油储存量极少，且润滑油采用铁桶保存。</w:t>
      </w:r>
      <w:r>
        <w:rPr>
          <w:bCs/>
          <w:sz w:val="24"/>
          <w:szCs w:val="24"/>
        </w:rPr>
        <w:t>危险废物贮存间内废油桶破损或员工操作不当造成的</w:t>
      </w:r>
      <w:r>
        <w:rPr>
          <w:sz w:val="24"/>
        </w:rPr>
        <w:t>废润滑油</w:t>
      </w:r>
      <w:r>
        <w:rPr>
          <w:bCs/>
          <w:sz w:val="24"/>
          <w:szCs w:val="24"/>
        </w:rPr>
        <w:t>、润滑油泄漏排入周围水体会影响地表水环境，渗漏进入地下水会影响地下水环境，对局部水体、土壤造成污染；如果厂房发生火灾，火灾燃烧过程中产生的烟雾及有害气体可造成较大范围环境污染。</w:t>
      </w:r>
    </w:p>
    <w:p>
      <w:pPr>
        <w:spacing w:line="460" w:lineRule="exact"/>
        <w:ind w:firstLine="480"/>
        <w:jc w:val="both"/>
        <w:rPr>
          <w:bCs/>
          <w:sz w:val="24"/>
          <w:szCs w:val="24"/>
        </w:rPr>
      </w:pPr>
      <w:r>
        <w:rPr>
          <w:bCs/>
          <w:sz w:val="24"/>
          <w:szCs w:val="24"/>
        </w:rPr>
        <w:t>危险废物贮存间地面作防渗处理，铺设防渗层，加强防雨、防渗和防漏措施，并对危险废物贮存间和暂存物质进行识别标记。周围配置规范、有效的灭火设施，设专人负责管理。废润滑油泄漏及发生火灾的可能性很小。</w:t>
      </w:r>
    </w:p>
    <w:p>
      <w:pPr>
        <w:pStyle w:val="4"/>
      </w:pPr>
      <w:bookmarkStart w:id="203" w:name="_Toc161676124"/>
      <w:r>
        <w:t>7.5环境风险防范措施</w:t>
      </w:r>
      <w:bookmarkEnd w:id="203"/>
    </w:p>
    <w:p>
      <w:pPr>
        <w:spacing w:line="460" w:lineRule="exact"/>
        <w:ind w:firstLine="480"/>
        <w:jc w:val="both"/>
        <w:rPr>
          <w:bCs/>
          <w:sz w:val="24"/>
          <w:szCs w:val="24"/>
        </w:rPr>
      </w:pPr>
      <w:r>
        <w:rPr>
          <w:bCs/>
          <w:sz w:val="24"/>
          <w:szCs w:val="24"/>
        </w:rPr>
        <w:t>（1）柴油风险防范措施</w:t>
      </w:r>
    </w:p>
    <w:p>
      <w:pPr>
        <w:spacing w:line="460" w:lineRule="exact"/>
        <w:ind w:firstLine="480"/>
        <w:jc w:val="both"/>
        <w:rPr>
          <w:bCs/>
          <w:sz w:val="24"/>
          <w:szCs w:val="24"/>
        </w:rPr>
      </w:pPr>
      <w:r>
        <w:rPr>
          <w:rFonts w:hint="eastAsia" w:ascii="宋体" w:hAnsi="宋体" w:cs="宋体"/>
          <w:bCs/>
          <w:sz w:val="24"/>
          <w:szCs w:val="24"/>
        </w:rPr>
        <w:t>①</w:t>
      </w:r>
      <w:r>
        <w:rPr>
          <w:bCs/>
          <w:sz w:val="24"/>
          <w:szCs w:val="24"/>
        </w:rPr>
        <w:t>在柴油罐区基础作防渗，柴油罐采用双层罐，均为地埋式，以防止柴油泄漏和滴漏污染土壤，起到防渗的作用。</w:t>
      </w:r>
    </w:p>
    <w:p>
      <w:pPr>
        <w:spacing w:line="460" w:lineRule="exact"/>
        <w:ind w:firstLine="480"/>
        <w:jc w:val="both"/>
        <w:rPr>
          <w:bCs/>
          <w:sz w:val="24"/>
          <w:szCs w:val="24"/>
        </w:rPr>
      </w:pPr>
      <w:r>
        <w:rPr>
          <w:rFonts w:hint="eastAsia" w:ascii="宋体" w:hAnsi="宋体" w:cs="宋体"/>
          <w:bCs/>
          <w:sz w:val="24"/>
          <w:szCs w:val="24"/>
        </w:rPr>
        <w:t>②</w:t>
      </w:r>
      <w:r>
        <w:rPr>
          <w:bCs/>
          <w:sz w:val="24"/>
          <w:szCs w:val="24"/>
        </w:rPr>
        <w:t>柴油罐区设立防火标志，</w:t>
      </w:r>
      <w:r>
        <w:rPr>
          <w:sz w:val="24"/>
          <w:szCs w:val="21"/>
        </w:rPr>
        <w:t>严禁烟火</w:t>
      </w:r>
      <w:r>
        <w:rPr>
          <w:bCs/>
          <w:sz w:val="24"/>
          <w:szCs w:val="24"/>
        </w:rPr>
        <w:t>，柴油间按要求设置有消防灭火装置（配备灭火器、灭火沙等），如发生火灾，第一时间进行灭火，避免火势扩散，减轻火灾时明火或热辐射引燃周边树木。</w:t>
      </w:r>
    </w:p>
    <w:p>
      <w:pPr>
        <w:spacing w:line="460" w:lineRule="exact"/>
        <w:ind w:firstLine="480"/>
        <w:jc w:val="both"/>
        <w:rPr>
          <w:bCs/>
          <w:sz w:val="24"/>
          <w:szCs w:val="24"/>
        </w:rPr>
      </w:pPr>
      <w:r>
        <w:rPr>
          <w:rFonts w:hint="eastAsia" w:ascii="宋体" w:hAnsi="宋体" w:cs="宋体"/>
          <w:bCs/>
          <w:sz w:val="24"/>
          <w:szCs w:val="24"/>
        </w:rPr>
        <w:t>③</w:t>
      </w:r>
      <w:r>
        <w:rPr>
          <w:kern w:val="0"/>
          <w:sz w:val="24"/>
          <w:szCs w:val="24"/>
        </w:rPr>
        <w:t>加强对储油罐设备的安全管理，提高员工的安全责任意识，保证柴油储罐不发生泄漏，不存在超量储存现象，若发现有损坏漏油现象应及时委托相关单位进行维修。</w:t>
      </w:r>
    </w:p>
    <w:p>
      <w:pPr>
        <w:spacing w:line="460" w:lineRule="exact"/>
        <w:ind w:firstLine="480"/>
        <w:jc w:val="both"/>
        <w:rPr>
          <w:bCs/>
          <w:sz w:val="24"/>
          <w:szCs w:val="24"/>
        </w:rPr>
      </w:pPr>
      <w:r>
        <w:rPr>
          <w:bCs/>
          <w:sz w:val="24"/>
          <w:szCs w:val="24"/>
        </w:rPr>
        <w:t>（2）润滑油储存于铁桶内、废润滑油储存于带盖油桶内，并将润滑油桶及废润滑油收集桶置于防渗托盘上。</w:t>
      </w:r>
    </w:p>
    <w:p>
      <w:pPr>
        <w:spacing w:line="460" w:lineRule="exact"/>
        <w:ind w:firstLine="480"/>
        <w:jc w:val="both"/>
        <w:rPr>
          <w:bCs/>
          <w:sz w:val="24"/>
          <w:szCs w:val="24"/>
        </w:rPr>
      </w:pPr>
      <w:r>
        <w:rPr>
          <w:bCs/>
          <w:sz w:val="24"/>
          <w:szCs w:val="24"/>
        </w:rPr>
        <w:t>（2）危险废物贮存间采取“四防”措施，并加强管理。</w:t>
      </w:r>
    </w:p>
    <w:p>
      <w:pPr>
        <w:ind w:firstLine="480"/>
        <w:jc w:val="both"/>
        <w:rPr>
          <w:bCs/>
          <w:sz w:val="24"/>
          <w:szCs w:val="24"/>
        </w:rPr>
      </w:pPr>
      <w:r>
        <w:rPr>
          <w:bCs/>
          <w:sz w:val="24"/>
          <w:szCs w:val="24"/>
        </w:rPr>
        <w:t>（3）加强职工安全环保教育，增强操作工人的责任心，防止和减少因人为因素造成的事故，同时也要加强防火安全教育。</w:t>
      </w:r>
    </w:p>
    <w:p>
      <w:pPr>
        <w:pStyle w:val="4"/>
      </w:pPr>
      <w:bookmarkStart w:id="204" w:name="_Toc161676125"/>
      <w:r>
        <w:t>7.6分析结论</w:t>
      </w:r>
      <w:bookmarkEnd w:id="204"/>
    </w:p>
    <w:p>
      <w:pPr>
        <w:pStyle w:val="222"/>
      </w:pPr>
      <w:r>
        <w:rPr>
          <w:rStyle w:val="198"/>
          <w:rFonts w:hint="default" w:ascii="Times New Roman" w:hAnsi="Times New Roman"/>
          <w:color w:val="auto"/>
        </w:rPr>
        <w:t>本项目发生环境风险的几率很小，风险影响小，通过按行业规范要求和环评要</w:t>
      </w:r>
      <w:r>
        <w:t>求进行风险防范和制定应急措施，环境风险可接受。根据以上分析，本项目环境风险简单分析内容见下表。</w:t>
      </w:r>
    </w:p>
    <w:p>
      <w:pPr>
        <w:pStyle w:val="84"/>
      </w:pPr>
      <w:r>
        <w:t>表7.6-1  环境风险简单分析内容表</w:t>
      </w:r>
    </w:p>
    <w:tbl>
      <w:tblPr>
        <w:tblStyle w:val="88"/>
        <w:tblW w:w="5000" w:type="pct"/>
        <w:jc w:val="center"/>
        <w:tblLayout w:type="autofit"/>
        <w:tblCellMar>
          <w:top w:w="0" w:type="dxa"/>
          <w:left w:w="0" w:type="dxa"/>
          <w:bottom w:w="0" w:type="dxa"/>
          <w:right w:w="0" w:type="dxa"/>
        </w:tblCellMar>
      </w:tblPr>
      <w:tblGrid>
        <w:gridCol w:w="1820"/>
        <w:gridCol w:w="2016"/>
        <w:gridCol w:w="1956"/>
        <w:gridCol w:w="1516"/>
        <w:gridCol w:w="1783"/>
      </w:tblGrid>
      <w:tr>
        <w:tblPrEx>
          <w:tblCellMar>
            <w:top w:w="0" w:type="dxa"/>
            <w:left w:w="0" w:type="dxa"/>
            <w:bottom w:w="0" w:type="dxa"/>
            <w:right w:w="0" w:type="dxa"/>
          </w:tblCellMar>
        </w:tblPrEx>
        <w:trPr>
          <w:trHeight w:val="369" w:hRule="atLeast"/>
          <w:jc w:val="center"/>
        </w:trPr>
        <w:tc>
          <w:tcPr>
            <w:tcW w:w="1001" w:type="pct"/>
            <w:tcBorders>
              <w:top w:val="single" w:color="000000" w:sz="8" w:space="0"/>
              <w:left w:val="single" w:color="000000" w:sz="8" w:space="0"/>
              <w:bottom w:val="single" w:color="000000" w:sz="4" w:space="0"/>
              <w:right w:val="single" w:color="000000" w:sz="4" w:space="0"/>
            </w:tcBorders>
            <w:vAlign w:val="center"/>
          </w:tcPr>
          <w:p>
            <w:pPr>
              <w:pStyle w:val="219"/>
              <w:rPr>
                <w:sz w:val="21"/>
              </w:rPr>
            </w:pPr>
            <w:r>
              <w:rPr>
                <w:sz w:val="21"/>
              </w:rPr>
              <w:t>建设项目名称</w:t>
            </w:r>
          </w:p>
        </w:tc>
        <w:tc>
          <w:tcPr>
            <w:tcW w:w="3999" w:type="pct"/>
            <w:gridSpan w:val="4"/>
            <w:tcBorders>
              <w:top w:val="single" w:color="000000" w:sz="8" w:space="0"/>
              <w:left w:val="single" w:color="000000" w:sz="4" w:space="0"/>
              <w:bottom w:val="single" w:color="000000" w:sz="4" w:space="0"/>
              <w:right w:val="single" w:color="000000" w:sz="8" w:space="0"/>
            </w:tcBorders>
            <w:vAlign w:val="center"/>
          </w:tcPr>
          <w:p>
            <w:pPr>
              <w:pStyle w:val="219"/>
              <w:rPr>
                <w:sz w:val="21"/>
              </w:rPr>
            </w:pPr>
            <w:r>
              <w:rPr>
                <w:sz w:val="21"/>
              </w:rPr>
              <w:t>建筑石料用灰岩矿扩建工程</w:t>
            </w:r>
          </w:p>
        </w:tc>
      </w:tr>
      <w:tr>
        <w:tblPrEx>
          <w:tblCellMar>
            <w:top w:w="0" w:type="dxa"/>
            <w:left w:w="0" w:type="dxa"/>
            <w:bottom w:w="0" w:type="dxa"/>
            <w:right w:w="0" w:type="dxa"/>
          </w:tblCellMar>
        </w:tblPrEx>
        <w:trPr>
          <w:trHeight w:val="369" w:hRule="atLeast"/>
          <w:jc w:val="center"/>
        </w:trPr>
        <w:tc>
          <w:tcPr>
            <w:tcW w:w="1001" w:type="pct"/>
            <w:tcBorders>
              <w:top w:val="single" w:color="000000" w:sz="4" w:space="0"/>
              <w:left w:val="single" w:color="000000" w:sz="8" w:space="0"/>
              <w:bottom w:val="single" w:color="000000" w:sz="4" w:space="0"/>
              <w:right w:val="single" w:color="000000" w:sz="4" w:space="0"/>
            </w:tcBorders>
            <w:vAlign w:val="center"/>
          </w:tcPr>
          <w:p>
            <w:pPr>
              <w:pStyle w:val="219"/>
              <w:rPr>
                <w:sz w:val="21"/>
              </w:rPr>
            </w:pPr>
            <w:r>
              <w:rPr>
                <w:sz w:val="21"/>
              </w:rPr>
              <w:t>建设地点</w:t>
            </w:r>
          </w:p>
        </w:tc>
        <w:tc>
          <w:tcPr>
            <w:tcW w:w="1109" w:type="pct"/>
            <w:tcBorders>
              <w:top w:val="single" w:color="000000" w:sz="4" w:space="0"/>
              <w:left w:val="single" w:color="000000" w:sz="4" w:space="0"/>
              <w:bottom w:val="single" w:color="000000" w:sz="4" w:space="0"/>
              <w:right w:val="single" w:color="000000" w:sz="4" w:space="0"/>
            </w:tcBorders>
            <w:vAlign w:val="center"/>
          </w:tcPr>
          <w:p>
            <w:pPr>
              <w:pStyle w:val="219"/>
              <w:rPr>
                <w:sz w:val="21"/>
              </w:rPr>
            </w:pPr>
            <w:r>
              <w:rPr>
                <w:sz w:val="21"/>
              </w:rPr>
              <w:t>（/）省</w:t>
            </w:r>
          </w:p>
        </w:tc>
        <w:tc>
          <w:tcPr>
            <w:tcW w:w="1076" w:type="pct"/>
            <w:tcBorders>
              <w:top w:val="single" w:color="000000" w:sz="4" w:space="0"/>
              <w:left w:val="single" w:color="000000" w:sz="4" w:space="0"/>
              <w:bottom w:val="single" w:color="000000" w:sz="4" w:space="0"/>
              <w:right w:val="single" w:color="000000" w:sz="4" w:space="0"/>
            </w:tcBorders>
            <w:vAlign w:val="center"/>
          </w:tcPr>
          <w:p>
            <w:pPr>
              <w:pStyle w:val="219"/>
              <w:rPr>
                <w:sz w:val="21"/>
              </w:rPr>
            </w:pPr>
            <w:r>
              <w:rPr>
                <w:sz w:val="21"/>
              </w:rPr>
              <w:t>（重庆）市</w:t>
            </w:r>
          </w:p>
        </w:tc>
        <w:tc>
          <w:tcPr>
            <w:tcW w:w="834" w:type="pct"/>
            <w:tcBorders>
              <w:top w:val="single" w:color="000000" w:sz="4" w:space="0"/>
              <w:left w:val="single" w:color="000000" w:sz="4" w:space="0"/>
              <w:bottom w:val="single" w:color="000000" w:sz="4" w:space="0"/>
              <w:right w:val="single" w:color="000000" w:sz="4" w:space="0"/>
            </w:tcBorders>
            <w:vAlign w:val="center"/>
          </w:tcPr>
          <w:p>
            <w:pPr>
              <w:pStyle w:val="219"/>
              <w:rPr>
                <w:sz w:val="21"/>
              </w:rPr>
            </w:pPr>
            <w:r>
              <w:rPr>
                <w:sz w:val="21"/>
              </w:rPr>
              <w:t>（合川）区</w:t>
            </w:r>
          </w:p>
        </w:tc>
        <w:tc>
          <w:tcPr>
            <w:tcW w:w="980" w:type="pct"/>
            <w:tcBorders>
              <w:top w:val="single" w:color="000000" w:sz="4" w:space="0"/>
              <w:left w:val="nil"/>
              <w:bottom w:val="single" w:color="000000" w:sz="4" w:space="0"/>
              <w:right w:val="single" w:color="000000" w:sz="8" w:space="0"/>
            </w:tcBorders>
            <w:vAlign w:val="center"/>
          </w:tcPr>
          <w:p>
            <w:pPr>
              <w:pStyle w:val="219"/>
              <w:rPr>
                <w:sz w:val="21"/>
              </w:rPr>
            </w:pPr>
            <w:r>
              <w:rPr>
                <w:sz w:val="21"/>
              </w:rPr>
              <w:t>（/）园区</w:t>
            </w:r>
          </w:p>
        </w:tc>
      </w:tr>
      <w:tr>
        <w:tblPrEx>
          <w:tblCellMar>
            <w:top w:w="0" w:type="dxa"/>
            <w:left w:w="0" w:type="dxa"/>
            <w:bottom w:w="0" w:type="dxa"/>
            <w:right w:w="0" w:type="dxa"/>
          </w:tblCellMar>
        </w:tblPrEx>
        <w:trPr>
          <w:trHeight w:val="369" w:hRule="atLeast"/>
          <w:jc w:val="center"/>
        </w:trPr>
        <w:tc>
          <w:tcPr>
            <w:tcW w:w="1001" w:type="pct"/>
            <w:tcBorders>
              <w:top w:val="single" w:color="000000" w:sz="4" w:space="0"/>
              <w:left w:val="single" w:color="000000" w:sz="8" w:space="0"/>
              <w:bottom w:val="single" w:color="000000" w:sz="4" w:space="0"/>
              <w:right w:val="single" w:color="000000" w:sz="4" w:space="0"/>
            </w:tcBorders>
            <w:vAlign w:val="center"/>
          </w:tcPr>
          <w:p>
            <w:pPr>
              <w:pStyle w:val="219"/>
              <w:rPr>
                <w:sz w:val="21"/>
              </w:rPr>
            </w:pPr>
            <w:r>
              <w:rPr>
                <w:sz w:val="21"/>
              </w:rPr>
              <w:t>地理坐标</w:t>
            </w:r>
          </w:p>
        </w:tc>
        <w:tc>
          <w:tcPr>
            <w:tcW w:w="1109" w:type="pct"/>
            <w:tcBorders>
              <w:top w:val="single" w:color="000000" w:sz="4" w:space="0"/>
              <w:left w:val="single" w:color="000000" w:sz="4" w:space="0"/>
              <w:bottom w:val="single" w:color="000000" w:sz="4" w:space="0"/>
              <w:right w:val="single" w:color="000000" w:sz="4" w:space="0"/>
            </w:tcBorders>
            <w:vAlign w:val="center"/>
          </w:tcPr>
          <w:p>
            <w:pPr>
              <w:pStyle w:val="219"/>
              <w:rPr>
                <w:sz w:val="21"/>
              </w:rPr>
            </w:pPr>
            <w:r>
              <w:rPr>
                <w:sz w:val="21"/>
              </w:rPr>
              <w:t>经度</w:t>
            </w:r>
          </w:p>
        </w:tc>
        <w:tc>
          <w:tcPr>
            <w:tcW w:w="1076" w:type="pct"/>
            <w:tcBorders>
              <w:top w:val="single" w:color="000000" w:sz="4" w:space="0"/>
              <w:left w:val="single" w:color="000000" w:sz="4" w:space="0"/>
              <w:bottom w:val="single" w:color="000000" w:sz="4" w:space="0"/>
              <w:right w:val="single" w:color="000000" w:sz="4" w:space="0"/>
            </w:tcBorders>
            <w:vAlign w:val="center"/>
          </w:tcPr>
          <w:p>
            <w:pPr>
              <w:pStyle w:val="219"/>
              <w:rPr>
                <w:sz w:val="21"/>
              </w:rPr>
            </w:pPr>
            <w:r>
              <w:rPr>
                <w:sz w:val="21"/>
              </w:rPr>
              <w:t>106°19′18″</w:t>
            </w:r>
          </w:p>
        </w:tc>
        <w:tc>
          <w:tcPr>
            <w:tcW w:w="834" w:type="pct"/>
            <w:tcBorders>
              <w:top w:val="single" w:color="000000" w:sz="4" w:space="0"/>
              <w:left w:val="single" w:color="000000" w:sz="4" w:space="0"/>
              <w:bottom w:val="single" w:color="000000" w:sz="4" w:space="0"/>
              <w:right w:val="single" w:color="000000" w:sz="4" w:space="0"/>
            </w:tcBorders>
            <w:vAlign w:val="center"/>
          </w:tcPr>
          <w:p>
            <w:pPr>
              <w:pStyle w:val="219"/>
              <w:rPr>
                <w:sz w:val="21"/>
              </w:rPr>
            </w:pPr>
            <w:r>
              <w:rPr>
                <w:sz w:val="21"/>
              </w:rPr>
              <w:t>纬度</w:t>
            </w:r>
          </w:p>
        </w:tc>
        <w:tc>
          <w:tcPr>
            <w:tcW w:w="980" w:type="pct"/>
            <w:tcBorders>
              <w:top w:val="single" w:color="000000" w:sz="4" w:space="0"/>
              <w:left w:val="single" w:color="000000" w:sz="4" w:space="0"/>
              <w:bottom w:val="single" w:color="000000" w:sz="4" w:space="0"/>
              <w:right w:val="single" w:color="000000" w:sz="8" w:space="0"/>
            </w:tcBorders>
            <w:vAlign w:val="center"/>
          </w:tcPr>
          <w:p>
            <w:pPr>
              <w:pStyle w:val="219"/>
              <w:rPr>
                <w:sz w:val="21"/>
              </w:rPr>
            </w:pPr>
            <w:r>
              <w:rPr>
                <w:sz w:val="21"/>
              </w:rPr>
              <w:t>29°55′2034″</w:t>
            </w:r>
          </w:p>
        </w:tc>
      </w:tr>
      <w:tr>
        <w:tblPrEx>
          <w:tblCellMar>
            <w:top w:w="0" w:type="dxa"/>
            <w:left w:w="0" w:type="dxa"/>
            <w:bottom w:w="0" w:type="dxa"/>
            <w:right w:w="0" w:type="dxa"/>
          </w:tblCellMar>
        </w:tblPrEx>
        <w:trPr>
          <w:trHeight w:val="322" w:hRule="atLeast"/>
          <w:jc w:val="center"/>
        </w:trPr>
        <w:tc>
          <w:tcPr>
            <w:tcW w:w="1001" w:type="pct"/>
            <w:tcBorders>
              <w:top w:val="single" w:color="000000" w:sz="4" w:space="0"/>
              <w:left w:val="single" w:color="000000" w:sz="8" w:space="0"/>
              <w:bottom w:val="single" w:color="000000" w:sz="4" w:space="0"/>
              <w:right w:val="single" w:color="000000" w:sz="4" w:space="0"/>
            </w:tcBorders>
            <w:vAlign w:val="center"/>
          </w:tcPr>
          <w:p>
            <w:pPr>
              <w:pStyle w:val="219"/>
              <w:rPr>
                <w:sz w:val="21"/>
              </w:rPr>
            </w:pPr>
            <w:r>
              <w:rPr>
                <w:sz w:val="21"/>
              </w:rPr>
              <w:t>主要危险物质及分布</w:t>
            </w:r>
          </w:p>
        </w:tc>
        <w:tc>
          <w:tcPr>
            <w:tcW w:w="3999" w:type="pct"/>
            <w:gridSpan w:val="4"/>
            <w:tcBorders>
              <w:top w:val="single" w:color="000000" w:sz="4" w:space="0"/>
              <w:left w:val="single" w:color="000000" w:sz="4" w:space="0"/>
              <w:bottom w:val="single" w:color="000000" w:sz="4" w:space="0"/>
              <w:right w:val="single" w:color="000000" w:sz="8" w:space="0"/>
            </w:tcBorders>
            <w:vAlign w:val="center"/>
          </w:tcPr>
          <w:p>
            <w:pPr>
              <w:pStyle w:val="219"/>
              <w:jc w:val="left"/>
              <w:rPr>
                <w:sz w:val="21"/>
              </w:rPr>
            </w:pPr>
            <w:r>
              <w:rPr>
                <w:sz w:val="21"/>
              </w:rPr>
              <w:t>柴油以储罐的方式储存在柴油间，最大储量42t；润滑油采用桶装暂存于机械检修；废润滑油采用收集桶加盖暂存于危险废物贮存间，最大储量200kg。</w:t>
            </w:r>
          </w:p>
        </w:tc>
      </w:tr>
      <w:tr>
        <w:tblPrEx>
          <w:tblCellMar>
            <w:top w:w="0" w:type="dxa"/>
            <w:left w:w="0" w:type="dxa"/>
            <w:bottom w:w="0" w:type="dxa"/>
            <w:right w:w="0" w:type="dxa"/>
          </w:tblCellMar>
        </w:tblPrEx>
        <w:trPr>
          <w:trHeight w:val="369" w:hRule="atLeast"/>
          <w:jc w:val="center"/>
        </w:trPr>
        <w:tc>
          <w:tcPr>
            <w:tcW w:w="1001" w:type="pct"/>
            <w:tcBorders>
              <w:top w:val="single" w:color="000000" w:sz="4" w:space="0"/>
              <w:left w:val="single" w:color="000000" w:sz="8" w:space="0"/>
              <w:bottom w:val="single" w:color="000000" w:sz="4" w:space="0"/>
              <w:right w:val="single" w:color="000000" w:sz="4" w:space="0"/>
            </w:tcBorders>
            <w:vAlign w:val="center"/>
          </w:tcPr>
          <w:p>
            <w:pPr>
              <w:pStyle w:val="219"/>
              <w:rPr>
                <w:sz w:val="21"/>
              </w:rPr>
            </w:pPr>
            <w:r>
              <w:rPr>
                <w:sz w:val="21"/>
              </w:rPr>
              <w:t>环境影响途径及危害后果（大气、地表水、地下水等）</w:t>
            </w:r>
          </w:p>
        </w:tc>
        <w:tc>
          <w:tcPr>
            <w:tcW w:w="3999" w:type="pct"/>
            <w:gridSpan w:val="4"/>
            <w:tcBorders>
              <w:top w:val="single" w:color="000000" w:sz="4" w:space="0"/>
              <w:left w:val="single" w:color="000000" w:sz="4" w:space="0"/>
              <w:bottom w:val="single" w:color="000000" w:sz="4" w:space="0"/>
              <w:right w:val="single" w:color="000000" w:sz="8" w:space="0"/>
            </w:tcBorders>
            <w:vAlign w:val="center"/>
          </w:tcPr>
          <w:p>
            <w:pPr>
              <w:pStyle w:val="219"/>
              <w:jc w:val="left"/>
              <w:rPr>
                <w:sz w:val="21"/>
              </w:rPr>
            </w:pPr>
            <w:r>
              <w:rPr>
                <w:sz w:val="21"/>
              </w:rPr>
              <w:t xml:space="preserve"> 柴油、润滑油、废油泄漏排入周围水体会影响地表水环境，渗漏进入地下水会影响地下水环境，对局部水体、土壤造成污染；柴油、润滑油、废油遇明火、高热或与氧化剂有引起燃烧爆炸的危险，燃烧产生CO排放至空气中。</w:t>
            </w:r>
          </w:p>
        </w:tc>
      </w:tr>
      <w:tr>
        <w:tblPrEx>
          <w:tblCellMar>
            <w:top w:w="0" w:type="dxa"/>
            <w:left w:w="0" w:type="dxa"/>
            <w:bottom w:w="0" w:type="dxa"/>
            <w:right w:w="0" w:type="dxa"/>
          </w:tblCellMar>
        </w:tblPrEx>
        <w:trPr>
          <w:trHeight w:val="369" w:hRule="atLeast"/>
          <w:jc w:val="center"/>
        </w:trPr>
        <w:tc>
          <w:tcPr>
            <w:tcW w:w="1001" w:type="pct"/>
            <w:tcBorders>
              <w:top w:val="single" w:color="000000" w:sz="4" w:space="0"/>
              <w:left w:val="single" w:color="000000" w:sz="8" w:space="0"/>
              <w:bottom w:val="single" w:color="000000" w:sz="4" w:space="0"/>
              <w:right w:val="single" w:color="000000" w:sz="4" w:space="0"/>
            </w:tcBorders>
            <w:vAlign w:val="center"/>
          </w:tcPr>
          <w:p>
            <w:pPr>
              <w:pStyle w:val="219"/>
              <w:rPr>
                <w:sz w:val="21"/>
              </w:rPr>
            </w:pPr>
            <w:r>
              <w:rPr>
                <w:sz w:val="21"/>
              </w:rPr>
              <w:t>风险防范措施要求</w:t>
            </w:r>
          </w:p>
        </w:tc>
        <w:tc>
          <w:tcPr>
            <w:tcW w:w="3999" w:type="pct"/>
            <w:gridSpan w:val="4"/>
            <w:tcBorders>
              <w:top w:val="single" w:color="000000" w:sz="4" w:space="0"/>
              <w:left w:val="single" w:color="000000" w:sz="4" w:space="0"/>
              <w:bottom w:val="single" w:color="000000" w:sz="4" w:space="0"/>
              <w:right w:val="single" w:color="000000" w:sz="8" w:space="0"/>
            </w:tcBorders>
            <w:vAlign w:val="center"/>
          </w:tcPr>
          <w:p>
            <w:pPr>
              <w:pStyle w:val="219"/>
              <w:rPr>
                <w:sz w:val="21"/>
              </w:rPr>
            </w:pPr>
            <w:r>
              <w:rPr>
                <w:sz w:val="21"/>
              </w:rPr>
              <w:t>（1）柴油风险防范措施：</w:t>
            </w:r>
            <w:r>
              <w:rPr>
                <w:rFonts w:hint="eastAsia" w:ascii="宋体" w:hAnsi="宋体" w:cs="宋体"/>
                <w:sz w:val="21"/>
              </w:rPr>
              <w:t>①</w:t>
            </w:r>
            <w:r>
              <w:rPr>
                <w:sz w:val="21"/>
              </w:rPr>
              <w:t>在柴油罐区基础作防渗，采用双层罐，为地埋式，以防止柴油泄漏和滴漏污染土壤，起到防渗的作用。</w:t>
            </w:r>
            <w:r>
              <w:rPr>
                <w:rFonts w:hint="eastAsia" w:ascii="宋体" w:hAnsi="宋体" w:cs="宋体"/>
                <w:sz w:val="21"/>
              </w:rPr>
              <w:t>②</w:t>
            </w:r>
            <w:r>
              <w:rPr>
                <w:sz w:val="21"/>
              </w:rPr>
              <w:t>柴油罐区设立防火标志，严禁烟火，柴油间按要求设置有消防灭火装置（配备灭火器、灭火沙等），如发生火灾，第一时间进行灭火，避免火势扩散，减轻火灾时明火或热辐射引燃周边树木。</w:t>
            </w:r>
            <w:r>
              <w:rPr>
                <w:rFonts w:hint="eastAsia" w:ascii="宋体" w:hAnsi="宋体" w:cs="宋体"/>
                <w:sz w:val="21"/>
              </w:rPr>
              <w:t>③</w:t>
            </w:r>
            <w:r>
              <w:rPr>
                <w:sz w:val="21"/>
              </w:rPr>
              <w:t>加强对储油罐设备的安全管理，提高员工的安全责任意识，保证柴油储罐不发生泄漏，不存在超量储存现象，若发现有损坏漏油现象应及时委托相关单位进行维修。</w:t>
            </w:r>
          </w:p>
          <w:p>
            <w:pPr>
              <w:pStyle w:val="219"/>
              <w:rPr>
                <w:sz w:val="21"/>
              </w:rPr>
            </w:pPr>
            <w:r>
              <w:rPr>
                <w:sz w:val="21"/>
              </w:rPr>
              <w:t>（2）润滑油储存于铁桶内、废油储存于带盖油桶内，并将润滑油桶及废油收集桶置于防渗托盘上。</w:t>
            </w:r>
          </w:p>
          <w:p>
            <w:pPr>
              <w:pStyle w:val="219"/>
              <w:rPr>
                <w:sz w:val="21"/>
              </w:rPr>
            </w:pPr>
            <w:r>
              <w:rPr>
                <w:sz w:val="21"/>
              </w:rPr>
              <w:t>（3）危险废物贮存间采取“四防”措施，并加强管理。</w:t>
            </w:r>
          </w:p>
          <w:p>
            <w:pPr>
              <w:pStyle w:val="219"/>
              <w:rPr>
                <w:sz w:val="21"/>
              </w:rPr>
            </w:pPr>
            <w:r>
              <w:rPr>
                <w:sz w:val="21"/>
              </w:rPr>
              <w:t>（4）加强职工安全环保教育，增强操作工人的责任心，防止和减少因人为因素造成的事故，同时也要加强防火安全教育。</w:t>
            </w:r>
          </w:p>
          <w:p>
            <w:pPr>
              <w:pStyle w:val="219"/>
              <w:rPr>
                <w:bCs/>
                <w:sz w:val="21"/>
              </w:rPr>
            </w:pPr>
            <w:r>
              <w:rPr>
                <w:sz w:val="21"/>
              </w:rPr>
              <w:t>（5）建立环境风险应急预案并向主管部门进行备案，定期开展应急演练。</w:t>
            </w:r>
          </w:p>
        </w:tc>
      </w:tr>
      <w:tr>
        <w:tblPrEx>
          <w:tblCellMar>
            <w:top w:w="0" w:type="dxa"/>
            <w:left w:w="0" w:type="dxa"/>
            <w:bottom w:w="0" w:type="dxa"/>
            <w:right w:w="0" w:type="dxa"/>
          </w:tblCellMar>
        </w:tblPrEx>
        <w:trPr>
          <w:trHeight w:val="369" w:hRule="atLeast"/>
          <w:jc w:val="center"/>
        </w:trPr>
        <w:tc>
          <w:tcPr>
            <w:tcW w:w="5000" w:type="pct"/>
            <w:gridSpan w:val="5"/>
            <w:tcBorders>
              <w:top w:val="single" w:color="000000" w:sz="4" w:space="0"/>
              <w:left w:val="single" w:color="000000" w:sz="8" w:space="0"/>
              <w:bottom w:val="single" w:color="000000" w:sz="8" w:space="0"/>
              <w:right w:val="single" w:color="000000" w:sz="8" w:space="0"/>
            </w:tcBorders>
            <w:vAlign w:val="center"/>
          </w:tcPr>
          <w:p>
            <w:pPr>
              <w:pStyle w:val="219"/>
              <w:jc w:val="left"/>
              <w:rPr>
                <w:sz w:val="21"/>
              </w:rPr>
            </w:pPr>
            <w:r>
              <w:rPr>
                <w:sz w:val="21"/>
              </w:rPr>
              <w:t>填表说明（列出项目相关信息及评价说明）：</w:t>
            </w:r>
          </w:p>
          <w:p>
            <w:pPr>
              <w:pStyle w:val="219"/>
              <w:jc w:val="left"/>
              <w:rPr>
                <w:sz w:val="21"/>
              </w:rPr>
            </w:pPr>
            <w:r>
              <w:rPr>
                <w:sz w:val="21"/>
              </w:rPr>
              <w:t>项目涉及的危险物质为柴油、润滑油、废油，场内最大储存量Q＜1，项目风险潜势初判为Ⅰ，风险评价等级为简单分析。</w:t>
            </w:r>
          </w:p>
        </w:tc>
      </w:tr>
    </w:tbl>
    <w:p>
      <w:pPr>
        <w:pStyle w:val="222"/>
        <w:sectPr>
          <w:headerReference r:id="rId36" w:type="first"/>
          <w:footerReference r:id="rId38" w:type="first"/>
          <w:headerReference r:id="rId35" w:type="even"/>
          <w:footerReference r:id="rId37" w:type="even"/>
          <w:pgSz w:w="11907" w:h="16840"/>
          <w:pgMar w:top="1588" w:right="1418" w:bottom="1366" w:left="1418" w:header="851" w:footer="992" w:gutter="0"/>
          <w:cols w:space="425" w:num="1"/>
          <w:docGrid w:linePitch="312" w:charSpace="0"/>
        </w:sectPr>
      </w:pPr>
    </w:p>
    <w:p>
      <w:pPr>
        <w:pStyle w:val="3"/>
        <w:numPr>
          <w:ilvl w:val="0"/>
          <w:numId w:val="0"/>
        </w:numPr>
        <w:spacing w:before="240" w:after="240"/>
      </w:pPr>
      <w:bookmarkStart w:id="205" w:name="_Toc161676126"/>
      <w:r>
        <w:t>8环境保护措施及其可行性论证</w:t>
      </w:r>
      <w:bookmarkEnd w:id="196"/>
      <w:bookmarkEnd w:id="205"/>
    </w:p>
    <w:p>
      <w:pPr>
        <w:pStyle w:val="4"/>
      </w:pPr>
      <w:bookmarkStart w:id="206" w:name="_Toc161676127"/>
      <w:r>
        <w:t>8.1生态环境保护及恢复措施</w:t>
      </w:r>
      <w:bookmarkEnd w:id="206"/>
    </w:p>
    <w:p>
      <w:pPr>
        <w:pStyle w:val="5"/>
        <w:rPr>
          <w:color w:val="auto"/>
        </w:rPr>
      </w:pPr>
      <w:r>
        <w:rPr>
          <w:color w:val="auto"/>
        </w:rPr>
        <w:t>8.1.1生态环境整治原则和目标</w:t>
      </w:r>
    </w:p>
    <w:p>
      <w:pPr>
        <w:pStyle w:val="3184"/>
        <w:numPr>
          <w:ilvl w:val="0"/>
          <w:numId w:val="26"/>
        </w:numPr>
        <w:ind w:left="0" w:firstLine="480" w:firstLineChars="200"/>
        <w:rPr>
          <w:sz w:val="24"/>
        </w:rPr>
      </w:pPr>
      <w:r>
        <w:rPr>
          <w:sz w:val="24"/>
        </w:rPr>
        <w:t>贯彻“预防为主、防治结合”的指导方针，采取相应的预防措施以减轻露天开采对区域生态环境造成的破坏。</w:t>
      </w:r>
    </w:p>
    <w:p>
      <w:pPr>
        <w:pStyle w:val="3227"/>
        <w:ind w:left="0" w:firstLine="480" w:firstLineChars="200"/>
        <w:rPr>
          <w:sz w:val="24"/>
        </w:rPr>
      </w:pPr>
      <w:r>
        <w:rPr>
          <w:sz w:val="24"/>
        </w:rPr>
        <w:t>采取“因地制宜、因害设防”的原则，对矿区范围内滑坡、陡崖等采取针对性措施。</w:t>
      </w:r>
    </w:p>
    <w:p>
      <w:pPr>
        <w:pStyle w:val="3227"/>
        <w:ind w:left="0" w:firstLine="480" w:firstLineChars="200"/>
        <w:rPr>
          <w:sz w:val="24"/>
        </w:rPr>
      </w:pPr>
      <w:r>
        <w:rPr>
          <w:sz w:val="24"/>
        </w:rPr>
        <w:t>表土临时堆放，作为后期生态恢复的覆土使用。</w:t>
      </w:r>
    </w:p>
    <w:p>
      <w:pPr>
        <w:pStyle w:val="3227"/>
        <w:ind w:left="0" w:firstLine="480" w:firstLineChars="200"/>
        <w:rPr>
          <w:sz w:val="24"/>
        </w:rPr>
      </w:pPr>
      <w:r>
        <w:rPr>
          <w:sz w:val="24"/>
        </w:rPr>
        <w:t>根据土地的不同使用功能，采取功能分区的治理原则。闭矿后对于破坏的土地通过采取土地复垦措施后，尽量恢复原来的使用功能。</w:t>
      </w:r>
    </w:p>
    <w:p>
      <w:pPr>
        <w:pStyle w:val="3227"/>
        <w:ind w:left="0" w:firstLine="480" w:firstLineChars="200"/>
        <w:rPr>
          <w:sz w:val="24"/>
        </w:rPr>
      </w:pPr>
      <w:r>
        <w:rPr>
          <w:sz w:val="24"/>
        </w:rPr>
        <w:t>“重点突出、分区治理”的原则，重点治理评价区域内受破坏的林地。</w:t>
      </w:r>
    </w:p>
    <w:p>
      <w:pPr>
        <w:pStyle w:val="3227"/>
        <w:ind w:left="0" w:firstLine="480" w:firstLineChars="200"/>
        <w:rPr>
          <w:sz w:val="24"/>
        </w:rPr>
      </w:pPr>
      <w:r>
        <w:rPr>
          <w:sz w:val="24"/>
        </w:rPr>
        <w:t>按照“谁破坏、谁治理”的原则，建设单位应有专门的队伍，及时对开采完的平台覆土复绿，及时对采空区进行整平、回填。</w:t>
      </w:r>
    </w:p>
    <w:p>
      <w:pPr>
        <w:pStyle w:val="5"/>
        <w:rPr>
          <w:color w:val="auto"/>
        </w:rPr>
      </w:pPr>
      <w:r>
        <w:rPr>
          <w:color w:val="auto"/>
        </w:rPr>
        <w:t>8.1.2动植物保护措施</w:t>
      </w:r>
    </w:p>
    <w:p>
      <w:pPr>
        <w:pStyle w:val="222"/>
      </w:pPr>
      <w:r>
        <w:t>（1）陆生植物保护措施</w:t>
      </w:r>
    </w:p>
    <w:p>
      <w:pPr>
        <w:pStyle w:val="222"/>
      </w:pPr>
      <w:r>
        <w:rPr>
          <w:rFonts w:hint="eastAsia" w:ascii="宋体" w:hAnsi="宋体" w:cs="宋体"/>
        </w:rPr>
        <w:t>①</w:t>
      </w:r>
      <w:r>
        <w:t>矿山范围内的植被要严格按照设计方案的开采时序进行砍伐，不得随意大面积砍伐。地表附着的较大的乔木建议尽量采取移栽的方式，就近移植到临近未开采的地方种植，利于当地的植物种类恢复，有效防止生物入侵；</w:t>
      </w:r>
    </w:p>
    <w:p>
      <w:pPr>
        <w:pStyle w:val="222"/>
      </w:pPr>
      <w:r>
        <w:rPr>
          <w:rFonts w:hint="eastAsia" w:ascii="宋体" w:hAnsi="宋体" w:cs="宋体"/>
        </w:rPr>
        <w:t>②</w:t>
      </w:r>
      <w:r>
        <w:t>本项目应保护好剥离的耕作层土壤，闭矿后的生态恢复表层覆土尽量采用剥离下来的表土，有助于恢复矿山原貌植被。</w:t>
      </w:r>
    </w:p>
    <w:p>
      <w:pPr>
        <w:pStyle w:val="222"/>
      </w:pPr>
      <w:r>
        <w:rPr>
          <w:rFonts w:hint="eastAsia" w:ascii="宋体" w:hAnsi="宋体" w:cs="宋体"/>
        </w:rPr>
        <w:t>③</w:t>
      </w:r>
      <w:r>
        <w:t>按照生态学原理，选择地方特色的乡土植物，遵循植被演化规律，在绿化的基础上进行环境美化。根据自然地理环境的特点和植物的生态适应性及自然演替规律，增加多种植被成分。</w:t>
      </w:r>
    </w:p>
    <w:p>
      <w:pPr>
        <w:pStyle w:val="222"/>
      </w:pPr>
      <w:r>
        <w:t>（2）陆生动物保护措施</w:t>
      </w:r>
    </w:p>
    <w:p>
      <w:pPr>
        <w:pStyle w:val="222"/>
      </w:pPr>
      <w:r>
        <w:rPr>
          <w:rFonts w:hint="eastAsia" w:ascii="宋体" w:hAnsi="宋体" w:cs="宋体"/>
        </w:rPr>
        <w:t>①</w:t>
      </w:r>
      <w:r>
        <w:t>加强思想教育，提高生产人员的野生动物保护意识，严禁捕猎野生动物；</w:t>
      </w:r>
    </w:p>
    <w:p>
      <w:pPr>
        <w:pStyle w:val="222"/>
      </w:pPr>
      <w:r>
        <w:rPr>
          <w:rFonts w:hint="eastAsia" w:ascii="宋体" w:hAnsi="宋体" w:cs="宋体"/>
        </w:rPr>
        <w:t>②</w:t>
      </w:r>
      <w:r>
        <w:t>加强生产管理，减少污染物排放，减少对野生动物栖息地的破坏；</w:t>
      </w:r>
    </w:p>
    <w:p>
      <w:pPr>
        <w:pStyle w:val="222"/>
      </w:pPr>
      <w:r>
        <w:rPr>
          <w:rFonts w:hint="eastAsia" w:ascii="宋体" w:hAnsi="宋体" w:cs="宋体"/>
        </w:rPr>
        <w:t>③</w:t>
      </w:r>
      <w:r>
        <w:t>林地尽量采用乔、灌、草以及藤蔓植物结合的方式进行植被恢复，为动物提供更多栖息场所。</w:t>
      </w:r>
    </w:p>
    <w:p>
      <w:pPr>
        <w:pStyle w:val="5"/>
        <w:rPr>
          <w:color w:val="auto"/>
        </w:rPr>
      </w:pPr>
      <w:r>
        <w:rPr>
          <w:color w:val="auto"/>
        </w:rPr>
        <w:t>8.1.3生态保护措施</w:t>
      </w:r>
    </w:p>
    <w:p>
      <w:pPr>
        <w:pStyle w:val="222"/>
      </w:pPr>
      <w:r>
        <w:t>（1）开采区生态保护措施</w:t>
      </w:r>
    </w:p>
    <w:p>
      <w:pPr>
        <w:pStyle w:val="222"/>
      </w:pPr>
      <w:r>
        <w:rPr>
          <w:rFonts w:hint="eastAsia" w:ascii="宋体" w:hAnsi="宋体" w:cs="宋体"/>
        </w:rPr>
        <w:t>①</w:t>
      </w:r>
      <w:r>
        <w:t>项目后续应严格按照开发利用方案自上而下进行分台剥离、开采，并确保剥采边坡角、台阶高差等符合开发利用方案要求。</w:t>
      </w:r>
    </w:p>
    <w:p>
      <w:pPr>
        <w:pStyle w:val="222"/>
      </w:pPr>
      <w:r>
        <w:rPr>
          <w:rFonts w:hint="eastAsia" w:ascii="宋体" w:hAnsi="宋体" w:cs="宋体"/>
        </w:rPr>
        <w:t>②</w:t>
      </w:r>
      <w:r>
        <w:t>开采矿石岩层时，尽量保证周边围岩的稳定，采场边坡上的危石应及时清理，避免发生危石滚落伤人事故。按照“边采边治”的原则，对各边坡上的危石清理完成后，才能进行下一台阶的开采，由于台阶按分级放坡开采后，边坡是稳定的，但在开采过程中，边坡亦可能存在局部掉块的现象，因此，需对边坡的危石进行检查和清除，本项目在开采期执行。</w:t>
      </w:r>
    </w:p>
    <w:p>
      <w:pPr>
        <w:pStyle w:val="222"/>
        <w:rPr>
          <w:bCs/>
          <w:kern w:val="0"/>
        </w:rPr>
      </w:pPr>
      <w:r>
        <w:rPr>
          <w:rFonts w:hint="eastAsia" w:ascii="宋体" w:hAnsi="宋体" w:cs="宋体"/>
        </w:rPr>
        <w:t>③</w:t>
      </w:r>
      <w:r>
        <w:t>在采区东侧、西侧和南侧设置排水沟，东侧沟尾端设置沉砂池，采区东北侧地势低处设置1个沉砂池，雨水收集后经沉淀处理后外排。</w:t>
      </w:r>
      <w:r>
        <w:rPr>
          <w:bCs/>
          <w:kern w:val="0"/>
        </w:rPr>
        <w:t xml:space="preserve"> </w:t>
      </w:r>
    </w:p>
    <w:p>
      <w:pPr>
        <w:pStyle w:val="222"/>
      </w:pPr>
      <w:r>
        <w:rPr>
          <w:rFonts w:hint="eastAsia" w:ascii="宋体" w:hAnsi="宋体" w:cs="宋体"/>
        </w:rPr>
        <w:t>④</w:t>
      </w:r>
      <w:r>
        <w:t>本矿山严格执行“边开采、边恢复”的生产方式，采完一个台阶及时进行生态恢复，以减小矿区裸露的面积。高陡边坡整治后的裸露坡面撒播草籽进行临时防护；最后在完成底盘开采后，完成整个采区的生态恢复，可进一步减小矿山裸岩面积，进一步降低矿山开采景观影响和水土流失影响。</w:t>
      </w:r>
    </w:p>
    <w:p>
      <w:pPr>
        <w:pStyle w:val="222"/>
      </w:pPr>
      <w:r>
        <w:rPr>
          <w:rFonts w:hint="eastAsia" w:ascii="宋体" w:hAnsi="宋体" w:cs="宋体"/>
        </w:rPr>
        <w:t>⑤</w:t>
      </w:r>
      <w:r>
        <w:t>本项目终了底盘整体平场后、弃渣场区域修复为旱地，覆土厚度为0.5m。弃渣场、边坡、安全平台、防滚石平台、清扫平台、边坡等修复为林地，依据各修复单元终了地形条件，针对种植灌木的平台采取每株按顶宽0.6m*0.6m，底宽0.3m*0.3m，深10m凿土坑种植，剩余撒播草籽区域覆土0.3m。</w:t>
      </w:r>
    </w:p>
    <w:p>
      <w:pPr>
        <w:pStyle w:val="222"/>
      </w:pPr>
      <w:r>
        <w:t>（2）工业场地生态保护措施</w:t>
      </w:r>
    </w:p>
    <w:p>
      <w:pPr>
        <w:pStyle w:val="222"/>
        <w:rPr>
          <w:bCs/>
          <w:kern w:val="0"/>
        </w:rPr>
      </w:pPr>
      <w:r>
        <w:rPr>
          <w:bCs/>
          <w:kern w:val="0"/>
        </w:rPr>
        <w:t>开采结束后，拆除场地内的全部建构筑物和设备，清除建筑垃圾，平整工业场地，平整后进行覆土，覆土厚度0.5m，恢复成旱地，并对复垦后土地施用适当的有机肥料以提高土壤中有机物含量，改良土壤结构，有利于植物根系发育与成活生长。</w:t>
      </w:r>
    </w:p>
    <w:p>
      <w:pPr>
        <w:pStyle w:val="222"/>
        <w:rPr>
          <w:szCs w:val="21"/>
        </w:rPr>
      </w:pPr>
      <w:r>
        <w:rPr>
          <w:bCs/>
          <w:kern w:val="0"/>
        </w:rPr>
        <w:t>（3）</w:t>
      </w:r>
      <w:r>
        <w:rPr>
          <w:szCs w:val="21"/>
        </w:rPr>
        <w:t>建设单位应严格落实《水土保持方案》、《重庆峰磊矿业有限公司合川区盐井街道观音村五社建筑石料用灰岩矿矿山地质环境恢复治理和土地复垦方案》等提出的水土保持措施、矿山地质环境保护与恢复治理措施、土地复垦措施。</w:t>
      </w:r>
    </w:p>
    <w:p>
      <w:pPr>
        <w:pStyle w:val="4"/>
      </w:pPr>
      <w:bookmarkStart w:id="207" w:name="_Toc161676128"/>
      <w:r>
        <w:t>8.2建设期环境保护措施</w:t>
      </w:r>
      <w:bookmarkEnd w:id="207"/>
    </w:p>
    <w:p>
      <w:pPr>
        <w:pStyle w:val="5"/>
        <w:rPr>
          <w:color w:val="auto"/>
        </w:rPr>
      </w:pPr>
      <w:r>
        <w:rPr>
          <w:color w:val="auto"/>
        </w:rPr>
        <w:t>8.2.1大气环境保护措施</w:t>
      </w:r>
    </w:p>
    <w:p>
      <w:pPr>
        <w:pStyle w:val="222"/>
      </w:pPr>
      <w:r>
        <w:t>项目施工过程大气污染源主要为采区表土剥离、矿山道路修建产生的扬尘，以及施工车辆运输扬尘、施工机具尾气等。</w:t>
      </w:r>
    </w:p>
    <w:p>
      <w:pPr>
        <w:pStyle w:val="222"/>
      </w:pPr>
      <w:r>
        <w:t xml:space="preserve">（1）在施工工作面，应制定洒水降尘制度，配套洒水设备，由专人负责定期洒水，在大风日要加大洒水量和洒水次数。加强管理，减小施工场地及场内公路施工扬尘。 </w:t>
      </w:r>
    </w:p>
    <w:p>
      <w:pPr>
        <w:pStyle w:val="222"/>
        <w:rPr>
          <w:kern w:val="0"/>
        </w:rPr>
      </w:pPr>
      <w:r>
        <w:t>（2）施工过程砂石等易扬尘物料采用隔尘布完全覆盖或放置在顶部和四周均有遮蔽的场所内，</w:t>
      </w:r>
      <w:r>
        <w:rPr>
          <w:kern w:val="0"/>
        </w:rPr>
        <w:t>防止建筑材料、渣土洒落和尘土飞扬。</w:t>
      </w:r>
    </w:p>
    <w:p>
      <w:pPr>
        <w:pStyle w:val="222"/>
      </w:pPr>
      <w:r>
        <w:t>（3）设置车辆冲洗，在车辆进入场外道路之前冲洗干净，禁止带泥上路。并由专人负责及时清扫入场道路路面渣土，保持交通道路清洁。</w:t>
      </w:r>
    </w:p>
    <w:p>
      <w:pPr>
        <w:pStyle w:val="1262"/>
        <w:snapToGrid w:val="0"/>
        <w:spacing w:line="360" w:lineRule="auto"/>
        <w:rPr>
          <w:color w:val="auto"/>
        </w:rPr>
      </w:pPr>
      <w:r>
        <w:rPr>
          <w:color w:val="auto"/>
        </w:rPr>
        <w:t>（4）选用国家有关标准的施工机械和运输工具，使用优质动力燃料，对耗油多、效率低、尾气超标严重的老、旧车辆，应及时报废或更新。</w:t>
      </w:r>
    </w:p>
    <w:p>
      <w:pPr>
        <w:pStyle w:val="5"/>
        <w:rPr>
          <w:color w:val="auto"/>
        </w:rPr>
      </w:pPr>
      <w:r>
        <w:rPr>
          <w:color w:val="auto"/>
        </w:rPr>
        <w:t>8.2.2水环境保护措施</w:t>
      </w:r>
    </w:p>
    <w:p>
      <w:pPr>
        <w:pStyle w:val="1262"/>
        <w:snapToGrid w:val="0"/>
        <w:spacing w:line="360" w:lineRule="auto"/>
        <w:rPr>
          <w:color w:val="auto"/>
        </w:rPr>
      </w:pPr>
      <w:r>
        <w:rPr>
          <w:color w:val="auto"/>
        </w:rPr>
        <w:t>建设期产生的废水较少，污废水主要为施工机械冲洗废水和施工人员生活污水。施工机械冲洗废水经沉淀池处理后回用于场地洒水抑尘，生活污水经化粪池处理后用于</w:t>
      </w:r>
      <w:r>
        <w:rPr>
          <w:bCs/>
          <w:color w:val="auto"/>
        </w:rPr>
        <w:t>农肥施用</w:t>
      </w:r>
      <w:r>
        <w:rPr>
          <w:color w:val="auto"/>
        </w:rPr>
        <w:t>，不外排。</w:t>
      </w:r>
    </w:p>
    <w:p>
      <w:pPr>
        <w:pStyle w:val="5"/>
        <w:rPr>
          <w:color w:val="auto"/>
        </w:rPr>
      </w:pPr>
      <w:r>
        <w:rPr>
          <w:color w:val="auto"/>
        </w:rPr>
        <w:t>8.2.3声环境保护措施</w:t>
      </w:r>
    </w:p>
    <w:p>
      <w:pPr>
        <w:spacing w:line="360" w:lineRule="auto"/>
        <w:ind w:firstLine="480"/>
        <w:jc w:val="both"/>
        <w:rPr>
          <w:sz w:val="24"/>
          <w:szCs w:val="21"/>
        </w:rPr>
      </w:pPr>
      <w:bookmarkStart w:id="208" w:name="_Toc476319684"/>
      <w:r>
        <w:rPr>
          <w:bCs/>
          <w:sz w:val="24"/>
          <w:szCs w:val="24"/>
        </w:rPr>
        <w:t>（1）</w:t>
      </w:r>
      <w:r>
        <w:rPr>
          <w:sz w:val="24"/>
          <w:szCs w:val="21"/>
        </w:rPr>
        <w:t>施工单位在使用推土机、挖掘机振捣棒等机具的时候昼、夜间场界噪声必须满足相应的噪声限值。使用先进的低噪声施工机具、设备和工艺。施工工地内合理布置施工机具和设备，充分依托矿区自然山体阻挡作用，对施工现场的强噪声设备应采取措施封闭，并尽可能设置在远离居民区的一侧，降低施工噪声对周围的影响。</w:t>
      </w:r>
    </w:p>
    <w:p>
      <w:pPr>
        <w:pStyle w:val="1262"/>
        <w:rPr>
          <w:bCs/>
          <w:color w:val="auto"/>
        </w:rPr>
      </w:pPr>
      <w:r>
        <w:rPr>
          <w:bCs/>
          <w:color w:val="auto"/>
        </w:rPr>
        <w:t>（2）合理安排施工进度，尽量缩短施工场地平整和机械施工时间。</w:t>
      </w:r>
      <w:bookmarkEnd w:id="208"/>
    </w:p>
    <w:p>
      <w:pPr>
        <w:pStyle w:val="1262"/>
        <w:rPr>
          <w:bCs/>
          <w:color w:val="auto"/>
        </w:rPr>
      </w:pPr>
      <w:bookmarkStart w:id="209" w:name="_Toc476319685"/>
      <w:r>
        <w:rPr>
          <w:bCs/>
          <w:color w:val="auto"/>
        </w:rPr>
        <w:t>（3）加强施工机械的维护和保养，尽量选取噪声小、振动小，能耗小的先进设备。</w:t>
      </w:r>
      <w:bookmarkEnd w:id="209"/>
    </w:p>
    <w:p>
      <w:pPr>
        <w:pStyle w:val="1262"/>
        <w:rPr>
          <w:bCs/>
          <w:color w:val="auto"/>
        </w:rPr>
      </w:pPr>
      <w:bookmarkStart w:id="210" w:name="_Toc476319687"/>
      <w:r>
        <w:rPr>
          <w:bCs/>
          <w:color w:val="auto"/>
        </w:rPr>
        <w:t>（4）加强车辆运输管理，车辆原材料运输及废渣运输尽量安排在白天进行，避免夜间进场影响附近居民休息。</w:t>
      </w:r>
      <w:bookmarkEnd w:id="210"/>
    </w:p>
    <w:p>
      <w:pPr>
        <w:pStyle w:val="5"/>
        <w:rPr>
          <w:color w:val="auto"/>
        </w:rPr>
      </w:pPr>
      <w:r>
        <w:rPr>
          <w:color w:val="auto"/>
        </w:rPr>
        <w:t>8.2.4固废处置措施</w:t>
      </w:r>
    </w:p>
    <w:p>
      <w:pPr>
        <w:pStyle w:val="222"/>
      </w:pPr>
      <w:bookmarkStart w:id="211" w:name="_Hlk93552439"/>
      <w:bookmarkStart w:id="212" w:name="_Toc476319706"/>
      <w:r>
        <w:rPr>
          <w:bCs/>
          <w:kern w:val="0"/>
        </w:rPr>
        <w:t>（1）建设期建筑物的</w:t>
      </w:r>
      <w:r>
        <w:t>建设产生的建筑垃圾，可利用的建筑材料尽量回收利用，不能利用的交由资源回收单位处理。</w:t>
      </w:r>
      <w:bookmarkEnd w:id="211"/>
    </w:p>
    <w:p>
      <w:pPr>
        <w:pStyle w:val="222"/>
      </w:pPr>
      <w:r>
        <w:t>（2）施工人员生活垃圾统一收集后交由当地环卫部门处置，对环境不利影响较小。</w:t>
      </w:r>
    </w:p>
    <w:p>
      <w:pPr>
        <w:pStyle w:val="222"/>
      </w:pPr>
      <w:r>
        <w:t>综上所述，项目建设期采取的防治措施简单易行，能有效减缓该矿山大气环境、水环境、声环境影响，措施可行。</w:t>
      </w:r>
      <w:bookmarkEnd w:id="212"/>
    </w:p>
    <w:p>
      <w:pPr>
        <w:pStyle w:val="4"/>
        <w:spacing w:line="360" w:lineRule="auto"/>
      </w:pPr>
      <w:bookmarkStart w:id="213" w:name="_Toc161676129"/>
      <w:r>
        <w:t>8.3开采期环境保护措施</w:t>
      </w:r>
      <w:bookmarkEnd w:id="213"/>
    </w:p>
    <w:p>
      <w:pPr>
        <w:pStyle w:val="5"/>
        <w:rPr>
          <w:color w:val="auto"/>
        </w:rPr>
      </w:pPr>
      <w:r>
        <w:rPr>
          <w:color w:val="auto"/>
        </w:rPr>
        <w:t>8.3.1大气污染防治措施</w:t>
      </w:r>
    </w:p>
    <w:p>
      <w:pPr>
        <w:spacing w:line="360" w:lineRule="auto"/>
        <w:ind w:firstLine="480"/>
        <w:jc w:val="both"/>
        <w:rPr>
          <w:bCs/>
          <w:kern w:val="0"/>
          <w:sz w:val="24"/>
          <w:szCs w:val="24"/>
        </w:rPr>
      </w:pPr>
      <w:r>
        <w:rPr>
          <w:bCs/>
          <w:kern w:val="0"/>
          <w:sz w:val="24"/>
          <w:szCs w:val="24"/>
        </w:rPr>
        <w:t>开采期环境空气污染几乎伴随着整个采剥工序，钻孔、爆破、装卸、运输、碎石加工等过程都会产生扬尘和粉尘，以及爆破废气、车辆尾气等。针对生产过程中引起的空气污染提出相应的防治措施。</w:t>
      </w:r>
    </w:p>
    <w:p>
      <w:pPr>
        <w:pStyle w:val="1262"/>
        <w:adjustRightInd w:val="0"/>
        <w:snapToGrid w:val="0"/>
        <w:spacing w:line="360" w:lineRule="auto"/>
        <w:rPr>
          <w:color w:val="auto"/>
        </w:rPr>
      </w:pPr>
      <w:r>
        <w:rPr>
          <w:color w:val="auto"/>
        </w:rPr>
        <w:t>（1）开采区污染防治措施</w:t>
      </w:r>
    </w:p>
    <w:p>
      <w:pPr>
        <w:pStyle w:val="1262"/>
        <w:adjustRightInd w:val="0"/>
        <w:snapToGrid w:val="0"/>
        <w:spacing w:line="360" w:lineRule="auto"/>
        <w:rPr>
          <w:bCs/>
          <w:color w:val="auto"/>
        </w:rPr>
      </w:pPr>
      <w:r>
        <w:rPr>
          <w:rFonts w:hint="eastAsia" w:ascii="宋体" w:hAnsi="宋体" w:cs="宋体"/>
          <w:color w:val="auto"/>
        </w:rPr>
        <w:t>①</w:t>
      </w:r>
      <w:r>
        <w:rPr>
          <w:color w:val="auto"/>
        </w:rPr>
        <w:t>项目选用潜孔钻机自带有收尘设备，可</w:t>
      </w:r>
      <w:r>
        <w:rPr>
          <w:bCs/>
          <w:color w:val="auto"/>
        </w:rPr>
        <w:t>减少粉尘产生和排放量；</w:t>
      </w:r>
    </w:p>
    <w:p>
      <w:pPr>
        <w:pStyle w:val="1262"/>
        <w:adjustRightInd w:val="0"/>
        <w:snapToGrid w:val="0"/>
        <w:spacing w:line="360" w:lineRule="auto"/>
        <w:rPr>
          <w:color w:val="auto"/>
        </w:rPr>
      </w:pPr>
      <w:r>
        <w:rPr>
          <w:rFonts w:hint="eastAsia" w:ascii="宋体" w:hAnsi="宋体" w:cs="宋体"/>
          <w:color w:val="auto"/>
        </w:rPr>
        <w:t>②</w:t>
      </w:r>
      <w:r>
        <w:rPr>
          <w:color w:val="auto"/>
        </w:rPr>
        <w:t>项目采用微差爆破，控制单次炸药量，爆破后及时对现场洒水降尘减少粉尘污染；</w:t>
      </w:r>
    </w:p>
    <w:p>
      <w:pPr>
        <w:pStyle w:val="1262"/>
        <w:adjustRightInd w:val="0"/>
        <w:snapToGrid w:val="0"/>
        <w:spacing w:line="360" w:lineRule="auto"/>
        <w:rPr>
          <w:color w:val="auto"/>
        </w:rPr>
      </w:pPr>
      <w:r>
        <w:rPr>
          <w:rFonts w:hint="eastAsia" w:ascii="宋体" w:hAnsi="宋体" w:cs="宋体"/>
          <w:color w:val="auto"/>
        </w:rPr>
        <w:t>③</w:t>
      </w:r>
      <w:r>
        <w:rPr>
          <w:color w:val="auto"/>
        </w:rPr>
        <w:t>采区配备多台雾炮机或多辆洒水车，分布在开采范围四周，采用雾炮机对矿山开采区、挖掘和铲装区、矿区运输道路开采期间全时段进行喷雾，不得间歇；洒水车不间断进行洒水抑尘，合理控制用水量，</w:t>
      </w:r>
      <w:r>
        <w:rPr>
          <w:color w:val="auto"/>
          <w:lang w:bidi="en-US"/>
        </w:rPr>
        <w:t>使矿石保持一定的湿度，可有效抑制挖掘、铲装粉尘产生。增加</w:t>
      </w:r>
      <w:r>
        <w:rPr>
          <w:color w:val="auto"/>
        </w:rPr>
        <w:t>洒水次数及用水量，减少矿区风力扬尘和运输过程中扬尘的产生，切实提高各个产尘环节的洒水降尘效率，能够确保无组织粉尘进行超低排放。</w:t>
      </w:r>
    </w:p>
    <w:p>
      <w:pPr>
        <w:pStyle w:val="1262"/>
        <w:adjustRightInd w:val="0"/>
        <w:snapToGrid w:val="0"/>
        <w:spacing w:line="360" w:lineRule="auto"/>
        <w:rPr>
          <w:color w:val="auto"/>
        </w:rPr>
      </w:pPr>
      <w:r>
        <w:rPr>
          <w:color w:val="auto"/>
        </w:rPr>
        <w:t>（2）运输过程大气污染防治措施</w:t>
      </w:r>
    </w:p>
    <w:p>
      <w:pPr>
        <w:pStyle w:val="1262"/>
        <w:adjustRightInd w:val="0"/>
        <w:snapToGrid w:val="0"/>
        <w:spacing w:line="360" w:lineRule="auto"/>
        <w:rPr>
          <w:bCs/>
          <w:color w:val="auto"/>
        </w:rPr>
      </w:pPr>
      <w:r>
        <w:rPr>
          <w:rFonts w:hint="eastAsia" w:ascii="宋体" w:hAnsi="宋体" w:cs="宋体"/>
          <w:bCs/>
          <w:color w:val="auto"/>
        </w:rPr>
        <w:t>①</w:t>
      </w:r>
      <w:r>
        <w:rPr>
          <w:bCs/>
          <w:color w:val="auto"/>
        </w:rPr>
        <w:t>产品外运不超载、不超速，采用篷布遮盖密闭运输，严禁使用冒黑烟车辆；加强运输车辆的管理，注重车辆的维护保养。</w:t>
      </w:r>
    </w:p>
    <w:p>
      <w:pPr>
        <w:pStyle w:val="1262"/>
        <w:adjustRightInd w:val="0"/>
        <w:snapToGrid w:val="0"/>
        <w:spacing w:line="360" w:lineRule="auto"/>
        <w:rPr>
          <w:bCs/>
          <w:color w:val="auto"/>
        </w:rPr>
      </w:pPr>
      <w:r>
        <w:rPr>
          <w:rFonts w:hint="eastAsia" w:ascii="宋体" w:hAnsi="宋体" w:cs="宋体"/>
          <w:bCs/>
          <w:color w:val="auto"/>
        </w:rPr>
        <w:t>②</w:t>
      </w:r>
      <w:r>
        <w:rPr>
          <w:bCs/>
          <w:color w:val="auto"/>
        </w:rPr>
        <w:t>运输车辆驶出矿区前对轮胎清洗干净，产品外运车辆驶出厂区前对轮胎冲洗干净，减少车辆运输扬尘的产生。</w:t>
      </w:r>
      <w:r>
        <w:rPr>
          <w:color w:val="auto"/>
        </w:rPr>
        <w:t>工业场地进出口</w:t>
      </w:r>
      <w:r>
        <w:rPr>
          <w:bCs/>
          <w:color w:val="auto"/>
        </w:rPr>
        <w:t>设置</w:t>
      </w:r>
      <w:r>
        <w:rPr>
          <w:color w:val="auto"/>
        </w:rPr>
        <w:t>车辆冲洗</w:t>
      </w:r>
      <w:r>
        <w:rPr>
          <w:bCs/>
          <w:color w:val="auto"/>
        </w:rPr>
        <w:t>设施</w:t>
      </w:r>
      <w:r>
        <w:rPr>
          <w:color w:val="auto"/>
        </w:rPr>
        <w:t>，对车辆外表面、轮毂进行冲洗，务必清洗干净，车身保持干净，不带泥上路，</w:t>
      </w:r>
      <w:r>
        <w:rPr>
          <w:bCs/>
          <w:color w:val="auto"/>
        </w:rPr>
        <w:t xml:space="preserve">冲洗废水经沉淀池收集处理后循环使用。  </w:t>
      </w:r>
    </w:p>
    <w:p>
      <w:pPr>
        <w:spacing w:line="360" w:lineRule="auto"/>
        <w:ind w:firstLine="480"/>
        <w:jc w:val="both"/>
        <w:rPr>
          <w:bCs/>
          <w:kern w:val="0"/>
          <w:sz w:val="24"/>
          <w:szCs w:val="24"/>
        </w:rPr>
      </w:pPr>
      <w:r>
        <w:rPr>
          <w:rFonts w:hint="eastAsia" w:ascii="宋体" w:hAnsi="宋体" w:cs="宋体"/>
          <w:bCs/>
          <w:kern w:val="0"/>
          <w:sz w:val="24"/>
          <w:szCs w:val="24"/>
        </w:rPr>
        <w:t>③</w:t>
      </w:r>
      <w:r>
        <w:rPr>
          <w:sz w:val="24"/>
          <w:szCs w:val="24"/>
        </w:rPr>
        <w:t>场内运输道路全部硬化，在晴天对场内道路路面进行清扫和洒水。</w:t>
      </w:r>
      <w:r>
        <w:rPr>
          <w:bCs/>
          <w:kern w:val="0"/>
          <w:sz w:val="24"/>
          <w:szCs w:val="24"/>
        </w:rPr>
        <w:t>配置多台洒水车</w:t>
      </w:r>
      <w:r>
        <w:rPr>
          <w:sz w:val="24"/>
          <w:szCs w:val="24"/>
        </w:rPr>
        <w:t>对采区道路进行喷雾洒水，降低运输扬尘。</w:t>
      </w:r>
    </w:p>
    <w:p>
      <w:pPr>
        <w:spacing w:line="360" w:lineRule="auto"/>
        <w:ind w:firstLine="480"/>
        <w:jc w:val="both"/>
        <w:rPr>
          <w:bCs/>
          <w:kern w:val="0"/>
          <w:sz w:val="24"/>
          <w:szCs w:val="24"/>
        </w:rPr>
      </w:pPr>
      <w:r>
        <w:rPr>
          <w:bCs/>
          <w:kern w:val="0"/>
          <w:sz w:val="24"/>
          <w:szCs w:val="24"/>
        </w:rPr>
        <w:t>（3）工业场地大气污染防治措施</w:t>
      </w:r>
    </w:p>
    <w:p>
      <w:pPr>
        <w:spacing w:line="360" w:lineRule="auto"/>
        <w:ind w:firstLine="480"/>
        <w:jc w:val="both"/>
        <w:rPr>
          <w:bCs/>
          <w:kern w:val="0"/>
          <w:sz w:val="24"/>
          <w:szCs w:val="24"/>
        </w:rPr>
      </w:pPr>
      <w:r>
        <w:rPr>
          <w:rFonts w:hint="eastAsia" w:ascii="宋体" w:hAnsi="宋体" w:cs="宋体"/>
          <w:bCs/>
          <w:kern w:val="0"/>
          <w:sz w:val="24"/>
          <w:szCs w:val="24"/>
          <w:lang w:eastAsia="ja-JP"/>
        </w:rPr>
        <w:t>①</w:t>
      </w:r>
      <w:r>
        <w:rPr>
          <w:bCs/>
          <w:kern w:val="0"/>
          <w:sz w:val="24"/>
          <w:szCs w:val="24"/>
        </w:rPr>
        <w:t>破碎筛分生产线置于封闭的生产厂房内，</w:t>
      </w:r>
      <w:r>
        <w:rPr>
          <w:kern w:val="0"/>
          <w:sz w:val="24"/>
          <w:szCs w:val="24"/>
        </w:rPr>
        <w:t>输送皮带设置防尘罩，</w:t>
      </w:r>
      <w:r>
        <w:rPr>
          <w:bCs/>
          <w:kern w:val="0"/>
          <w:sz w:val="24"/>
          <w:szCs w:val="24"/>
        </w:rPr>
        <w:t>破碎机进料口采用彩钢棚三面围挡，在卸料口顶部设置多排喷雾装置，并加密喷雾点，在生产期间必须开启，不得无故关闭或不启动，一旦发生损坏，应立即维修，确保正常运转，确实做到减少卸料粉尘产生。</w:t>
      </w:r>
    </w:p>
    <w:p>
      <w:pPr>
        <w:spacing w:line="360" w:lineRule="auto"/>
        <w:ind w:firstLine="480"/>
        <w:jc w:val="both"/>
        <w:rPr>
          <w:bCs/>
          <w:kern w:val="0"/>
          <w:sz w:val="24"/>
          <w:szCs w:val="24"/>
        </w:rPr>
      </w:pPr>
      <w:r>
        <w:rPr>
          <w:rFonts w:hint="eastAsia" w:ascii="宋体" w:hAnsi="宋体" w:cs="宋体"/>
          <w:bCs/>
          <w:sz w:val="24"/>
          <w:szCs w:val="24"/>
        </w:rPr>
        <w:t>②</w:t>
      </w:r>
      <w:r>
        <w:rPr>
          <w:bCs/>
          <w:sz w:val="24"/>
          <w:szCs w:val="24"/>
        </w:rPr>
        <w:t>颚式破碎产生的粉尘采用集气罩收集后，通过管道汇入1#布袋除尘器内进行处理后通过15m排气筒（DA001）排放；1#、2#生产线二级破碎机有2台，在出料口</w:t>
      </w:r>
      <w:r>
        <w:rPr>
          <w:kern w:val="0"/>
          <w:sz w:val="24"/>
          <w:szCs w:val="24"/>
        </w:rPr>
        <w:t>设置集气罩</w:t>
      </w:r>
      <w:r>
        <w:rPr>
          <w:bCs/>
          <w:kern w:val="0"/>
          <w:sz w:val="24"/>
          <w:szCs w:val="24"/>
        </w:rPr>
        <w:t>收集，将粉尘引至</w:t>
      </w:r>
      <w:r>
        <w:rPr>
          <w:bCs/>
          <w:sz w:val="24"/>
          <w:szCs w:val="24"/>
        </w:rPr>
        <w:t>1#、2#布袋除尘</w:t>
      </w:r>
      <w:r>
        <w:rPr>
          <w:kern w:val="0"/>
          <w:sz w:val="24"/>
          <w:szCs w:val="24"/>
        </w:rPr>
        <w:t>器</w:t>
      </w:r>
      <w:r>
        <w:rPr>
          <w:bCs/>
          <w:sz w:val="24"/>
          <w:szCs w:val="24"/>
        </w:rPr>
        <w:t>（风量5000m</w:t>
      </w:r>
      <w:r>
        <w:rPr>
          <w:bCs/>
          <w:sz w:val="24"/>
          <w:szCs w:val="24"/>
          <w:vertAlign w:val="superscript"/>
        </w:rPr>
        <w:t>3</w:t>
      </w:r>
      <w:r>
        <w:rPr>
          <w:bCs/>
          <w:sz w:val="24"/>
          <w:szCs w:val="24"/>
        </w:rPr>
        <w:t>/h）</w:t>
      </w:r>
      <w:r>
        <w:rPr>
          <w:kern w:val="0"/>
          <w:sz w:val="24"/>
          <w:szCs w:val="24"/>
        </w:rPr>
        <w:t>处理后经2根15m排气筒（DA001、DA002）</w:t>
      </w:r>
      <w:r>
        <w:rPr>
          <w:bCs/>
          <w:kern w:val="0"/>
          <w:sz w:val="24"/>
          <w:szCs w:val="24"/>
        </w:rPr>
        <w:t>排放</w:t>
      </w:r>
      <w:r>
        <w:rPr>
          <w:bCs/>
          <w:sz w:val="24"/>
          <w:szCs w:val="24"/>
        </w:rPr>
        <w:t>；在筛分机</w:t>
      </w:r>
      <w:r>
        <w:rPr>
          <w:bCs/>
          <w:kern w:val="0"/>
          <w:sz w:val="24"/>
          <w:szCs w:val="24"/>
        </w:rPr>
        <w:t>上方设置集气罩（集气罩将全部盖住，收集效率高），并设置1套布袋除尘器（风量25000m</w:t>
      </w:r>
      <w:r>
        <w:rPr>
          <w:bCs/>
          <w:kern w:val="0"/>
          <w:sz w:val="24"/>
          <w:szCs w:val="24"/>
          <w:vertAlign w:val="superscript"/>
        </w:rPr>
        <w:t>3</w:t>
      </w:r>
      <w:r>
        <w:rPr>
          <w:bCs/>
          <w:kern w:val="0"/>
          <w:sz w:val="24"/>
          <w:szCs w:val="24"/>
        </w:rPr>
        <w:t>/h），将粉尘引至3#布袋除尘器处理后经1根15m排气筒</w:t>
      </w:r>
      <w:r>
        <w:rPr>
          <w:kern w:val="0"/>
          <w:sz w:val="24"/>
          <w:szCs w:val="24"/>
        </w:rPr>
        <w:t>（DA003）</w:t>
      </w:r>
      <w:r>
        <w:rPr>
          <w:bCs/>
          <w:kern w:val="0"/>
          <w:sz w:val="24"/>
          <w:szCs w:val="24"/>
        </w:rPr>
        <w:t>排放。</w:t>
      </w:r>
    </w:p>
    <w:p>
      <w:pPr>
        <w:spacing w:line="360" w:lineRule="auto"/>
        <w:ind w:firstLine="0" w:firstLineChars="0"/>
        <w:jc w:val="center"/>
      </w:pPr>
      <w:r>
        <w:object>
          <v:shape id="_x0000_i1033" o:spt="75" type="#_x0000_t75" style="height:317pt;width:430.95pt;" o:ole="t" filled="f" o:preferrelative="t" stroked="f" coordsize="21600,21600">
            <v:path/>
            <v:fill on="f" focussize="0,0"/>
            <v:stroke on="f" joinstyle="miter"/>
            <v:imagedata r:id="rId104" o:title=""/>
            <o:lock v:ext="edit" aspectratio="t"/>
            <w10:wrap type="none"/>
            <w10:anchorlock/>
          </v:shape>
          <o:OLEObject Type="Embed" ProgID="Visio.Drawing.15" ShapeID="_x0000_i1033" DrawAspect="Content" ObjectID="_1468075733" r:id="rId103">
            <o:LockedField>false</o:LockedField>
          </o:OLEObject>
        </w:object>
      </w:r>
    </w:p>
    <w:p>
      <w:pPr>
        <w:spacing w:line="360" w:lineRule="auto"/>
        <w:ind w:firstLine="0" w:firstLineChars="0"/>
        <w:jc w:val="center"/>
        <w:rPr>
          <w:bCs/>
          <w:kern w:val="0"/>
          <w:sz w:val="22"/>
        </w:rPr>
      </w:pPr>
      <w:r>
        <w:rPr>
          <w:sz w:val="24"/>
          <w:szCs w:val="21"/>
        </w:rPr>
        <w:t>图8-1  工业场地粉尘治理流程图</w:t>
      </w:r>
    </w:p>
    <w:p>
      <w:pPr>
        <w:spacing w:line="360" w:lineRule="auto"/>
        <w:ind w:firstLine="480"/>
        <w:jc w:val="both"/>
        <w:rPr>
          <w:kern w:val="0"/>
          <w:sz w:val="24"/>
          <w:szCs w:val="24"/>
        </w:rPr>
      </w:pPr>
      <w:r>
        <w:rPr>
          <w:rFonts w:hint="eastAsia" w:ascii="宋体" w:hAnsi="宋体" w:cs="宋体"/>
          <w:kern w:val="0"/>
          <w:sz w:val="24"/>
          <w:szCs w:val="24"/>
        </w:rPr>
        <w:t>③</w:t>
      </w:r>
      <w:r>
        <w:rPr>
          <w:kern w:val="0"/>
          <w:sz w:val="24"/>
          <w:szCs w:val="24"/>
        </w:rPr>
        <w:t>为维持现有布袋除尘器的除尘效率，对现有布袋除尘器内的布袋进行更换，使用性能优良的布袋，确保稳定达标；对布袋除尘器排气筒进行修复，高度不低于15m。</w:t>
      </w:r>
    </w:p>
    <w:p>
      <w:pPr>
        <w:spacing w:line="360" w:lineRule="auto"/>
        <w:ind w:firstLine="480"/>
        <w:jc w:val="both"/>
        <w:rPr>
          <w:sz w:val="24"/>
          <w:szCs w:val="26"/>
        </w:rPr>
      </w:pPr>
      <w:r>
        <w:rPr>
          <w:rFonts w:hint="eastAsia" w:ascii="宋体" w:hAnsi="宋体" w:cs="宋体"/>
          <w:sz w:val="24"/>
          <w:szCs w:val="26"/>
        </w:rPr>
        <w:t>④</w:t>
      </w:r>
      <w:r>
        <w:rPr>
          <w:sz w:val="24"/>
          <w:szCs w:val="26"/>
        </w:rPr>
        <w:t>除尘设施比选</w:t>
      </w:r>
    </w:p>
    <w:p>
      <w:pPr>
        <w:spacing w:line="360" w:lineRule="auto"/>
        <w:ind w:firstLine="199" w:firstLineChars="83"/>
        <w:jc w:val="center"/>
        <w:rPr>
          <w:sz w:val="24"/>
          <w:szCs w:val="26"/>
        </w:rPr>
      </w:pPr>
      <w:r>
        <w:rPr>
          <w:sz w:val="24"/>
          <w:szCs w:val="26"/>
        </w:rPr>
        <w:t>表8.3-1  各类除尘器比选表</w:t>
      </w:r>
    </w:p>
    <w:tbl>
      <w:tblPr>
        <w:tblStyle w:val="8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2551"/>
        <w:gridCol w:w="1560"/>
        <w:gridCol w:w="2409"/>
        <w:gridCol w:w="1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shd w:val="clear" w:color="auto" w:fill="D8D8D8" w:themeFill="background1" w:themeFillShade="D9"/>
            <w:vAlign w:val="center"/>
          </w:tcPr>
          <w:p>
            <w:pPr>
              <w:spacing w:line="240" w:lineRule="auto"/>
              <w:ind w:firstLine="0" w:firstLineChars="0"/>
              <w:jc w:val="center"/>
              <w:rPr>
                <w:b/>
                <w:bCs/>
                <w:sz w:val="21"/>
              </w:rPr>
            </w:pPr>
            <w:r>
              <w:rPr>
                <w:b/>
                <w:bCs/>
                <w:sz w:val="21"/>
              </w:rPr>
              <w:t>方案类别</w:t>
            </w:r>
          </w:p>
        </w:tc>
        <w:tc>
          <w:tcPr>
            <w:tcW w:w="2551" w:type="dxa"/>
            <w:shd w:val="clear" w:color="auto" w:fill="D8D8D8" w:themeFill="background1" w:themeFillShade="D9"/>
            <w:vAlign w:val="center"/>
          </w:tcPr>
          <w:p>
            <w:pPr>
              <w:spacing w:line="240" w:lineRule="auto"/>
              <w:ind w:firstLine="0" w:firstLineChars="0"/>
              <w:jc w:val="center"/>
              <w:rPr>
                <w:b/>
                <w:bCs/>
                <w:sz w:val="21"/>
              </w:rPr>
            </w:pPr>
            <w:r>
              <w:rPr>
                <w:b/>
                <w:bCs/>
                <w:sz w:val="21"/>
              </w:rPr>
              <w:t>方案一</w:t>
            </w:r>
          </w:p>
        </w:tc>
        <w:tc>
          <w:tcPr>
            <w:tcW w:w="1560" w:type="dxa"/>
            <w:shd w:val="clear" w:color="auto" w:fill="D8D8D8" w:themeFill="background1" w:themeFillShade="D9"/>
            <w:vAlign w:val="center"/>
          </w:tcPr>
          <w:p>
            <w:pPr>
              <w:spacing w:line="240" w:lineRule="auto"/>
              <w:ind w:firstLine="0" w:firstLineChars="0"/>
              <w:jc w:val="center"/>
              <w:rPr>
                <w:b/>
                <w:bCs/>
                <w:sz w:val="21"/>
              </w:rPr>
            </w:pPr>
            <w:r>
              <w:rPr>
                <w:b/>
                <w:bCs/>
                <w:sz w:val="21"/>
              </w:rPr>
              <w:t>方案二</w:t>
            </w:r>
          </w:p>
        </w:tc>
        <w:tc>
          <w:tcPr>
            <w:tcW w:w="2409" w:type="dxa"/>
            <w:shd w:val="clear" w:color="auto" w:fill="D8D8D8" w:themeFill="background1" w:themeFillShade="D9"/>
            <w:vAlign w:val="center"/>
          </w:tcPr>
          <w:p>
            <w:pPr>
              <w:spacing w:line="240" w:lineRule="auto"/>
              <w:ind w:firstLine="0" w:firstLineChars="0"/>
              <w:jc w:val="center"/>
              <w:rPr>
                <w:b/>
                <w:bCs/>
                <w:sz w:val="21"/>
              </w:rPr>
            </w:pPr>
            <w:r>
              <w:rPr>
                <w:b/>
                <w:bCs/>
                <w:sz w:val="21"/>
              </w:rPr>
              <w:t>方案三</w:t>
            </w:r>
          </w:p>
        </w:tc>
        <w:tc>
          <w:tcPr>
            <w:tcW w:w="1695" w:type="dxa"/>
            <w:shd w:val="clear" w:color="auto" w:fill="D8D8D8" w:themeFill="background1" w:themeFillShade="D9"/>
            <w:vAlign w:val="center"/>
          </w:tcPr>
          <w:p>
            <w:pPr>
              <w:spacing w:line="240" w:lineRule="auto"/>
              <w:ind w:firstLine="0" w:firstLineChars="0"/>
              <w:jc w:val="center"/>
              <w:rPr>
                <w:b/>
                <w:bCs/>
                <w:sz w:val="21"/>
              </w:rPr>
            </w:pPr>
            <w:r>
              <w:rPr>
                <w:b/>
                <w:bCs/>
                <w:sz w:val="21"/>
              </w:rPr>
              <w:t>方案四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sz w:val="21"/>
              </w:rPr>
            </w:pPr>
            <w:r>
              <w:rPr>
                <w:sz w:val="21"/>
              </w:rPr>
              <w:t>名称</w:t>
            </w:r>
          </w:p>
        </w:tc>
        <w:tc>
          <w:tcPr>
            <w:tcW w:w="2551" w:type="dxa"/>
            <w:vAlign w:val="center"/>
          </w:tcPr>
          <w:p>
            <w:pPr>
              <w:spacing w:line="240" w:lineRule="auto"/>
              <w:ind w:firstLine="0" w:firstLineChars="0"/>
              <w:jc w:val="center"/>
              <w:rPr>
                <w:sz w:val="21"/>
              </w:rPr>
            </w:pPr>
            <w:r>
              <w:rPr>
                <w:sz w:val="21"/>
              </w:rPr>
              <w:t>布袋除尘器</w:t>
            </w:r>
          </w:p>
        </w:tc>
        <w:tc>
          <w:tcPr>
            <w:tcW w:w="1560" w:type="dxa"/>
            <w:vAlign w:val="center"/>
          </w:tcPr>
          <w:p>
            <w:pPr>
              <w:spacing w:line="240" w:lineRule="auto"/>
              <w:ind w:firstLine="0" w:firstLineChars="0"/>
              <w:jc w:val="center"/>
              <w:rPr>
                <w:sz w:val="21"/>
              </w:rPr>
            </w:pPr>
            <w:r>
              <w:rPr>
                <w:sz w:val="21"/>
              </w:rPr>
              <w:t>旋风除尘器</w:t>
            </w:r>
          </w:p>
        </w:tc>
        <w:tc>
          <w:tcPr>
            <w:tcW w:w="2409" w:type="dxa"/>
            <w:vAlign w:val="center"/>
          </w:tcPr>
          <w:p>
            <w:pPr>
              <w:spacing w:line="240" w:lineRule="auto"/>
              <w:ind w:firstLine="0" w:firstLineChars="0"/>
              <w:jc w:val="center"/>
              <w:rPr>
                <w:sz w:val="21"/>
              </w:rPr>
            </w:pPr>
            <w:r>
              <w:rPr>
                <w:sz w:val="21"/>
              </w:rPr>
              <w:t>湿式除尘器</w:t>
            </w:r>
          </w:p>
        </w:tc>
        <w:tc>
          <w:tcPr>
            <w:tcW w:w="1695" w:type="dxa"/>
            <w:vAlign w:val="center"/>
          </w:tcPr>
          <w:p>
            <w:pPr>
              <w:spacing w:line="240" w:lineRule="auto"/>
              <w:ind w:firstLine="0" w:firstLineChars="0"/>
              <w:jc w:val="center"/>
              <w:rPr>
                <w:sz w:val="21"/>
              </w:rPr>
            </w:pPr>
            <w:r>
              <w:rPr>
                <w:sz w:val="21"/>
              </w:rPr>
              <w:t>电袋复合除尘器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sz w:val="21"/>
              </w:rPr>
            </w:pPr>
            <w:r>
              <w:rPr>
                <w:sz w:val="21"/>
              </w:rPr>
              <w:t>除尘效率</w:t>
            </w:r>
          </w:p>
        </w:tc>
        <w:tc>
          <w:tcPr>
            <w:tcW w:w="2551" w:type="dxa"/>
            <w:vAlign w:val="center"/>
          </w:tcPr>
          <w:p>
            <w:pPr>
              <w:spacing w:line="240" w:lineRule="auto"/>
              <w:ind w:firstLine="0" w:firstLineChars="0"/>
              <w:jc w:val="center"/>
              <w:rPr>
                <w:sz w:val="21"/>
              </w:rPr>
            </w:pPr>
            <w:r>
              <w:rPr>
                <w:sz w:val="21"/>
              </w:rPr>
              <w:t>99%以上</w:t>
            </w:r>
          </w:p>
        </w:tc>
        <w:tc>
          <w:tcPr>
            <w:tcW w:w="1560" w:type="dxa"/>
            <w:vAlign w:val="center"/>
          </w:tcPr>
          <w:p>
            <w:pPr>
              <w:spacing w:line="240" w:lineRule="auto"/>
              <w:ind w:firstLine="0" w:firstLineChars="0"/>
              <w:jc w:val="center"/>
              <w:rPr>
                <w:sz w:val="21"/>
              </w:rPr>
            </w:pPr>
            <w:r>
              <w:rPr>
                <w:sz w:val="21"/>
              </w:rPr>
              <w:t>90%以上</w:t>
            </w:r>
          </w:p>
        </w:tc>
        <w:tc>
          <w:tcPr>
            <w:tcW w:w="2409" w:type="dxa"/>
            <w:vAlign w:val="center"/>
          </w:tcPr>
          <w:p>
            <w:pPr>
              <w:spacing w:line="240" w:lineRule="auto"/>
              <w:ind w:firstLine="0" w:firstLineChars="0"/>
              <w:jc w:val="center"/>
              <w:rPr>
                <w:sz w:val="21"/>
              </w:rPr>
            </w:pPr>
            <w:r>
              <w:rPr>
                <w:sz w:val="21"/>
              </w:rPr>
              <w:t>95%以上</w:t>
            </w:r>
          </w:p>
        </w:tc>
        <w:tc>
          <w:tcPr>
            <w:tcW w:w="1695" w:type="dxa"/>
            <w:vAlign w:val="center"/>
          </w:tcPr>
          <w:p>
            <w:pPr>
              <w:spacing w:line="240" w:lineRule="auto"/>
              <w:ind w:firstLine="0" w:firstLineChars="0"/>
              <w:jc w:val="center"/>
              <w:rPr>
                <w:sz w:val="21"/>
              </w:rPr>
            </w:pPr>
            <w:r>
              <w:rPr>
                <w:sz w:val="21"/>
              </w:rPr>
              <w:t>99%以上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sz w:val="21"/>
              </w:rPr>
            </w:pPr>
            <w:r>
              <w:rPr>
                <w:sz w:val="21"/>
              </w:rPr>
              <w:t>优点</w:t>
            </w:r>
          </w:p>
        </w:tc>
        <w:tc>
          <w:tcPr>
            <w:tcW w:w="2551" w:type="dxa"/>
            <w:vAlign w:val="center"/>
          </w:tcPr>
          <w:p>
            <w:pPr>
              <w:spacing w:line="240" w:lineRule="auto"/>
              <w:ind w:firstLine="0" w:firstLineChars="0"/>
              <w:jc w:val="center"/>
              <w:rPr>
                <w:sz w:val="21"/>
              </w:rPr>
            </w:pPr>
            <w:r>
              <w:rPr>
                <w:sz w:val="21"/>
              </w:rPr>
              <w:t>适用于较小颗粒的粉尘，使用时间长，末端处理</w:t>
            </w:r>
          </w:p>
        </w:tc>
        <w:tc>
          <w:tcPr>
            <w:tcW w:w="1560" w:type="dxa"/>
            <w:vAlign w:val="center"/>
          </w:tcPr>
          <w:p>
            <w:pPr>
              <w:spacing w:line="240" w:lineRule="auto"/>
              <w:ind w:firstLine="0" w:firstLineChars="0"/>
              <w:jc w:val="center"/>
              <w:rPr>
                <w:sz w:val="21"/>
              </w:rPr>
            </w:pPr>
            <w:r>
              <w:rPr>
                <w:sz w:val="21"/>
              </w:rPr>
              <w:t>适用于较大颗粒的粉尘，前端预处理</w:t>
            </w:r>
          </w:p>
        </w:tc>
        <w:tc>
          <w:tcPr>
            <w:tcW w:w="2409" w:type="dxa"/>
            <w:vAlign w:val="center"/>
          </w:tcPr>
          <w:p>
            <w:pPr>
              <w:spacing w:line="240" w:lineRule="auto"/>
              <w:ind w:firstLine="0" w:firstLineChars="0"/>
              <w:jc w:val="center"/>
              <w:rPr>
                <w:sz w:val="21"/>
              </w:rPr>
            </w:pPr>
            <w:r>
              <w:rPr>
                <w:sz w:val="21"/>
              </w:rPr>
              <w:t>对于化工、喷漆、喷釉、颜料等行业产生的带有水份、粘性和刺激性气味的灰尘是最理想的除尘方式。因为不仅可除去灰尘，还可利用水除去一部分异味,如果是有害性气体（如少量的二氧化硫、盐酸雾等），可在洗涤液中配制吸收剂吸收。</w:t>
            </w:r>
          </w:p>
        </w:tc>
        <w:tc>
          <w:tcPr>
            <w:tcW w:w="1695" w:type="dxa"/>
            <w:vAlign w:val="center"/>
          </w:tcPr>
          <w:p>
            <w:pPr>
              <w:spacing w:line="240" w:lineRule="auto"/>
              <w:ind w:firstLine="0" w:firstLineChars="0"/>
              <w:jc w:val="center"/>
              <w:rPr>
                <w:sz w:val="21"/>
              </w:rPr>
            </w:pPr>
            <w:r>
              <w:rPr>
                <w:sz w:val="21"/>
              </w:rPr>
              <w:t>效率高、稳定、滤袋阻力低、寿命长、占地面积小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sz w:val="21"/>
              </w:rPr>
            </w:pPr>
            <w:r>
              <w:rPr>
                <w:sz w:val="21"/>
              </w:rPr>
              <w:t>缺点</w:t>
            </w:r>
          </w:p>
        </w:tc>
        <w:tc>
          <w:tcPr>
            <w:tcW w:w="2551" w:type="dxa"/>
            <w:vAlign w:val="center"/>
          </w:tcPr>
          <w:p>
            <w:pPr>
              <w:spacing w:line="240" w:lineRule="auto"/>
              <w:ind w:firstLine="0" w:firstLineChars="0"/>
              <w:jc w:val="center"/>
              <w:rPr>
                <w:sz w:val="21"/>
              </w:rPr>
            </w:pPr>
            <w:r>
              <w:rPr>
                <w:sz w:val="21"/>
              </w:rPr>
              <w:t>对布袋冲击力大，单次更换费用高；不适用于湿式粉尘。</w:t>
            </w:r>
          </w:p>
        </w:tc>
        <w:tc>
          <w:tcPr>
            <w:tcW w:w="1560" w:type="dxa"/>
            <w:vAlign w:val="center"/>
          </w:tcPr>
          <w:p>
            <w:pPr>
              <w:spacing w:line="240" w:lineRule="auto"/>
              <w:ind w:firstLine="0" w:firstLineChars="0"/>
              <w:jc w:val="center"/>
              <w:rPr>
                <w:sz w:val="21"/>
              </w:rPr>
            </w:pPr>
            <w:r>
              <w:rPr>
                <w:sz w:val="21"/>
              </w:rPr>
              <w:t>对设备壳体质量要求高，耐冲击</w:t>
            </w:r>
          </w:p>
        </w:tc>
        <w:tc>
          <w:tcPr>
            <w:tcW w:w="2409" w:type="dxa"/>
            <w:vAlign w:val="center"/>
          </w:tcPr>
          <w:p>
            <w:pPr>
              <w:spacing w:line="240" w:lineRule="auto"/>
              <w:ind w:firstLine="0" w:firstLineChars="0"/>
              <w:jc w:val="center"/>
              <w:rPr>
                <w:sz w:val="21"/>
              </w:rPr>
            </w:pPr>
            <w:r>
              <w:rPr>
                <w:sz w:val="21"/>
              </w:rPr>
              <w:t>产生二次污染物废水及泥浆，增加废水处理成本</w:t>
            </w:r>
          </w:p>
        </w:tc>
        <w:tc>
          <w:tcPr>
            <w:tcW w:w="1695" w:type="dxa"/>
            <w:vAlign w:val="center"/>
          </w:tcPr>
          <w:p>
            <w:pPr>
              <w:spacing w:line="240" w:lineRule="auto"/>
              <w:ind w:firstLine="0" w:firstLineChars="0"/>
              <w:jc w:val="center"/>
              <w:rPr>
                <w:sz w:val="21"/>
              </w:rPr>
            </w:pPr>
            <w:r>
              <w:rPr>
                <w:sz w:val="21"/>
              </w:rPr>
              <w:t>投资高，容易积尘，对布袋造成损坏和堵塞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sz w:val="21"/>
              </w:rPr>
            </w:pPr>
            <w:r>
              <w:rPr>
                <w:sz w:val="21"/>
              </w:rPr>
              <w:t>成本</w:t>
            </w:r>
          </w:p>
        </w:tc>
        <w:tc>
          <w:tcPr>
            <w:tcW w:w="2551" w:type="dxa"/>
            <w:vAlign w:val="center"/>
          </w:tcPr>
          <w:p>
            <w:pPr>
              <w:spacing w:line="240" w:lineRule="auto"/>
              <w:ind w:firstLine="0" w:firstLineChars="0"/>
              <w:jc w:val="center"/>
              <w:rPr>
                <w:sz w:val="21"/>
              </w:rPr>
            </w:pPr>
            <w:r>
              <w:rPr>
                <w:sz w:val="21"/>
              </w:rPr>
              <w:t>单次成本高，更换布袋成本低</w:t>
            </w:r>
          </w:p>
        </w:tc>
        <w:tc>
          <w:tcPr>
            <w:tcW w:w="1560" w:type="dxa"/>
            <w:vAlign w:val="center"/>
          </w:tcPr>
          <w:p>
            <w:pPr>
              <w:spacing w:line="240" w:lineRule="auto"/>
              <w:ind w:firstLine="0" w:firstLineChars="0"/>
              <w:jc w:val="center"/>
              <w:rPr>
                <w:sz w:val="21"/>
              </w:rPr>
            </w:pPr>
            <w:r>
              <w:rPr>
                <w:sz w:val="21"/>
              </w:rPr>
              <w:t>单次成本高</w:t>
            </w:r>
          </w:p>
        </w:tc>
        <w:tc>
          <w:tcPr>
            <w:tcW w:w="2409" w:type="dxa"/>
            <w:vAlign w:val="center"/>
          </w:tcPr>
          <w:p>
            <w:pPr>
              <w:spacing w:line="240" w:lineRule="auto"/>
              <w:ind w:firstLine="0" w:firstLineChars="0"/>
              <w:jc w:val="center"/>
              <w:rPr>
                <w:sz w:val="21"/>
              </w:rPr>
            </w:pPr>
            <w:r>
              <w:rPr>
                <w:sz w:val="21"/>
              </w:rPr>
              <w:t>成本较高</w:t>
            </w:r>
          </w:p>
        </w:tc>
        <w:tc>
          <w:tcPr>
            <w:tcW w:w="1695" w:type="dxa"/>
            <w:vAlign w:val="center"/>
          </w:tcPr>
          <w:p>
            <w:pPr>
              <w:spacing w:line="240" w:lineRule="auto"/>
              <w:ind w:firstLine="0" w:firstLineChars="0"/>
              <w:jc w:val="center"/>
              <w:rPr>
                <w:sz w:val="21"/>
              </w:rPr>
            </w:pPr>
            <w:r>
              <w:rPr>
                <w:sz w:val="21"/>
              </w:rPr>
              <w:t>成本高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6" w:type="dxa"/>
            <w:vAlign w:val="center"/>
          </w:tcPr>
          <w:p>
            <w:pPr>
              <w:spacing w:line="240" w:lineRule="auto"/>
              <w:ind w:firstLine="0" w:firstLineChars="0"/>
              <w:jc w:val="center"/>
              <w:rPr>
                <w:sz w:val="21"/>
              </w:rPr>
            </w:pPr>
            <w:r>
              <w:rPr>
                <w:sz w:val="21"/>
              </w:rPr>
              <w:t>原理</w:t>
            </w:r>
          </w:p>
        </w:tc>
        <w:tc>
          <w:tcPr>
            <w:tcW w:w="2551" w:type="dxa"/>
            <w:vAlign w:val="center"/>
          </w:tcPr>
          <w:p>
            <w:pPr>
              <w:spacing w:line="240" w:lineRule="auto"/>
              <w:ind w:firstLine="0" w:firstLineChars="0"/>
              <w:jc w:val="center"/>
              <w:rPr>
                <w:sz w:val="21"/>
              </w:rPr>
            </w:pPr>
            <w:r>
              <w:rPr>
                <w:sz w:val="21"/>
              </w:rPr>
              <w:t>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p>
        </w:tc>
        <w:tc>
          <w:tcPr>
            <w:tcW w:w="1560" w:type="dxa"/>
            <w:vAlign w:val="center"/>
          </w:tcPr>
          <w:p>
            <w:pPr>
              <w:spacing w:line="240" w:lineRule="auto"/>
              <w:ind w:firstLine="0" w:firstLineChars="0"/>
              <w:jc w:val="center"/>
              <w:rPr>
                <w:sz w:val="21"/>
              </w:rPr>
            </w:pPr>
            <w:r>
              <w:rPr>
                <w:sz w:val="21"/>
              </w:rPr>
              <w:t>使含尘气流作旋转运动，借助于离心力将尘粒从气流中分离并捕集于器壁，再借助重力作用使尘粒落入灰斗。</w:t>
            </w:r>
          </w:p>
        </w:tc>
        <w:tc>
          <w:tcPr>
            <w:tcW w:w="2409" w:type="dxa"/>
            <w:vAlign w:val="center"/>
          </w:tcPr>
          <w:p>
            <w:pPr>
              <w:spacing w:line="240" w:lineRule="auto"/>
              <w:ind w:firstLine="0" w:firstLineChars="0"/>
              <w:jc w:val="center"/>
              <w:rPr>
                <w:sz w:val="21"/>
              </w:rPr>
            </w:pPr>
            <w:r>
              <w:rPr>
                <w:sz w:val="21"/>
              </w:rPr>
              <w:t>使含尘气体与液体（一般为水）密切接触，利用水滴和颗粒的惯性碰撞或者利用水和粉尘的充分混合作用及其他作用捕集颗粒或使颗粒增大或留于固定容器内达到水和粉尘分离效果的装置</w:t>
            </w:r>
          </w:p>
        </w:tc>
        <w:tc>
          <w:tcPr>
            <w:tcW w:w="1695" w:type="dxa"/>
            <w:vAlign w:val="center"/>
          </w:tcPr>
          <w:p>
            <w:pPr>
              <w:spacing w:line="240" w:lineRule="auto"/>
              <w:ind w:firstLine="0" w:firstLineChars="0"/>
              <w:jc w:val="center"/>
              <w:rPr>
                <w:sz w:val="21"/>
              </w:rPr>
            </w:pPr>
            <w:r>
              <w:rPr>
                <w:sz w:val="21"/>
                <w:szCs w:val="18"/>
              </w:rPr>
              <w:t>利用原电除尘器的外壳及储灰系统，保留电除尘器的前级电场，拆除后级电场，在被拆除的后级电场内安装布袋除尘器。</w:t>
            </w:r>
          </w:p>
        </w:tc>
      </w:tr>
    </w:tbl>
    <w:p>
      <w:pPr>
        <w:spacing w:line="360" w:lineRule="auto"/>
        <w:ind w:firstLine="0" w:firstLineChars="0"/>
        <w:jc w:val="both"/>
        <w:rPr>
          <w:sz w:val="24"/>
          <w:szCs w:val="26"/>
        </w:rPr>
      </w:pPr>
    </w:p>
    <w:p>
      <w:pPr>
        <w:spacing w:line="360" w:lineRule="auto"/>
        <w:ind w:firstLine="480"/>
        <w:jc w:val="both"/>
        <w:rPr>
          <w:bCs/>
          <w:kern w:val="0"/>
          <w:sz w:val="24"/>
          <w:szCs w:val="24"/>
        </w:rPr>
      </w:pPr>
      <w:r>
        <w:rPr>
          <w:kern w:val="0"/>
          <w:sz w:val="24"/>
          <w:szCs w:val="24"/>
        </w:rPr>
        <w:t>由于布袋除尘器属于高效除尘器，具有处理气量</w:t>
      </w:r>
      <w:r>
        <w:rPr>
          <w:bCs/>
          <w:kern w:val="0"/>
          <w:sz w:val="24"/>
          <w:szCs w:val="24"/>
        </w:rPr>
        <w:t>大、效率高等特点，对细粉有较强的捕集效果，被广泛应用于各类工业废气的除尘中。目前各类矿山开采项目，破碎设备采用布袋除尘器是最有效的除尘方式之一，布袋除尘器的除尘效率可达99.5%以上。根据对各类主流的布袋除尘器进行对比分析优缺点，本项目采用布袋除尘器能达到《大气污染物综合排放标准》（DB50/418-2016）中影响区颗粒物排放浓度和排放速率要求。同时，在经济上，采用布袋除尘器性价比较高，维护更换布袋成本低，使用时间长等优点，节约运行费用，投资较省，经济技术可行。</w:t>
      </w:r>
    </w:p>
    <w:p>
      <w:pPr>
        <w:spacing w:line="360" w:lineRule="auto"/>
        <w:ind w:firstLine="480"/>
        <w:jc w:val="both"/>
        <w:rPr>
          <w:sz w:val="24"/>
          <w:szCs w:val="26"/>
        </w:rPr>
      </w:pPr>
      <w:r>
        <w:rPr>
          <w:rFonts w:hint="eastAsia" w:ascii="宋体" w:hAnsi="宋体" w:cs="宋体"/>
          <w:kern w:val="0"/>
          <w:sz w:val="24"/>
          <w:szCs w:val="24"/>
        </w:rPr>
        <w:t>⑤</w:t>
      </w:r>
      <w:r>
        <w:rPr>
          <w:sz w:val="24"/>
          <w:szCs w:val="26"/>
        </w:rPr>
        <w:t>调整反击式破碎机、筛分进料口附近的喷雾装置，朝向进料口，确保喷雾能有效降尘；对车间内四周、顶部、设备旁加密喷雾管道及开孔，加压水雾，确保有效的出水及降尘效果；提高了无组织粉尘的处理效率；经济上采用喷雾成本低，并且废水经沉淀后可继续利用，不外排，减少对外环境的影响。</w:t>
      </w:r>
    </w:p>
    <w:p>
      <w:pPr>
        <w:spacing w:line="360" w:lineRule="auto"/>
        <w:ind w:firstLine="480"/>
        <w:jc w:val="both"/>
        <w:rPr>
          <w:kern w:val="0"/>
          <w:sz w:val="24"/>
          <w:szCs w:val="24"/>
        </w:rPr>
      </w:pPr>
      <w:r>
        <w:rPr>
          <w:rFonts w:hint="eastAsia" w:ascii="宋体" w:hAnsi="宋体" w:cs="宋体"/>
          <w:kern w:val="0"/>
          <w:sz w:val="24"/>
          <w:szCs w:val="24"/>
        </w:rPr>
        <w:t>⑥</w:t>
      </w:r>
      <w:r>
        <w:rPr>
          <w:kern w:val="0"/>
          <w:sz w:val="24"/>
          <w:szCs w:val="24"/>
        </w:rPr>
        <w:t>在产品仓顶部分别设置盖板及过滤网，产品仓底部落料皮带设置防尘罩，碎石装车点设喷雾装置降尘，有效拦截粉尘的逸散，维护成本低，使用时间久，经济效益可观。</w:t>
      </w:r>
    </w:p>
    <w:p>
      <w:pPr>
        <w:spacing w:line="360" w:lineRule="auto"/>
        <w:ind w:firstLine="480"/>
        <w:jc w:val="both"/>
        <w:rPr>
          <w:kern w:val="0"/>
          <w:sz w:val="24"/>
          <w:szCs w:val="24"/>
        </w:rPr>
      </w:pPr>
      <w:r>
        <w:rPr>
          <w:rFonts w:hint="eastAsia" w:ascii="宋体" w:hAnsi="宋体" w:cs="宋体"/>
          <w:bCs/>
          <w:sz w:val="24"/>
          <w:szCs w:val="24"/>
        </w:rPr>
        <w:t>⑦</w:t>
      </w:r>
      <w:r>
        <w:rPr>
          <w:bCs/>
          <w:sz w:val="24"/>
          <w:szCs w:val="24"/>
        </w:rPr>
        <w:t>产品堆场设置在厂房内，进行封闭储存，减少无组织的逸散，并采取篷布遮盖物料，防止风力起尘。</w:t>
      </w:r>
      <w:r>
        <w:rPr>
          <w:sz w:val="24"/>
          <w:szCs w:val="26"/>
        </w:rPr>
        <w:t>每个生产日后，安排专人对车间内地面积尘进行清理，保持车间干净整洁；在车间四周不同高度以及顶部增加喷雾水管</w:t>
      </w:r>
      <w:r>
        <w:rPr>
          <w:kern w:val="0"/>
          <w:sz w:val="24"/>
          <w:szCs w:val="24"/>
        </w:rPr>
        <w:t>。</w:t>
      </w:r>
    </w:p>
    <w:p>
      <w:pPr>
        <w:spacing w:line="360" w:lineRule="auto"/>
        <w:ind w:firstLine="480"/>
        <w:jc w:val="both"/>
        <w:rPr>
          <w:kern w:val="0"/>
          <w:sz w:val="24"/>
          <w:szCs w:val="24"/>
        </w:rPr>
      </w:pPr>
      <w:r>
        <w:rPr>
          <w:rFonts w:hint="eastAsia" w:ascii="宋体" w:hAnsi="宋体" w:cs="宋体"/>
          <w:kern w:val="0"/>
          <w:sz w:val="24"/>
          <w:szCs w:val="24"/>
        </w:rPr>
        <w:t>⑧</w:t>
      </w:r>
      <w:r>
        <w:rPr>
          <w:kern w:val="0"/>
          <w:sz w:val="24"/>
          <w:szCs w:val="24"/>
        </w:rPr>
        <w:t>产品装车时降低物料与车斗高差，提高人员素质，文明作业；不装车时对物料进行覆盖。</w:t>
      </w:r>
    </w:p>
    <w:p>
      <w:pPr>
        <w:spacing w:line="360" w:lineRule="auto"/>
        <w:ind w:firstLine="480"/>
        <w:jc w:val="both"/>
        <w:rPr>
          <w:bCs/>
          <w:kern w:val="0"/>
          <w:sz w:val="24"/>
          <w:szCs w:val="24"/>
        </w:rPr>
      </w:pPr>
      <w:r>
        <w:rPr>
          <w:bCs/>
          <w:kern w:val="0"/>
          <w:sz w:val="24"/>
          <w:szCs w:val="24"/>
        </w:rPr>
        <w:t>（4）排土场扬尘控制措施</w:t>
      </w:r>
    </w:p>
    <w:p>
      <w:pPr>
        <w:spacing w:line="360" w:lineRule="auto"/>
        <w:ind w:firstLine="480"/>
        <w:jc w:val="both"/>
        <w:rPr>
          <w:sz w:val="24"/>
          <w:szCs w:val="24"/>
        </w:rPr>
      </w:pPr>
      <w:r>
        <w:rPr>
          <w:sz w:val="24"/>
          <w:szCs w:val="24"/>
        </w:rPr>
        <w:t>表层剥离物在排土场内堆放后，进行压实处理，采用洒水车定期洒水；长期（如1个月以上）不使用时，对表层进行简易覆盖。</w:t>
      </w:r>
    </w:p>
    <w:p>
      <w:pPr>
        <w:spacing w:line="360" w:lineRule="auto"/>
        <w:ind w:firstLine="480"/>
        <w:jc w:val="both"/>
        <w:rPr>
          <w:sz w:val="24"/>
          <w:szCs w:val="21"/>
        </w:rPr>
      </w:pPr>
      <w:r>
        <w:rPr>
          <w:sz w:val="24"/>
          <w:szCs w:val="21"/>
        </w:rPr>
        <w:t>（5）爆破废气、机械尾气</w:t>
      </w:r>
    </w:p>
    <w:p>
      <w:pPr>
        <w:spacing w:line="360" w:lineRule="auto"/>
        <w:ind w:firstLine="480"/>
        <w:jc w:val="both"/>
        <w:rPr>
          <w:bCs/>
          <w:sz w:val="24"/>
          <w:szCs w:val="24"/>
        </w:rPr>
      </w:pPr>
      <w:r>
        <w:rPr>
          <w:bCs/>
          <w:kern w:val="0"/>
          <w:sz w:val="24"/>
          <w:szCs w:val="24"/>
        </w:rPr>
        <w:t>爆破委托第三方资质单位进行，少量爆破废气对环境影响小。机械尾气主要是柴油燃烧尾气，施工符合环保标准的优质柴油可有效减少废气产生。机械尾气排放量少，对环境影响小，措施可行。</w:t>
      </w:r>
    </w:p>
    <w:p>
      <w:pPr>
        <w:pStyle w:val="5"/>
        <w:rPr>
          <w:color w:val="auto"/>
        </w:rPr>
      </w:pPr>
      <w:bookmarkStart w:id="214" w:name="_Toc450635034"/>
      <w:r>
        <w:rPr>
          <w:color w:val="auto"/>
        </w:rPr>
        <w:t>8.3.2地表水环境污染防治措施</w:t>
      </w:r>
      <w:bookmarkEnd w:id="214"/>
    </w:p>
    <w:p>
      <w:pPr>
        <w:pStyle w:val="222"/>
      </w:pPr>
      <w:r>
        <w:t>（1）生产废水</w:t>
      </w:r>
    </w:p>
    <w:p>
      <w:pPr>
        <w:pStyle w:val="222"/>
        <w:rPr>
          <w:bCs/>
        </w:rPr>
      </w:pPr>
      <w:r>
        <w:t>项目开采期对开采工作面、排土场、工业场地等进行洒水抑尘，设置多台对角雾炮机，产生的粉尘经有效沉降，该部分水经蒸发而损耗，无废水产生。在矿区与工业场地出口处各设置1处车辆冲洗点，对进出矿区的车辆车身、轮毂进行反复冲洗，确保不带泥出厂，在出厂大门口再次采用水管进行人工冲洗车身和轮毂，产生的废水一并进入</w:t>
      </w:r>
      <w:r>
        <w:rPr>
          <w:bCs/>
        </w:rPr>
        <w:t>沉淀池进行沉淀处理后，循环用于洗车或</w:t>
      </w:r>
      <w:r>
        <w:t>道路洒水以及开采区内洒水降尘</w:t>
      </w:r>
      <w:r>
        <w:rPr>
          <w:bCs/>
        </w:rPr>
        <w:t>，不外排。</w:t>
      </w:r>
      <w:r>
        <w:t>因此，采取该措施处理废水可行。</w:t>
      </w:r>
    </w:p>
    <w:p>
      <w:pPr>
        <w:pStyle w:val="222"/>
      </w:pPr>
      <w:r>
        <w:t>（2）生活污水</w:t>
      </w:r>
    </w:p>
    <w:p>
      <w:pPr>
        <w:pStyle w:val="222"/>
      </w:pPr>
      <w:r>
        <w:t>本项目工业场地和开采区生活污水产生量较小，仅1.62m</w:t>
      </w:r>
      <w:r>
        <w:rPr>
          <w:vertAlign w:val="superscript"/>
        </w:rPr>
        <w:t>3</w:t>
      </w:r>
      <w:r>
        <w:t>/d，生活污水经化粪池收集后用作农肥，不外排。项目化粪池规模总计为30m</w:t>
      </w:r>
      <w:r>
        <w:rPr>
          <w:vertAlign w:val="superscript"/>
        </w:rPr>
        <w:t>3</w:t>
      </w:r>
      <w:r>
        <w:t>/d，可至少储存18天的生活污水。根据现场踏勘和调查，项目所在地周边为农村地区，周边分布有耕地和林地充足，植被生长期需要施肥，周边有大片的耕地和林地，完全能够消纳项目的生活污水。因此，采取该措施处理废水可行。</w:t>
      </w:r>
    </w:p>
    <w:p>
      <w:pPr>
        <w:pStyle w:val="222"/>
      </w:pPr>
      <w:r>
        <w:t>（3）采区汇水</w:t>
      </w:r>
    </w:p>
    <w:p>
      <w:pPr>
        <w:pStyle w:val="222"/>
      </w:pPr>
      <w:r>
        <w:t>开采区地势西南高东北低，在采区东侧、南侧、西侧设置排水沟，东北侧沟尾端设置1个容积100m</w:t>
      </w:r>
      <w:r>
        <w:rPr>
          <w:vertAlign w:val="superscript"/>
        </w:rPr>
        <w:t>3</w:t>
      </w:r>
      <w:r>
        <w:t>沉砂池，初期雨水经沉淀处理后作为矿区内洒水降尘和车辆冲洗用水，不外排。</w:t>
      </w:r>
    </w:p>
    <w:p>
      <w:pPr>
        <w:pStyle w:val="222"/>
      </w:pPr>
      <w:r>
        <w:t>排土场地势南高北低，四周均设置截排水沟，排土场下游设施挡墙，初期雨水进入东北侧的沉砂池，经沉淀处理后作为矿区内洒水降尘和车辆冲洗用水，不外排。</w:t>
      </w:r>
    </w:p>
    <w:p>
      <w:pPr>
        <w:pStyle w:val="222"/>
      </w:pPr>
      <w:r>
        <w:t>沉砂池容积能够满足雨水收集需求，场地雨水主要为泥沙，经沉淀处理后泥沙量显著降低，排放后不会对区域地表水环境造成明显不利影响。因此，采取该措施处理雨水可行。</w:t>
      </w:r>
    </w:p>
    <w:p>
      <w:pPr>
        <w:pStyle w:val="5"/>
        <w:jc w:val="both"/>
        <w:rPr>
          <w:color w:val="auto"/>
        </w:rPr>
      </w:pPr>
      <w:r>
        <w:rPr>
          <w:color w:val="auto"/>
        </w:rPr>
        <w:t>8.3.3噪声污染防治措施</w:t>
      </w:r>
    </w:p>
    <w:p>
      <w:pPr>
        <w:pStyle w:val="222"/>
      </w:pPr>
      <w:r>
        <w:t>（1）矿山开采为露天开采，噪声源强较大。建设单位应加强机械保养，定期进行检修维护，确保不带病使用，使机械设备保持最低噪声级水平。合理安排爆破时间，尽量避开周围居民的休息时间，每次爆破时应通知周边居民；控制单次炸药量；采用先进的微差爆破法，爆破的地震效应、空气冲击波效应低于允许的限值，最大限度地降低了爆破产生的噪声影响。</w:t>
      </w:r>
    </w:p>
    <w:p>
      <w:pPr>
        <w:pStyle w:val="222"/>
      </w:pPr>
      <w:r>
        <w:t>（2）在满足生产需要的前提下，选型上使用国内先进的低噪声设备，采取台基减振、橡胶减震接头及减震垫等措施。加强机械设备保养，提高保养频次，使机械保持最低声级水平；加工设备底部安装减震垫，对工业场地内的破碎机、筛分机设置于密闭厂房内，除尘器风机应安装消声器，可大大降低设备噪声，采取隔声、减震、消声等措施。充分依托周边自然山体的阻挡降噪，加强种植绿色植物，增强降噪效果。</w:t>
      </w:r>
    </w:p>
    <w:p>
      <w:pPr>
        <w:pStyle w:val="222"/>
      </w:pPr>
      <w:r>
        <w:t>（3）夜间不生产，合理安排矿山开采时间，尽量避开周围居民的休息时间，并且在厂区外大门口附近张贴告示告知周边居民。</w:t>
      </w:r>
    </w:p>
    <w:p>
      <w:pPr>
        <w:pStyle w:val="222"/>
      </w:pPr>
      <w:r>
        <w:t>（4）场外运输作业安排在白天进行，车辆经过沿线声环境敏感点时应限速、禁鸣。</w:t>
      </w:r>
    </w:p>
    <w:p>
      <w:pPr>
        <w:pStyle w:val="222"/>
      </w:pPr>
      <w:r>
        <w:t>（5）加强采区周边、运输道路两侧、工业场地周边的绿化，利用植被林木的散射、吸声、隔声作用，充分依托自然山体的阻挡降噪效果，降低作业噪声对环境的影响。</w:t>
      </w:r>
    </w:p>
    <w:p>
      <w:pPr>
        <w:pStyle w:val="222"/>
      </w:pPr>
      <w:r>
        <w:t>（6）加强对作业人员的环境宣传和教育，定期进行培训，提高设备使用技能，确保不带病作业，认真落实各项降噪措施，文明施工，杜绝野蛮施工。</w:t>
      </w:r>
    </w:p>
    <w:p>
      <w:pPr>
        <w:pStyle w:val="222"/>
      </w:pPr>
      <w:r>
        <w:t>综上，在落实上述噪声污染防治措施后，可实现达标排放。</w:t>
      </w:r>
    </w:p>
    <w:p>
      <w:pPr>
        <w:pStyle w:val="5"/>
        <w:jc w:val="both"/>
        <w:rPr>
          <w:color w:val="auto"/>
        </w:rPr>
      </w:pPr>
      <w:r>
        <w:rPr>
          <w:color w:val="auto"/>
        </w:rPr>
        <w:t>8.3.4固体废物污染防治措施</w:t>
      </w:r>
    </w:p>
    <w:p>
      <w:pPr>
        <w:pStyle w:val="222"/>
      </w:pPr>
      <w:r>
        <w:t>（1）沉淀污泥</w:t>
      </w:r>
    </w:p>
    <w:p>
      <w:pPr>
        <w:pStyle w:val="222"/>
      </w:pPr>
      <w:r>
        <w:t>矿山建设的沉淀池含有少量的污泥，产生量为1万吨/a，作为矿区复垦绿化使用。工业场地喷雾废水、车辆清洗废水经沉淀池沉淀处理后，定期清掏沉淀池内的污泥，少量的污泥运至堆土场进行堆放，用于矿山复绿做表土绿化使用。</w:t>
      </w:r>
    </w:p>
    <w:p>
      <w:pPr>
        <w:pStyle w:val="222"/>
      </w:pPr>
      <w:r>
        <w:t>（2）含油废物（废润滑油、含油棉纱手套）</w:t>
      </w:r>
    </w:p>
    <w:p>
      <w:pPr>
        <w:pStyle w:val="222"/>
      </w:pPr>
      <w:r>
        <w:t>主要是日常维护下修理，产生的废润滑油、含油棉纱手套，属于危险废物。在依托工业场地内已设置的危险废物贮存间，少量废润滑油、含油棉纱等采用专用带盖的收集桶收集，定期交有资质单位处置。危险废物在危险废物贮存间临时存储不超过1年，危险废物贮存间按《危险废物贮存污染物控制标准》（GB18597-2023）要求建设，应做到“四防”措施（防风、防雨、防晒、防渗漏），</w:t>
      </w:r>
      <w:r>
        <w:rPr>
          <w:lang w:bidi="en-US"/>
        </w:rPr>
        <w:t>危险废物贮存间采取水泥防渗地面、灭火器、防烟火标识等。</w:t>
      </w:r>
    </w:p>
    <w:p>
      <w:pPr>
        <w:pStyle w:val="222"/>
      </w:pPr>
      <w:r>
        <w:t>（3）生活垃圾</w:t>
      </w:r>
    </w:p>
    <w:p>
      <w:pPr>
        <w:pStyle w:val="222"/>
      </w:pPr>
      <w:r>
        <w:t>项目在生活办公区内设置垃圾收集桶，定期交环卫部门处置。</w:t>
      </w:r>
    </w:p>
    <w:p>
      <w:pPr>
        <w:pStyle w:val="222"/>
        <w:rPr>
          <w:bCs/>
        </w:rPr>
      </w:pPr>
      <w:r>
        <w:t>本项目产生的固体废物经过妥善处置、综合利用后对环境的影响小</w:t>
      </w:r>
      <w:r>
        <w:rPr>
          <w:bCs/>
        </w:rPr>
        <w:t>。</w:t>
      </w:r>
    </w:p>
    <w:p>
      <w:pPr>
        <w:pStyle w:val="222"/>
      </w:pPr>
      <w:r>
        <w:t>（4）危险废物贮存间</w:t>
      </w:r>
    </w:p>
    <w:p>
      <w:pPr>
        <w:pStyle w:val="222"/>
      </w:pPr>
      <w:r>
        <w:t>危险废物贮存间设置1间危险废物贮存间，参照执行《危险废物贮存污染控制标准》（GB18597-2023）中有关要求进行防风、防雨、防晒、防渗漏处理，地面和墙脚30cm要求进行防渗处理，防渗层的防渗性能不应低于1.5m厚渗透系数为1.0×10</w:t>
      </w:r>
      <w:r>
        <w:rPr>
          <w:vertAlign w:val="superscript"/>
        </w:rPr>
        <w:t>-7</w:t>
      </w:r>
      <w:r>
        <w:t>cm/s的黏土层的防渗性能，并参照《危险废物识别标志设置技术规范》（HJ1276-2022）设置危险废物标识标牌等；危险废物转移应按照《危险废物转移联单管理办法执行转移联单制度。根据《国家危险废物名录》（2021年版）中要求，含油废物、含油棉纱手套等收集后，采用桶装，存放于危险废物贮存间。</w:t>
      </w:r>
    </w:p>
    <w:p>
      <w:pPr>
        <w:pStyle w:val="222"/>
      </w:pPr>
      <w:r>
        <w:t>本项目依托工业场地已建设1间危险废物贮存间，面积约10m</w:t>
      </w:r>
      <w:r>
        <w:rPr>
          <w:vertAlign w:val="superscript"/>
        </w:rPr>
        <w:t>2</w:t>
      </w:r>
      <w:r>
        <w:t>，危废暂存点设置警示标志，并设置围墙。危险废物贮存间采取水泥硬化，环氧树脂漆防渗地面、各种危险废物采取桶装后分区存放，贴好标记；在危险废物贮存场所处周围设置标识牌。设置灭火器、防烟火标识等，危险废物交由资质单位进行处置；危险废物在转移过程中，严格执行了“五联单”制度。</w:t>
      </w:r>
    </w:p>
    <w:p>
      <w:pPr>
        <w:pStyle w:val="4"/>
      </w:pPr>
      <w:bookmarkStart w:id="215" w:name="_Toc161676130"/>
      <w:r>
        <w:t>8.4闭矿期环境污染防治措施</w:t>
      </w:r>
      <w:bookmarkEnd w:id="215"/>
    </w:p>
    <w:p>
      <w:pPr>
        <w:pStyle w:val="1262"/>
        <w:rPr>
          <w:bCs/>
          <w:color w:val="auto"/>
        </w:rPr>
      </w:pPr>
      <w:r>
        <w:rPr>
          <w:color w:val="auto"/>
        </w:rPr>
        <w:t>根据《重庆峰磊矿业有限公司合川区盐井街道观音村五社建筑石料用灰岩矿矿产资源开发利用与地质环境恢复治理和土</w:t>
      </w:r>
      <w:r>
        <w:rPr>
          <w:bCs/>
          <w:color w:val="auto"/>
        </w:rPr>
        <w:t>地复垦方案》主要结论，闭矿期的环境保护措施主要有：</w:t>
      </w:r>
    </w:p>
    <w:p>
      <w:pPr>
        <w:ind w:firstLine="480"/>
        <w:jc w:val="both"/>
        <w:rPr>
          <w:bCs/>
          <w:sz w:val="24"/>
          <w:szCs w:val="24"/>
        </w:rPr>
      </w:pPr>
      <w:r>
        <w:rPr>
          <w:bCs/>
          <w:sz w:val="24"/>
          <w:szCs w:val="24"/>
        </w:rPr>
        <w:t>（1）拆除清理工程</w:t>
      </w:r>
    </w:p>
    <w:p>
      <w:pPr>
        <w:pStyle w:val="1262"/>
        <w:rPr>
          <w:color w:val="auto"/>
        </w:rPr>
      </w:pPr>
      <w:r>
        <w:rPr>
          <w:bCs/>
          <w:color w:val="auto"/>
        </w:rPr>
        <w:t>拆除工程主要针对工业场地和办公生活区建构筑物拆除，</w:t>
      </w:r>
      <w:r>
        <w:rPr>
          <w:color w:val="auto"/>
        </w:rPr>
        <w:t>工业场地和办公生活区不再使用的厂房、环保设施等建（构）筑物和基础设施应全部拆除，拆除后可利用的废料进行外售，不能利用弃渣运至就近建筑垃圾处理场处理。</w:t>
      </w:r>
    </w:p>
    <w:p>
      <w:pPr>
        <w:ind w:firstLine="480"/>
        <w:jc w:val="both"/>
        <w:rPr>
          <w:bCs/>
          <w:sz w:val="24"/>
          <w:szCs w:val="24"/>
        </w:rPr>
      </w:pPr>
      <w:r>
        <w:rPr>
          <w:bCs/>
          <w:sz w:val="24"/>
          <w:szCs w:val="24"/>
        </w:rPr>
        <w:t>（2）植被恢复工程</w:t>
      </w:r>
    </w:p>
    <w:p>
      <w:pPr>
        <w:ind w:firstLine="480"/>
        <w:jc w:val="both"/>
        <w:rPr>
          <w:bCs/>
          <w:sz w:val="24"/>
          <w:szCs w:val="24"/>
        </w:rPr>
      </w:pPr>
      <w:r>
        <w:rPr>
          <w:sz w:val="24"/>
          <w:szCs w:val="24"/>
        </w:rPr>
        <w:t>本项目旱地修复区面积共计0.2461hm</w:t>
      </w:r>
      <w:r>
        <w:rPr>
          <w:sz w:val="24"/>
          <w:szCs w:val="24"/>
          <w:vertAlign w:val="superscript"/>
        </w:rPr>
        <w:t>2</w:t>
      </w:r>
      <w:r>
        <w:rPr>
          <w:sz w:val="24"/>
          <w:szCs w:val="24"/>
        </w:rPr>
        <w:t>，位于终了底盘整体平场后、弃渣场以及工业场地区域修复单元内，覆土厚度为0.5m，旱地修复区需土量共计1203.5m</w:t>
      </w:r>
      <w:r>
        <w:rPr>
          <w:sz w:val="24"/>
          <w:szCs w:val="24"/>
          <w:vertAlign w:val="superscript"/>
        </w:rPr>
        <w:t>3</w:t>
      </w:r>
      <w:r>
        <w:rPr>
          <w:sz w:val="24"/>
          <w:szCs w:val="24"/>
        </w:rPr>
        <w:t>。林地修复区采用灌、草结合方式，项目区林地修复区面积4.4164hm</w:t>
      </w:r>
      <w:r>
        <w:rPr>
          <w:sz w:val="24"/>
          <w:szCs w:val="24"/>
          <w:vertAlign w:val="superscript"/>
        </w:rPr>
        <w:t>2</w:t>
      </w:r>
      <w:r>
        <w:rPr>
          <w:sz w:val="24"/>
          <w:szCs w:val="24"/>
        </w:rPr>
        <w:t>，位于弃渣场、边坡、安全平台、防滚石平台、清扫平台、边坡等修复单元内，依据各修复单元终了地形条件，针对种植灌木的平台采取每株按顶宽0.6m*0.6m，底宽0.3m*0.3m，深10m凿土坑种植，剩余撒播草籽区域覆土0.3m；林地修复区需土量共计13249.2m</w:t>
      </w:r>
      <w:r>
        <w:rPr>
          <w:sz w:val="24"/>
          <w:szCs w:val="24"/>
          <w:vertAlign w:val="superscript"/>
        </w:rPr>
        <w:t>3</w:t>
      </w:r>
      <w:r>
        <w:rPr>
          <w:sz w:val="24"/>
          <w:szCs w:val="24"/>
        </w:rPr>
        <w:t>。</w:t>
      </w:r>
      <w:r>
        <w:rPr>
          <w:sz w:val="24"/>
        </w:rPr>
        <w:t>则修复需土量共计14479.7m</w:t>
      </w:r>
      <w:r>
        <w:rPr>
          <w:sz w:val="24"/>
          <w:vertAlign w:val="superscript"/>
        </w:rPr>
        <w:t>3</w:t>
      </w:r>
      <w:r>
        <w:rPr>
          <w:sz w:val="24"/>
        </w:rPr>
        <w:t>。</w:t>
      </w:r>
    </w:p>
    <w:p>
      <w:pPr>
        <w:ind w:firstLine="480"/>
        <w:jc w:val="both"/>
        <w:rPr>
          <w:sz w:val="24"/>
          <w:szCs w:val="24"/>
        </w:rPr>
      </w:pPr>
      <w:r>
        <w:rPr>
          <w:sz w:val="24"/>
          <w:szCs w:val="24"/>
        </w:rPr>
        <w:t>（3）防护工程</w:t>
      </w:r>
    </w:p>
    <w:p>
      <w:pPr>
        <w:ind w:firstLine="480"/>
        <w:jc w:val="both"/>
        <w:rPr>
          <w:sz w:val="24"/>
          <w:szCs w:val="24"/>
        </w:rPr>
      </w:pPr>
      <w:r>
        <w:rPr>
          <w:sz w:val="24"/>
          <w:szCs w:val="24"/>
        </w:rPr>
        <w:t>矿区最终采场边坡高度较大，为防止附近村民或牲畜进入采场影响安全，在矿山高陡边坡坡顶设置安全防护网、警示牌等。</w:t>
      </w:r>
    </w:p>
    <w:p>
      <w:pPr>
        <w:pStyle w:val="4"/>
      </w:pPr>
      <w:bookmarkStart w:id="216" w:name="_Toc518986163"/>
      <w:bookmarkStart w:id="217" w:name="_Toc161676131"/>
      <w:bookmarkStart w:id="218" w:name="_Toc500407866"/>
      <w:bookmarkStart w:id="219" w:name="_Toc450635037"/>
      <w:r>
        <w:t>8.5环保</w:t>
      </w:r>
      <w:bookmarkEnd w:id="216"/>
      <w:r>
        <w:t>投资估算</w:t>
      </w:r>
      <w:bookmarkEnd w:id="217"/>
    </w:p>
    <w:bookmarkEnd w:id="218"/>
    <w:bookmarkEnd w:id="219"/>
    <w:p>
      <w:pPr>
        <w:pStyle w:val="222"/>
      </w:pPr>
      <w:r>
        <w:t>本项目总投资500万元，其中环保投资约114万元，占总投资的22.8%。本项目污染防治措施及投资估算见下表。</w:t>
      </w:r>
    </w:p>
    <w:p>
      <w:pPr>
        <w:pStyle w:val="84"/>
      </w:pPr>
      <w:r>
        <w:t>表8.5-1  项目污染防治措施及投资估算表</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24"/>
        <w:gridCol w:w="1371"/>
        <w:gridCol w:w="6037"/>
        <w:gridCol w:w="11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blHeader/>
          <w:jc w:val="center"/>
        </w:trPr>
        <w:tc>
          <w:tcPr>
            <w:tcW w:w="390" w:type="pct"/>
            <w:shd w:val="clear" w:color="auto" w:fill="D8D8D8" w:themeFill="background1" w:themeFillShade="D9"/>
            <w:vAlign w:val="center"/>
          </w:tcPr>
          <w:p>
            <w:pPr>
              <w:pStyle w:val="3238"/>
            </w:pPr>
            <w:r>
              <w:t>类别</w:t>
            </w:r>
          </w:p>
        </w:tc>
        <w:tc>
          <w:tcPr>
            <w:tcW w:w="738" w:type="pct"/>
            <w:shd w:val="clear" w:color="auto" w:fill="D8D8D8" w:themeFill="background1" w:themeFillShade="D9"/>
            <w:vAlign w:val="center"/>
          </w:tcPr>
          <w:p>
            <w:pPr>
              <w:pStyle w:val="3238"/>
            </w:pPr>
            <w:r>
              <w:t>污染源</w:t>
            </w:r>
          </w:p>
        </w:tc>
        <w:tc>
          <w:tcPr>
            <w:tcW w:w="3250" w:type="pct"/>
            <w:shd w:val="clear" w:color="auto" w:fill="D8D8D8" w:themeFill="background1" w:themeFillShade="D9"/>
            <w:vAlign w:val="center"/>
          </w:tcPr>
          <w:p>
            <w:pPr>
              <w:pStyle w:val="3238"/>
            </w:pPr>
            <w:r>
              <w:t>治理措施</w:t>
            </w:r>
          </w:p>
        </w:tc>
        <w:tc>
          <w:tcPr>
            <w:tcW w:w="622" w:type="pct"/>
            <w:shd w:val="clear" w:color="auto" w:fill="D8D8D8" w:themeFill="background1" w:themeFillShade="D9"/>
            <w:vAlign w:val="center"/>
          </w:tcPr>
          <w:p>
            <w:pPr>
              <w:pStyle w:val="3238"/>
            </w:pPr>
            <w:r>
              <w:t>投资</w:t>
            </w:r>
          </w:p>
          <w:p>
            <w:pPr>
              <w:pStyle w:val="3238"/>
            </w:pPr>
            <w: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blHeader/>
          <w:jc w:val="center"/>
        </w:trPr>
        <w:tc>
          <w:tcPr>
            <w:tcW w:w="390" w:type="pct"/>
            <w:shd w:val="clear" w:color="auto" w:fill="auto"/>
            <w:vAlign w:val="center"/>
          </w:tcPr>
          <w:p>
            <w:pPr>
              <w:pStyle w:val="3238"/>
            </w:pPr>
            <w:r>
              <w:t>一</w:t>
            </w:r>
          </w:p>
        </w:tc>
        <w:tc>
          <w:tcPr>
            <w:tcW w:w="4610" w:type="pct"/>
            <w:gridSpan w:val="3"/>
            <w:shd w:val="clear" w:color="auto" w:fill="auto"/>
            <w:vAlign w:val="center"/>
          </w:tcPr>
          <w:p>
            <w:pPr>
              <w:pStyle w:val="3238"/>
              <w:rPr>
                <w:b/>
              </w:rPr>
            </w:pPr>
            <w:r>
              <w:t>建设期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生态环境</w:t>
            </w:r>
          </w:p>
        </w:tc>
        <w:tc>
          <w:tcPr>
            <w:tcW w:w="738" w:type="pct"/>
            <w:shd w:val="clear" w:color="auto" w:fill="auto"/>
            <w:vAlign w:val="center"/>
          </w:tcPr>
          <w:p>
            <w:pPr>
              <w:pStyle w:val="3238"/>
              <w:rPr>
                <w:b/>
              </w:rPr>
            </w:pPr>
            <w:r>
              <w:t>开采区</w:t>
            </w:r>
          </w:p>
        </w:tc>
        <w:tc>
          <w:tcPr>
            <w:tcW w:w="3250" w:type="pct"/>
            <w:shd w:val="clear" w:color="auto" w:fill="auto"/>
            <w:vAlign w:val="center"/>
          </w:tcPr>
          <w:p>
            <w:pPr>
              <w:pStyle w:val="3238"/>
              <w:rPr>
                <w:b/>
              </w:rPr>
            </w:pPr>
            <w:r>
              <w:t>严格按照开发利用方案自上而下进行分台剥离、开采，并确保剥采边坡角、台阶高差等符合开发利用方案要求。采区东北侧地势低处设置1个沉砂池，雨水收集后经沉淀处理后外排。严格执行“边开采、边恢复”的生产方式，采完一个台阶及时进行生态恢复，以减小矿区裸露的面积。高陡边坡整治后的裸露坡面撒播草籽进行临时防护；最后在完成底盘开采后，完成整个采区的生态恢复，可进一步减小矿山裸岩面积，进一步降低矿山开采景观影响和水土流失影响。本项目终了底盘整体平场后、弃渣场区域修复为旱地，覆土厚度为0.5m。弃渣场、边坡、安全平台、防滚石平台、清扫平台、边坡等修复为林地，依据各修复单元终了地形条件，针对种植灌木的平台采取每株按顶宽0.6m*0.6m，底宽0.3m*0.3m，深10m凿土坑种植，剩余撒播草籽区域覆土0.3m。</w:t>
            </w:r>
          </w:p>
        </w:tc>
        <w:tc>
          <w:tcPr>
            <w:tcW w:w="622" w:type="pct"/>
            <w:shd w:val="clear" w:color="auto" w:fill="auto"/>
            <w:vAlign w:val="center"/>
          </w:tcPr>
          <w:p>
            <w:pPr>
              <w:pStyle w:val="3238"/>
              <w:rPr>
                <w:b/>
              </w:rPr>
            </w:pPr>
            <w: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废气</w:t>
            </w:r>
          </w:p>
        </w:tc>
        <w:tc>
          <w:tcPr>
            <w:tcW w:w="738" w:type="pct"/>
            <w:shd w:val="clear" w:color="auto" w:fill="auto"/>
            <w:vAlign w:val="center"/>
          </w:tcPr>
          <w:p>
            <w:pPr>
              <w:pStyle w:val="3238"/>
              <w:rPr>
                <w:b/>
              </w:rPr>
            </w:pPr>
            <w:r>
              <w:t>扬尘、尾气</w:t>
            </w:r>
          </w:p>
        </w:tc>
        <w:tc>
          <w:tcPr>
            <w:tcW w:w="3250" w:type="pct"/>
            <w:shd w:val="clear" w:color="auto" w:fill="auto"/>
            <w:vAlign w:val="center"/>
          </w:tcPr>
          <w:p>
            <w:pPr>
              <w:pStyle w:val="3238"/>
              <w:rPr>
                <w:b/>
              </w:rPr>
            </w:pPr>
            <w:r>
              <w:t>对施工场地、运输道路、表土剥离区域采取洒水降尘措施，可降低扬尘对周边环境空气影响；车辆选用优质燃料，减少机械的尾气污染物排放。</w:t>
            </w:r>
          </w:p>
        </w:tc>
        <w:tc>
          <w:tcPr>
            <w:tcW w:w="622" w:type="pct"/>
            <w:shd w:val="clear" w:color="auto" w:fill="auto"/>
            <w:vAlign w:val="center"/>
          </w:tcPr>
          <w:p>
            <w:pPr>
              <w:pStyle w:val="3238"/>
              <w:rPr>
                <w:b/>
              </w:rPr>
            </w:pPr>
            <w: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废水</w:t>
            </w:r>
          </w:p>
        </w:tc>
        <w:tc>
          <w:tcPr>
            <w:tcW w:w="738" w:type="pct"/>
            <w:shd w:val="clear" w:color="auto" w:fill="auto"/>
            <w:vAlign w:val="center"/>
          </w:tcPr>
          <w:p>
            <w:pPr>
              <w:pStyle w:val="3238"/>
              <w:rPr>
                <w:b/>
              </w:rPr>
            </w:pPr>
            <w:r>
              <w:t>设备冲洗废水、生活污水</w:t>
            </w:r>
          </w:p>
        </w:tc>
        <w:tc>
          <w:tcPr>
            <w:tcW w:w="3250" w:type="pct"/>
            <w:shd w:val="clear" w:color="auto" w:fill="auto"/>
            <w:vAlign w:val="center"/>
          </w:tcPr>
          <w:p>
            <w:pPr>
              <w:pStyle w:val="3238"/>
              <w:rPr>
                <w:b/>
              </w:rPr>
            </w:pPr>
            <w:r>
              <w:t>施工机械冲洗废水经沉淀池处理后回用于场地洒水抑尘；生活污水依托现有的化粪池处理后用于农肥施用，不外排。</w:t>
            </w:r>
          </w:p>
        </w:tc>
        <w:tc>
          <w:tcPr>
            <w:tcW w:w="622" w:type="pct"/>
            <w:shd w:val="clear" w:color="auto" w:fill="auto"/>
            <w:vAlign w:val="center"/>
          </w:tcPr>
          <w:p>
            <w:pPr>
              <w:pStyle w:val="3238"/>
              <w:rPr>
                <w:b/>
              </w:rPr>
            </w:pPr>
            <w: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噪声</w:t>
            </w:r>
          </w:p>
        </w:tc>
        <w:tc>
          <w:tcPr>
            <w:tcW w:w="738" w:type="pct"/>
            <w:shd w:val="clear" w:color="auto" w:fill="auto"/>
            <w:vAlign w:val="center"/>
          </w:tcPr>
          <w:p>
            <w:pPr>
              <w:pStyle w:val="3238"/>
              <w:rPr>
                <w:b/>
              </w:rPr>
            </w:pPr>
            <w:r>
              <w:t>设备噪声</w:t>
            </w:r>
          </w:p>
        </w:tc>
        <w:tc>
          <w:tcPr>
            <w:tcW w:w="3250" w:type="pct"/>
            <w:shd w:val="clear" w:color="auto" w:fill="auto"/>
            <w:vAlign w:val="center"/>
          </w:tcPr>
          <w:p>
            <w:pPr>
              <w:pStyle w:val="3238"/>
              <w:rPr>
                <w:b/>
              </w:rPr>
            </w:pPr>
            <w:r>
              <w:t>合理布局，低噪声设备，依托矿区自然山体阻挡降噪，合理安排施工进度及时间，加强保养维护设备。</w:t>
            </w:r>
          </w:p>
        </w:tc>
        <w:tc>
          <w:tcPr>
            <w:tcW w:w="622" w:type="pct"/>
            <w:shd w:val="clear" w:color="auto" w:fill="auto"/>
            <w:vAlign w:val="center"/>
          </w:tcPr>
          <w:p>
            <w:pPr>
              <w:pStyle w:val="3238"/>
              <w:rPr>
                <w:b/>
              </w:rPr>
            </w:pPr>
            <w: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固废</w:t>
            </w:r>
          </w:p>
        </w:tc>
        <w:tc>
          <w:tcPr>
            <w:tcW w:w="738" w:type="pct"/>
            <w:shd w:val="clear" w:color="auto" w:fill="auto"/>
            <w:vAlign w:val="center"/>
          </w:tcPr>
          <w:p>
            <w:pPr>
              <w:pStyle w:val="3238"/>
              <w:rPr>
                <w:b/>
              </w:rPr>
            </w:pPr>
            <w:r>
              <w:t>建筑垃圾、生活垃圾</w:t>
            </w:r>
          </w:p>
        </w:tc>
        <w:tc>
          <w:tcPr>
            <w:tcW w:w="3250" w:type="pct"/>
            <w:shd w:val="clear" w:color="auto" w:fill="auto"/>
            <w:vAlign w:val="center"/>
          </w:tcPr>
          <w:p>
            <w:pPr>
              <w:pStyle w:val="3238"/>
              <w:rPr>
                <w:b/>
              </w:rPr>
            </w:pPr>
            <w:r>
              <w:t>产生的建筑材料尽量回收利用，不能利用售卖给资源回收公司。生活垃圾采用垃圾桶收集后定期交由当地环卫部门处置，</w:t>
            </w:r>
          </w:p>
        </w:tc>
        <w:tc>
          <w:tcPr>
            <w:tcW w:w="622" w:type="pct"/>
            <w:shd w:val="clear" w:color="auto" w:fill="auto"/>
            <w:vAlign w:val="center"/>
          </w:tcPr>
          <w:p>
            <w:pPr>
              <w:pStyle w:val="3238"/>
              <w:rPr>
                <w:b/>
              </w:rPr>
            </w:pPr>
            <w: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pPr>
            <w:r>
              <w:t>二</w:t>
            </w:r>
          </w:p>
        </w:tc>
        <w:tc>
          <w:tcPr>
            <w:tcW w:w="4610" w:type="pct"/>
            <w:gridSpan w:val="3"/>
            <w:shd w:val="clear" w:color="auto" w:fill="auto"/>
            <w:vAlign w:val="center"/>
          </w:tcPr>
          <w:p>
            <w:pPr>
              <w:pStyle w:val="3238"/>
              <w:rPr>
                <w:b/>
              </w:rPr>
            </w:pPr>
            <w:r>
              <w:t>开采期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restart"/>
            <w:shd w:val="clear" w:color="auto" w:fill="auto"/>
            <w:vAlign w:val="center"/>
          </w:tcPr>
          <w:p>
            <w:pPr>
              <w:pStyle w:val="3238"/>
              <w:rPr>
                <w:b/>
              </w:rPr>
            </w:pPr>
            <w:r>
              <w:t>废气</w:t>
            </w:r>
          </w:p>
        </w:tc>
        <w:tc>
          <w:tcPr>
            <w:tcW w:w="738" w:type="pct"/>
            <w:tcBorders>
              <w:bottom w:val="single" w:color="auto" w:sz="4" w:space="0"/>
            </w:tcBorders>
            <w:shd w:val="clear" w:color="auto" w:fill="auto"/>
            <w:vAlign w:val="center"/>
          </w:tcPr>
          <w:p>
            <w:pPr>
              <w:pStyle w:val="3238"/>
              <w:rPr>
                <w:b/>
              </w:rPr>
            </w:pPr>
            <w:r>
              <w:t>采区开采粉尘</w:t>
            </w:r>
          </w:p>
        </w:tc>
        <w:tc>
          <w:tcPr>
            <w:tcW w:w="3250" w:type="pct"/>
            <w:tcBorders>
              <w:bottom w:val="single" w:color="auto" w:sz="4" w:space="0"/>
            </w:tcBorders>
            <w:shd w:val="clear" w:color="auto" w:fill="auto"/>
            <w:vAlign w:val="center"/>
          </w:tcPr>
          <w:p>
            <w:pPr>
              <w:pStyle w:val="3238"/>
              <w:rPr>
                <w:b/>
              </w:rPr>
            </w:pPr>
            <w:r>
              <w:t>采区采用自带除尘装置的潜孔钻进行钻孔，可减少粉尘产生和排放量；采用微差爆破，粉尘产生量很少，爆破后及时洒水降尘减少粉尘排放。采区布置多台雾炮机及水管，辅以洒水车辆对采区内采掘工作面、矿区道路、铲装等产尘点喷雾洒水降尘。</w:t>
            </w:r>
          </w:p>
        </w:tc>
        <w:tc>
          <w:tcPr>
            <w:tcW w:w="622" w:type="pct"/>
            <w:shd w:val="clear" w:color="auto" w:fill="auto"/>
            <w:vAlign w:val="center"/>
          </w:tcPr>
          <w:p>
            <w:pPr>
              <w:pStyle w:val="3238"/>
              <w:rPr>
                <w:b/>
              </w:rPr>
            </w:pPr>
            <w:r>
              <w:t>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continue"/>
            <w:shd w:val="clear" w:color="auto" w:fill="auto"/>
            <w:vAlign w:val="center"/>
          </w:tcPr>
          <w:p>
            <w:pPr>
              <w:pStyle w:val="3238"/>
            </w:pPr>
          </w:p>
        </w:tc>
        <w:tc>
          <w:tcPr>
            <w:tcW w:w="738" w:type="pct"/>
            <w:tcBorders>
              <w:bottom w:val="single" w:color="auto" w:sz="4" w:space="0"/>
            </w:tcBorders>
            <w:shd w:val="clear" w:color="auto" w:fill="auto"/>
            <w:vAlign w:val="center"/>
          </w:tcPr>
          <w:p>
            <w:pPr>
              <w:pStyle w:val="3238"/>
              <w:rPr>
                <w:b/>
              </w:rPr>
            </w:pPr>
            <w:r>
              <w:t>运输扬尘</w:t>
            </w:r>
          </w:p>
        </w:tc>
        <w:tc>
          <w:tcPr>
            <w:tcW w:w="3250" w:type="pct"/>
            <w:tcBorders>
              <w:bottom w:val="single" w:color="auto" w:sz="4" w:space="0"/>
            </w:tcBorders>
            <w:shd w:val="clear" w:color="auto" w:fill="auto"/>
            <w:vAlign w:val="center"/>
          </w:tcPr>
          <w:p>
            <w:pPr>
              <w:pStyle w:val="3238"/>
              <w:rPr>
                <w:b/>
                <w:lang w:bidi="en-US"/>
              </w:rPr>
            </w:pPr>
            <w:r>
              <w:rPr>
                <w:lang w:bidi="en-US"/>
              </w:rPr>
              <w:t>采用雾炮机对矿区公路进行洒水降尘，在工业场地出口处设置车辆冲洗设施，废水进入沉淀池内，同时对运输车加装篷布实现密闭运输。</w:t>
            </w:r>
          </w:p>
        </w:tc>
        <w:tc>
          <w:tcPr>
            <w:tcW w:w="622" w:type="pct"/>
            <w:shd w:val="clear" w:color="auto" w:fill="auto"/>
            <w:vAlign w:val="center"/>
          </w:tcPr>
          <w:p>
            <w:pPr>
              <w:pStyle w:val="3238"/>
              <w:rPr>
                <w:b/>
              </w:rPr>
            </w:pPr>
            <w: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1" w:hRule="atLeast"/>
          <w:jc w:val="center"/>
        </w:trPr>
        <w:tc>
          <w:tcPr>
            <w:tcW w:w="390" w:type="pct"/>
            <w:vMerge w:val="continue"/>
            <w:shd w:val="clear" w:color="auto" w:fill="auto"/>
            <w:vAlign w:val="center"/>
          </w:tcPr>
          <w:p>
            <w:pPr>
              <w:pStyle w:val="3238"/>
            </w:pPr>
          </w:p>
        </w:tc>
        <w:tc>
          <w:tcPr>
            <w:tcW w:w="738" w:type="pct"/>
            <w:tcBorders>
              <w:top w:val="single" w:color="auto" w:sz="4" w:space="0"/>
            </w:tcBorders>
            <w:shd w:val="clear" w:color="auto" w:fill="auto"/>
            <w:vAlign w:val="center"/>
          </w:tcPr>
          <w:p>
            <w:pPr>
              <w:pStyle w:val="3238"/>
              <w:rPr>
                <w:b/>
                <w:lang w:bidi="en-US"/>
              </w:rPr>
            </w:pPr>
            <w:r>
              <w:t>工业场地粉尘</w:t>
            </w:r>
          </w:p>
        </w:tc>
        <w:tc>
          <w:tcPr>
            <w:tcW w:w="3250" w:type="pct"/>
            <w:tcBorders>
              <w:top w:val="single" w:color="auto" w:sz="4" w:space="0"/>
            </w:tcBorders>
            <w:shd w:val="clear" w:color="auto" w:fill="auto"/>
            <w:vAlign w:val="center"/>
          </w:tcPr>
          <w:p>
            <w:pPr>
              <w:spacing w:line="240" w:lineRule="auto"/>
              <w:ind w:firstLine="0" w:firstLineChars="0"/>
              <w:rPr>
                <w:bCs/>
                <w:sz w:val="21"/>
                <w:szCs w:val="21"/>
              </w:rPr>
            </w:pPr>
            <w:bookmarkStart w:id="220" w:name="_Hlk93556100"/>
            <w:r>
              <w:rPr>
                <w:rFonts w:hint="eastAsia" w:ascii="宋体" w:hAnsi="宋体" w:cs="宋体"/>
                <w:sz w:val="21"/>
                <w:szCs w:val="21"/>
                <w:lang w:eastAsia="ja-JP"/>
              </w:rPr>
              <w:t>①</w:t>
            </w:r>
            <w:r>
              <w:rPr>
                <w:sz w:val="21"/>
                <w:szCs w:val="21"/>
              </w:rPr>
              <w:t>破碎筛分生产线设备布置于封闭彩钢棚车间内，给料机</w:t>
            </w:r>
            <w:r>
              <w:rPr>
                <w:bCs/>
                <w:sz w:val="21"/>
                <w:szCs w:val="21"/>
              </w:rPr>
              <w:t>进料口设三面围挡和高压喷雾洒水降尘，并且破碎粉尘收集后进入1#布袋除尘器处理后通过15m高排气筒（DA001）排放。</w:t>
            </w:r>
          </w:p>
          <w:p>
            <w:pPr>
              <w:spacing w:line="240" w:lineRule="auto"/>
              <w:ind w:firstLine="0" w:firstLineChars="0"/>
              <w:rPr>
                <w:bCs/>
                <w:sz w:val="21"/>
                <w:szCs w:val="21"/>
              </w:rPr>
            </w:pPr>
            <w:r>
              <w:rPr>
                <w:rFonts w:hint="eastAsia" w:ascii="宋体" w:hAnsi="宋体" w:cs="宋体"/>
                <w:bCs/>
                <w:sz w:val="21"/>
                <w:szCs w:val="21"/>
              </w:rPr>
              <w:t>②</w:t>
            </w:r>
            <w:r>
              <w:rPr>
                <w:bCs/>
                <w:sz w:val="21"/>
                <w:szCs w:val="21"/>
              </w:rPr>
              <w:t>反击破碎机（2台）设置1#、2#布袋除尘收集处理后经高15m排气筒（DA001、DA002）达标排放；</w:t>
            </w:r>
          </w:p>
          <w:p>
            <w:pPr>
              <w:spacing w:line="240" w:lineRule="auto"/>
              <w:ind w:firstLine="0" w:firstLineChars="0"/>
              <w:rPr>
                <w:bCs/>
                <w:sz w:val="21"/>
                <w:szCs w:val="21"/>
              </w:rPr>
            </w:pPr>
            <w:r>
              <w:rPr>
                <w:rFonts w:hint="eastAsia" w:ascii="宋体" w:hAnsi="宋体" w:cs="宋体"/>
                <w:bCs/>
                <w:sz w:val="21"/>
                <w:szCs w:val="21"/>
              </w:rPr>
              <w:t>③</w:t>
            </w:r>
            <w:r>
              <w:rPr>
                <w:bCs/>
                <w:sz w:val="21"/>
                <w:szCs w:val="21"/>
              </w:rPr>
              <w:t>筛分设置1套布袋除尘收集处理后经高15m排气筒（DA003）达标排放；</w:t>
            </w:r>
          </w:p>
          <w:p>
            <w:pPr>
              <w:spacing w:line="240" w:lineRule="auto"/>
              <w:ind w:firstLine="0" w:firstLineChars="0"/>
              <w:rPr>
                <w:bCs/>
                <w:sz w:val="21"/>
                <w:szCs w:val="21"/>
                <w:lang w:bidi="en-US"/>
              </w:rPr>
            </w:pPr>
            <w:r>
              <w:rPr>
                <w:rFonts w:hint="eastAsia" w:ascii="宋体" w:hAnsi="宋体" w:cs="宋体"/>
                <w:bCs/>
                <w:sz w:val="21"/>
                <w:szCs w:val="21"/>
                <w:lang w:bidi="en-US"/>
              </w:rPr>
              <w:t>④</w:t>
            </w:r>
            <w:r>
              <w:rPr>
                <w:bCs/>
                <w:sz w:val="21"/>
                <w:szCs w:val="21"/>
                <w:lang w:bidi="en-US"/>
              </w:rPr>
              <w:t>产品仓为全密闭式，在顶部设置盖板和过滤网，产品仓底部落料皮带设置防尘罩，装车点设喷雾装置降尘</w:t>
            </w:r>
            <w:bookmarkEnd w:id="220"/>
            <w:r>
              <w:rPr>
                <w:bCs/>
                <w:sz w:val="21"/>
                <w:szCs w:val="21"/>
                <w:lang w:bidi="en-US"/>
              </w:rPr>
              <w:t>；</w:t>
            </w:r>
          </w:p>
          <w:p>
            <w:pPr>
              <w:spacing w:line="240" w:lineRule="auto"/>
              <w:ind w:firstLine="0" w:firstLineChars="0"/>
              <w:rPr>
                <w:bCs/>
                <w:sz w:val="21"/>
                <w:szCs w:val="21"/>
                <w:lang w:bidi="en-US"/>
              </w:rPr>
            </w:pPr>
            <w:r>
              <w:rPr>
                <w:rFonts w:hint="eastAsia" w:ascii="宋体" w:hAnsi="宋体" w:cs="宋体"/>
                <w:bCs/>
                <w:sz w:val="21"/>
                <w:szCs w:val="21"/>
                <w:lang w:bidi="en-US"/>
              </w:rPr>
              <w:t>⑤</w:t>
            </w:r>
            <w:r>
              <w:rPr>
                <w:bCs/>
                <w:sz w:val="21"/>
                <w:szCs w:val="21"/>
                <w:lang w:bidi="en-US"/>
              </w:rPr>
              <w:t>产品堆场设置在厂房内，封闭储存，篷布遮盖。</w:t>
            </w:r>
          </w:p>
          <w:p>
            <w:pPr>
              <w:spacing w:line="240" w:lineRule="auto"/>
              <w:ind w:firstLine="0" w:firstLineChars="0"/>
              <w:rPr>
                <w:bCs/>
                <w:sz w:val="21"/>
                <w:szCs w:val="21"/>
              </w:rPr>
            </w:pPr>
            <w:r>
              <w:rPr>
                <w:rFonts w:hint="eastAsia" w:ascii="宋体" w:hAnsi="宋体" w:cs="宋体"/>
                <w:bCs/>
                <w:sz w:val="21"/>
                <w:szCs w:val="21"/>
              </w:rPr>
              <w:t>⑥</w:t>
            </w:r>
            <w:r>
              <w:rPr>
                <w:bCs/>
                <w:sz w:val="21"/>
                <w:szCs w:val="21"/>
              </w:rPr>
              <w:t>对现有布袋除尘器内的布袋进行更换，使用性能优良的布袋，确保稳定达标；对布袋除尘器排气筒进行修复，高度不低于15m；</w:t>
            </w:r>
          </w:p>
          <w:p>
            <w:pPr>
              <w:spacing w:line="240" w:lineRule="auto"/>
              <w:ind w:firstLine="0" w:firstLineChars="0"/>
              <w:rPr>
                <w:bCs/>
                <w:sz w:val="21"/>
                <w:szCs w:val="21"/>
              </w:rPr>
            </w:pPr>
            <w:r>
              <w:rPr>
                <w:rFonts w:hint="eastAsia" w:ascii="宋体" w:hAnsi="宋体" w:cs="宋体"/>
                <w:bCs/>
                <w:sz w:val="21"/>
                <w:szCs w:val="21"/>
              </w:rPr>
              <w:t>⑦</w:t>
            </w:r>
            <w:r>
              <w:rPr>
                <w:bCs/>
                <w:sz w:val="21"/>
                <w:szCs w:val="21"/>
              </w:rPr>
              <w:t>调整反击式破碎机、筛分进料口附近的喷雾装置，朝向进料口，确保喷雾能有效降尘；对车间内四周、顶部、设备旁加密喷雾管道及开孔，加压水雾，确保有效的出水及降尘效果；</w:t>
            </w:r>
          </w:p>
          <w:p>
            <w:pPr>
              <w:spacing w:line="240" w:lineRule="auto"/>
              <w:ind w:firstLine="0" w:firstLineChars="0"/>
              <w:rPr>
                <w:bCs/>
                <w:sz w:val="21"/>
                <w:szCs w:val="21"/>
              </w:rPr>
            </w:pPr>
            <w:r>
              <w:rPr>
                <w:rFonts w:hint="eastAsia" w:ascii="宋体" w:hAnsi="宋体" w:cs="宋体"/>
                <w:bCs/>
                <w:sz w:val="21"/>
                <w:szCs w:val="21"/>
              </w:rPr>
              <w:t>⑧</w:t>
            </w:r>
            <w:r>
              <w:rPr>
                <w:bCs/>
                <w:sz w:val="21"/>
                <w:szCs w:val="21"/>
              </w:rPr>
              <w:t>产品装车时降低物料与车斗高差，提高人员素质，文明作业；不装车时对物料进行覆盖。</w:t>
            </w:r>
          </w:p>
        </w:tc>
        <w:tc>
          <w:tcPr>
            <w:tcW w:w="622" w:type="pct"/>
            <w:shd w:val="clear" w:color="auto" w:fill="auto"/>
            <w:vAlign w:val="center"/>
          </w:tcPr>
          <w:p>
            <w:pPr>
              <w:pStyle w:val="3238"/>
              <w:rPr>
                <w:b/>
              </w:rPr>
            </w:pPr>
            <w: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390" w:type="pct"/>
            <w:vMerge w:val="continue"/>
            <w:shd w:val="clear" w:color="auto" w:fill="auto"/>
            <w:vAlign w:val="center"/>
          </w:tcPr>
          <w:p>
            <w:pPr>
              <w:pStyle w:val="3238"/>
            </w:pPr>
          </w:p>
        </w:tc>
        <w:tc>
          <w:tcPr>
            <w:tcW w:w="738" w:type="pct"/>
            <w:tcBorders>
              <w:top w:val="single" w:color="auto" w:sz="4" w:space="0"/>
            </w:tcBorders>
            <w:shd w:val="clear" w:color="auto" w:fill="auto"/>
            <w:vAlign w:val="center"/>
          </w:tcPr>
          <w:p>
            <w:pPr>
              <w:pStyle w:val="3238"/>
              <w:rPr>
                <w:b/>
              </w:rPr>
            </w:pPr>
            <w:r>
              <w:t>排土场扬尘</w:t>
            </w:r>
          </w:p>
        </w:tc>
        <w:tc>
          <w:tcPr>
            <w:tcW w:w="3250" w:type="pct"/>
            <w:tcBorders>
              <w:top w:val="single" w:color="auto" w:sz="4" w:space="0"/>
            </w:tcBorders>
            <w:shd w:val="clear" w:color="auto" w:fill="auto"/>
            <w:vAlign w:val="center"/>
          </w:tcPr>
          <w:p>
            <w:pPr>
              <w:spacing w:line="240" w:lineRule="auto"/>
              <w:ind w:firstLine="0" w:firstLineChars="0"/>
              <w:rPr>
                <w:bCs/>
                <w:sz w:val="21"/>
                <w:szCs w:val="21"/>
              </w:rPr>
            </w:pPr>
            <w:r>
              <w:rPr>
                <w:bCs/>
                <w:sz w:val="21"/>
                <w:szCs w:val="21"/>
              </w:rPr>
              <w:t>排土场进行分层碾压堆放，采用洒水车定期洒水；长期（如1个月以上）不使用时，对表层进行遮盖。</w:t>
            </w:r>
          </w:p>
        </w:tc>
        <w:tc>
          <w:tcPr>
            <w:tcW w:w="622" w:type="pct"/>
            <w:shd w:val="clear" w:color="auto" w:fill="auto"/>
            <w:vAlign w:val="center"/>
          </w:tcPr>
          <w:p>
            <w:pPr>
              <w:pStyle w:val="3238"/>
              <w:rPr>
                <w:b/>
              </w:rPr>
            </w:pPr>
            <w: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6" w:hRule="atLeast"/>
          <w:jc w:val="center"/>
        </w:trPr>
        <w:tc>
          <w:tcPr>
            <w:tcW w:w="390" w:type="pct"/>
            <w:vMerge w:val="restart"/>
            <w:shd w:val="clear" w:color="auto" w:fill="auto"/>
            <w:vAlign w:val="center"/>
          </w:tcPr>
          <w:p>
            <w:pPr>
              <w:pStyle w:val="3238"/>
              <w:rPr>
                <w:b/>
              </w:rPr>
            </w:pPr>
            <w:r>
              <w:t>废水</w:t>
            </w:r>
          </w:p>
        </w:tc>
        <w:tc>
          <w:tcPr>
            <w:tcW w:w="738" w:type="pct"/>
            <w:shd w:val="clear" w:color="auto" w:fill="auto"/>
            <w:vAlign w:val="center"/>
          </w:tcPr>
          <w:p>
            <w:pPr>
              <w:pStyle w:val="3238"/>
              <w:rPr>
                <w:b/>
              </w:rPr>
            </w:pPr>
            <w:r>
              <w:t>生产废水</w:t>
            </w:r>
          </w:p>
        </w:tc>
        <w:tc>
          <w:tcPr>
            <w:tcW w:w="3250" w:type="pct"/>
            <w:shd w:val="clear" w:color="auto" w:fill="auto"/>
            <w:vAlign w:val="center"/>
          </w:tcPr>
          <w:p>
            <w:pPr>
              <w:spacing w:line="240" w:lineRule="auto"/>
              <w:ind w:firstLine="0" w:firstLineChars="0"/>
              <w:rPr>
                <w:bCs/>
                <w:sz w:val="21"/>
                <w:szCs w:val="21"/>
              </w:rPr>
            </w:pPr>
            <w:r>
              <w:rPr>
                <w:bCs/>
                <w:sz w:val="21"/>
                <w:szCs w:val="21"/>
              </w:rPr>
              <w:t>在矿区与工业场地出口处各设置1处车辆冲洗点，对进出矿区的车辆进行冲洗，产生的车辆冲洗废水经沉淀池处理循环用于洗车或道路洒水，不外排。</w:t>
            </w:r>
          </w:p>
        </w:tc>
        <w:tc>
          <w:tcPr>
            <w:tcW w:w="622" w:type="pct"/>
            <w:tcBorders>
              <w:bottom w:val="single" w:color="auto" w:sz="4" w:space="0"/>
            </w:tcBorders>
            <w:shd w:val="clear" w:color="auto" w:fill="auto"/>
            <w:vAlign w:val="center"/>
          </w:tcPr>
          <w:p>
            <w:pPr>
              <w:pStyle w:val="3238"/>
              <w:rPr>
                <w:b/>
              </w:rPr>
            </w:pPr>
            <w: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390" w:type="pct"/>
            <w:vMerge w:val="continue"/>
            <w:shd w:val="clear" w:color="auto" w:fill="auto"/>
            <w:vAlign w:val="center"/>
          </w:tcPr>
          <w:p>
            <w:pPr>
              <w:pStyle w:val="3238"/>
            </w:pPr>
          </w:p>
        </w:tc>
        <w:tc>
          <w:tcPr>
            <w:tcW w:w="738" w:type="pct"/>
            <w:shd w:val="clear" w:color="auto" w:fill="auto"/>
            <w:vAlign w:val="center"/>
          </w:tcPr>
          <w:p>
            <w:pPr>
              <w:pStyle w:val="3238"/>
              <w:rPr>
                <w:b/>
              </w:rPr>
            </w:pPr>
            <w:r>
              <w:t>生活污水</w:t>
            </w:r>
          </w:p>
        </w:tc>
        <w:tc>
          <w:tcPr>
            <w:tcW w:w="3250" w:type="pct"/>
            <w:shd w:val="clear" w:color="auto" w:fill="auto"/>
            <w:vAlign w:val="center"/>
          </w:tcPr>
          <w:p>
            <w:pPr>
              <w:pStyle w:val="3238"/>
              <w:rPr>
                <w:b/>
              </w:rPr>
            </w:pPr>
            <w:r>
              <w:t>生活污水经化粪池收集（规模30m</w:t>
            </w:r>
            <w:r>
              <w:rPr>
                <w:vertAlign w:val="superscript"/>
              </w:rPr>
              <w:t>3</w:t>
            </w:r>
            <w:r>
              <w:t>/d）处理后用作农肥，不外排。</w:t>
            </w:r>
          </w:p>
        </w:tc>
        <w:tc>
          <w:tcPr>
            <w:tcW w:w="622" w:type="pct"/>
            <w:tcBorders>
              <w:top w:val="single" w:color="auto" w:sz="4" w:space="0"/>
              <w:bottom w:val="single" w:color="auto" w:sz="4" w:space="0"/>
            </w:tcBorders>
            <w:shd w:val="clear" w:color="auto" w:fill="auto"/>
            <w:vAlign w:val="center"/>
          </w:tcPr>
          <w:p>
            <w:pPr>
              <w:pStyle w:val="3238"/>
              <w:rPr>
                <w:b/>
              </w:rPr>
            </w:pPr>
            <w: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390" w:type="pct"/>
            <w:vMerge w:val="continue"/>
            <w:shd w:val="clear" w:color="auto" w:fill="auto"/>
            <w:vAlign w:val="center"/>
          </w:tcPr>
          <w:p>
            <w:pPr>
              <w:pStyle w:val="3238"/>
            </w:pPr>
          </w:p>
        </w:tc>
        <w:tc>
          <w:tcPr>
            <w:tcW w:w="738" w:type="pct"/>
            <w:shd w:val="clear" w:color="auto" w:fill="auto"/>
            <w:vAlign w:val="center"/>
          </w:tcPr>
          <w:p>
            <w:pPr>
              <w:pStyle w:val="3238"/>
              <w:rPr>
                <w:b/>
              </w:rPr>
            </w:pPr>
            <w:r>
              <w:t>场地雨水</w:t>
            </w:r>
          </w:p>
        </w:tc>
        <w:tc>
          <w:tcPr>
            <w:tcW w:w="3250" w:type="pct"/>
            <w:shd w:val="clear" w:color="auto" w:fill="auto"/>
            <w:vAlign w:val="center"/>
          </w:tcPr>
          <w:p>
            <w:pPr>
              <w:pStyle w:val="3238"/>
              <w:rPr>
                <w:b/>
              </w:rPr>
            </w:pPr>
            <w:bookmarkStart w:id="221" w:name="_Hlk93556168"/>
            <w:r>
              <w:rPr>
                <w:rFonts w:hint="eastAsia" w:ascii="宋体" w:hAnsi="宋体" w:cs="宋体"/>
              </w:rPr>
              <w:t>①</w:t>
            </w:r>
            <w:r>
              <w:t>在采区东侧、南侧、西侧设置排水沟，东北侧沟尾端设置1个沉砂池，初期雨水收集后经沉淀处理后外排。</w:t>
            </w:r>
          </w:p>
          <w:p>
            <w:pPr>
              <w:pStyle w:val="3238"/>
              <w:rPr>
                <w:b/>
              </w:rPr>
            </w:pPr>
            <w:r>
              <w:rPr>
                <w:rFonts w:hint="eastAsia" w:ascii="宋体" w:hAnsi="宋体" w:cs="宋体"/>
              </w:rPr>
              <w:t>②</w:t>
            </w:r>
            <w:r>
              <w:t>排土场四周均设置截排水沟，排土场下游设施挡墙，初期雨水经沉淀处理后汇入周边现有排洪沟排出。</w:t>
            </w:r>
            <w:bookmarkEnd w:id="221"/>
          </w:p>
        </w:tc>
        <w:tc>
          <w:tcPr>
            <w:tcW w:w="622" w:type="pct"/>
            <w:tcBorders>
              <w:top w:val="single" w:color="auto" w:sz="4" w:space="0"/>
            </w:tcBorders>
            <w:shd w:val="clear" w:color="auto" w:fill="auto"/>
            <w:vAlign w:val="center"/>
          </w:tcPr>
          <w:p>
            <w:pPr>
              <w:pStyle w:val="3238"/>
              <w:rPr>
                <w:b/>
              </w:rPr>
            </w:pPr>
            <w: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噪声</w:t>
            </w:r>
          </w:p>
        </w:tc>
        <w:tc>
          <w:tcPr>
            <w:tcW w:w="738" w:type="pct"/>
            <w:shd w:val="clear" w:color="auto" w:fill="auto"/>
            <w:vAlign w:val="center"/>
          </w:tcPr>
          <w:p>
            <w:pPr>
              <w:pStyle w:val="3238"/>
              <w:rPr>
                <w:b/>
              </w:rPr>
            </w:pPr>
            <w:r>
              <w:t>设备噪声</w:t>
            </w:r>
          </w:p>
        </w:tc>
        <w:tc>
          <w:tcPr>
            <w:tcW w:w="3250" w:type="pct"/>
            <w:shd w:val="clear" w:color="auto" w:fill="auto"/>
            <w:vAlign w:val="center"/>
          </w:tcPr>
          <w:p>
            <w:pPr>
              <w:pStyle w:val="3238"/>
              <w:rPr>
                <w:b/>
              </w:rPr>
            </w:pPr>
            <w:r>
              <w:t>开采设备加强保养，合理安排作业时间，充分依托矿区自然山体的阻挡降噪；工业场地加工设备置于生产厂房内，采取隔声、减振、消声等措施；合理安排生产和运输时间。</w:t>
            </w:r>
          </w:p>
        </w:tc>
        <w:tc>
          <w:tcPr>
            <w:tcW w:w="622" w:type="pct"/>
            <w:shd w:val="clear" w:color="auto" w:fill="auto"/>
            <w:vAlign w:val="center"/>
          </w:tcPr>
          <w:p>
            <w:pPr>
              <w:pStyle w:val="3238"/>
              <w:rPr>
                <w:b/>
              </w:rPr>
            </w:pPr>
            <w:r>
              <w:t>纳入工程投资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restart"/>
            <w:tcBorders>
              <w:top w:val="single" w:color="auto" w:sz="4" w:space="0"/>
            </w:tcBorders>
            <w:shd w:val="clear" w:color="auto" w:fill="auto"/>
            <w:vAlign w:val="center"/>
          </w:tcPr>
          <w:p>
            <w:pPr>
              <w:pStyle w:val="3238"/>
              <w:rPr>
                <w:b/>
              </w:rPr>
            </w:pPr>
            <w:r>
              <w:t>固废</w:t>
            </w:r>
          </w:p>
        </w:tc>
        <w:tc>
          <w:tcPr>
            <w:tcW w:w="738" w:type="pct"/>
            <w:tcBorders>
              <w:top w:val="single" w:color="auto" w:sz="4" w:space="0"/>
            </w:tcBorders>
            <w:shd w:val="clear" w:color="auto" w:fill="auto"/>
            <w:vAlign w:val="center"/>
          </w:tcPr>
          <w:p>
            <w:pPr>
              <w:pStyle w:val="3238"/>
              <w:rPr>
                <w:b/>
              </w:rPr>
            </w:pPr>
            <w:r>
              <w:t>沉淀污泥</w:t>
            </w:r>
          </w:p>
        </w:tc>
        <w:tc>
          <w:tcPr>
            <w:tcW w:w="3250" w:type="pct"/>
            <w:shd w:val="clear" w:color="auto" w:fill="auto"/>
            <w:vAlign w:val="center"/>
          </w:tcPr>
          <w:p>
            <w:pPr>
              <w:pStyle w:val="3238"/>
              <w:rPr>
                <w:b/>
              </w:rPr>
            </w:pPr>
            <w:r>
              <w:t>沉淀池内清掏的污泥，作为矿区复垦绿化使用。</w:t>
            </w:r>
          </w:p>
        </w:tc>
        <w:tc>
          <w:tcPr>
            <w:tcW w:w="622" w:type="pct"/>
            <w:tcBorders>
              <w:bottom w:val="single" w:color="auto" w:sz="4" w:space="0"/>
            </w:tcBorders>
            <w:shd w:val="clear" w:color="auto" w:fill="auto"/>
            <w:vAlign w:val="center"/>
          </w:tcPr>
          <w:p>
            <w:pPr>
              <w:pStyle w:val="3238"/>
              <w:rPr>
                <w:b/>
              </w:rPr>
            </w:pPr>
            <w: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continue"/>
            <w:shd w:val="clear" w:color="auto" w:fill="auto"/>
            <w:vAlign w:val="center"/>
          </w:tcPr>
          <w:p>
            <w:pPr>
              <w:pStyle w:val="3238"/>
            </w:pPr>
          </w:p>
        </w:tc>
        <w:tc>
          <w:tcPr>
            <w:tcW w:w="738" w:type="pct"/>
            <w:tcBorders>
              <w:top w:val="single" w:color="auto" w:sz="4" w:space="0"/>
            </w:tcBorders>
            <w:shd w:val="clear" w:color="auto" w:fill="auto"/>
            <w:vAlign w:val="center"/>
          </w:tcPr>
          <w:p>
            <w:pPr>
              <w:pStyle w:val="3238"/>
              <w:rPr>
                <w:b/>
              </w:rPr>
            </w:pPr>
            <w:r>
              <w:t>含油废物（废润滑油、含油棉纱手套）</w:t>
            </w:r>
          </w:p>
        </w:tc>
        <w:tc>
          <w:tcPr>
            <w:tcW w:w="3250" w:type="pct"/>
            <w:shd w:val="clear" w:color="auto" w:fill="auto"/>
            <w:vAlign w:val="center"/>
          </w:tcPr>
          <w:p>
            <w:pPr>
              <w:pStyle w:val="3238"/>
              <w:rPr>
                <w:b/>
              </w:rPr>
            </w:pPr>
            <w:r>
              <w:t>在工业场地设置面积10m</w:t>
            </w:r>
            <w:r>
              <w:rPr>
                <w:vertAlign w:val="superscript"/>
              </w:rPr>
              <w:t>2</w:t>
            </w:r>
            <w:r>
              <w:t>危险废物贮存间，废润滑油、含油棉纱等采用专用带盖的收集桶收集，定期交有资质单位处置</w:t>
            </w:r>
          </w:p>
        </w:tc>
        <w:tc>
          <w:tcPr>
            <w:tcW w:w="622" w:type="pct"/>
            <w:tcBorders>
              <w:top w:val="single" w:color="auto" w:sz="4" w:space="0"/>
              <w:bottom w:val="single" w:color="auto" w:sz="4" w:space="0"/>
            </w:tcBorders>
            <w:shd w:val="clear" w:color="auto" w:fill="auto"/>
            <w:vAlign w:val="center"/>
          </w:tcPr>
          <w:p>
            <w:pPr>
              <w:pStyle w:val="3238"/>
              <w:rPr>
                <w:b/>
              </w:rPr>
            </w:pPr>
            <w: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continue"/>
            <w:shd w:val="clear" w:color="auto" w:fill="auto"/>
            <w:vAlign w:val="center"/>
          </w:tcPr>
          <w:p>
            <w:pPr>
              <w:pStyle w:val="3238"/>
            </w:pPr>
          </w:p>
        </w:tc>
        <w:tc>
          <w:tcPr>
            <w:tcW w:w="738" w:type="pct"/>
            <w:tcBorders>
              <w:top w:val="single" w:color="auto" w:sz="4" w:space="0"/>
              <w:bottom w:val="single" w:color="auto" w:sz="4" w:space="0"/>
            </w:tcBorders>
            <w:shd w:val="clear" w:color="auto" w:fill="auto"/>
            <w:vAlign w:val="center"/>
          </w:tcPr>
          <w:p>
            <w:pPr>
              <w:pStyle w:val="3238"/>
              <w:rPr>
                <w:b/>
              </w:rPr>
            </w:pPr>
            <w:r>
              <w:t>生活垃圾</w:t>
            </w:r>
          </w:p>
        </w:tc>
        <w:tc>
          <w:tcPr>
            <w:tcW w:w="3250" w:type="pct"/>
            <w:shd w:val="clear" w:color="auto" w:fill="auto"/>
            <w:vAlign w:val="center"/>
          </w:tcPr>
          <w:p>
            <w:pPr>
              <w:pStyle w:val="3238"/>
              <w:rPr>
                <w:b/>
              </w:rPr>
            </w:pPr>
            <w:r>
              <w:rPr>
                <w:lang w:bidi="en-US"/>
              </w:rPr>
              <w:t>生活办公区内设置垃圾收集桶，定期交环卫部门处置</w:t>
            </w:r>
          </w:p>
        </w:tc>
        <w:tc>
          <w:tcPr>
            <w:tcW w:w="622" w:type="pct"/>
            <w:tcBorders>
              <w:top w:val="single" w:color="auto" w:sz="4" w:space="0"/>
            </w:tcBorders>
            <w:shd w:val="clear" w:color="auto" w:fill="auto"/>
            <w:vAlign w:val="center"/>
          </w:tcPr>
          <w:p>
            <w:pPr>
              <w:pStyle w:val="3238"/>
              <w:rPr>
                <w:b/>
              </w:rPr>
            </w:pPr>
            <w: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环境风险</w:t>
            </w:r>
          </w:p>
        </w:tc>
        <w:tc>
          <w:tcPr>
            <w:tcW w:w="738" w:type="pct"/>
            <w:tcBorders>
              <w:top w:val="single" w:color="auto" w:sz="4" w:space="0"/>
              <w:bottom w:val="single" w:color="auto" w:sz="4" w:space="0"/>
            </w:tcBorders>
            <w:shd w:val="clear" w:color="auto" w:fill="auto"/>
            <w:vAlign w:val="center"/>
          </w:tcPr>
          <w:p>
            <w:pPr>
              <w:pStyle w:val="3238"/>
              <w:rPr>
                <w:b/>
              </w:rPr>
            </w:pPr>
            <w:r>
              <w:t>油类泄漏</w:t>
            </w:r>
          </w:p>
        </w:tc>
        <w:tc>
          <w:tcPr>
            <w:tcW w:w="3250" w:type="pct"/>
            <w:shd w:val="clear" w:color="auto" w:fill="auto"/>
            <w:vAlign w:val="center"/>
          </w:tcPr>
          <w:p>
            <w:pPr>
              <w:pStyle w:val="3238"/>
              <w:rPr>
                <w:b/>
                <w:lang w:bidi="en-US"/>
              </w:rPr>
            </w:pPr>
            <w:r>
              <w:t>柴油罐区基础作防渗，采用双层罐，为地埋式，柴油罐区外围设置警示标志，严禁烟火。柴油罐区设置消防灭火装置（配备灭火器、灭火沙等）。</w:t>
            </w:r>
            <w:r>
              <w:rPr>
                <w:lang w:bidi="en-US"/>
              </w:rPr>
              <w:t>润滑油储存于铁桶内、废油储存于带盖油桶内，并将润滑油桶及废油收集桶置于防渗托盘上；危险废物贮存间采取“四防”措施，并加强管理加强职工安全环保教育，增强操作工人的责任心，防止和减少因人为因素造成的事故，同时也要加强防火安全教育</w:t>
            </w:r>
          </w:p>
        </w:tc>
        <w:tc>
          <w:tcPr>
            <w:tcW w:w="622" w:type="pct"/>
            <w:shd w:val="clear" w:color="auto" w:fill="auto"/>
            <w:vAlign w:val="center"/>
          </w:tcPr>
          <w:p>
            <w:pPr>
              <w:pStyle w:val="3238"/>
              <w:rPr>
                <w:b/>
              </w:rPr>
            </w:pPr>
            <w: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rPr>
                <w:b/>
              </w:rPr>
            </w:pPr>
            <w:r>
              <w:t>生态治理</w:t>
            </w:r>
          </w:p>
        </w:tc>
        <w:tc>
          <w:tcPr>
            <w:tcW w:w="738" w:type="pct"/>
            <w:tcBorders>
              <w:top w:val="single" w:color="auto" w:sz="4" w:space="0"/>
              <w:bottom w:val="single" w:color="auto" w:sz="4" w:space="0"/>
            </w:tcBorders>
            <w:shd w:val="clear" w:color="auto" w:fill="auto"/>
            <w:vAlign w:val="center"/>
          </w:tcPr>
          <w:p>
            <w:pPr>
              <w:pStyle w:val="3238"/>
              <w:rPr>
                <w:b/>
              </w:rPr>
            </w:pPr>
            <w:r>
              <w:t>开采区</w:t>
            </w:r>
          </w:p>
        </w:tc>
        <w:tc>
          <w:tcPr>
            <w:tcW w:w="3250" w:type="pct"/>
            <w:shd w:val="clear" w:color="auto" w:fill="auto"/>
            <w:vAlign w:val="center"/>
          </w:tcPr>
          <w:p>
            <w:pPr>
              <w:pStyle w:val="3238"/>
              <w:rPr>
                <w:b/>
              </w:rPr>
            </w:pPr>
            <w:r>
              <w:rPr>
                <w:lang w:bidi="en-US"/>
              </w:rPr>
              <w:t>项目开采严格按开发利用方案开采，采取“边开采、边恢复”的生产方式，即一个台阶开采完后，及时进行覆土、平整及植被恢复。</w:t>
            </w:r>
            <w:r>
              <w:rPr>
                <w:rStyle w:val="198"/>
                <w:rFonts w:hint="default" w:ascii="Times New Roman" w:hAnsi="Times New Roman"/>
                <w:color w:val="auto"/>
                <w:sz w:val="21"/>
                <w:szCs w:val="21"/>
              </w:rPr>
              <w:t>复垦土壤来</w:t>
            </w:r>
            <w:r>
              <w:rPr>
                <w:lang w:bidi="en-US"/>
              </w:rPr>
              <w:t>自剥离土，平台植被恢复种植刺桐等乔木绿化台阶，边坡种植藤蔓类植物（如爬山虎、地瓜藤）绿化坡面。采区东侧、</w:t>
            </w:r>
            <w:r>
              <w:t>南侧、西侧设置排水沟，东北侧沟尾端设置1个沉砂池。</w:t>
            </w:r>
          </w:p>
        </w:tc>
        <w:tc>
          <w:tcPr>
            <w:tcW w:w="622" w:type="pct"/>
            <w:shd w:val="clear" w:color="auto" w:fill="auto"/>
            <w:vAlign w:val="center"/>
          </w:tcPr>
          <w:p>
            <w:pPr>
              <w:pStyle w:val="3238"/>
              <w:rPr>
                <w:b/>
              </w:rPr>
            </w:pPr>
            <w:r>
              <w:t>纳入工程投资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shd w:val="clear" w:color="auto" w:fill="auto"/>
            <w:vAlign w:val="center"/>
          </w:tcPr>
          <w:p>
            <w:pPr>
              <w:pStyle w:val="3238"/>
            </w:pPr>
            <w:r>
              <w:t>三</w:t>
            </w:r>
          </w:p>
        </w:tc>
        <w:tc>
          <w:tcPr>
            <w:tcW w:w="4610" w:type="pct"/>
            <w:gridSpan w:val="3"/>
            <w:tcBorders>
              <w:top w:val="single" w:color="auto" w:sz="4" w:space="0"/>
              <w:bottom w:val="single" w:color="auto" w:sz="4" w:space="0"/>
            </w:tcBorders>
            <w:shd w:val="clear" w:color="auto" w:fill="auto"/>
            <w:vAlign w:val="center"/>
          </w:tcPr>
          <w:p>
            <w:pPr>
              <w:pStyle w:val="3238"/>
              <w:rPr>
                <w:b/>
              </w:rPr>
            </w:pPr>
            <w:r>
              <w:t>闭矿期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restart"/>
            <w:shd w:val="clear" w:color="auto" w:fill="auto"/>
            <w:vAlign w:val="center"/>
          </w:tcPr>
          <w:p>
            <w:pPr>
              <w:pStyle w:val="3238"/>
              <w:rPr>
                <w:b/>
              </w:rPr>
            </w:pPr>
            <w:r>
              <w:t>生态环境</w:t>
            </w:r>
          </w:p>
        </w:tc>
        <w:tc>
          <w:tcPr>
            <w:tcW w:w="738" w:type="pct"/>
            <w:tcBorders>
              <w:top w:val="single" w:color="auto" w:sz="4" w:space="0"/>
              <w:bottom w:val="single" w:color="auto" w:sz="4" w:space="0"/>
            </w:tcBorders>
            <w:shd w:val="clear" w:color="auto" w:fill="auto"/>
            <w:vAlign w:val="center"/>
          </w:tcPr>
          <w:p>
            <w:pPr>
              <w:pStyle w:val="3238"/>
              <w:rPr>
                <w:b/>
              </w:rPr>
            </w:pPr>
            <w:r>
              <w:t>拆除清理</w:t>
            </w:r>
          </w:p>
        </w:tc>
        <w:tc>
          <w:tcPr>
            <w:tcW w:w="3250" w:type="pct"/>
            <w:shd w:val="clear" w:color="auto" w:fill="auto"/>
            <w:vAlign w:val="center"/>
          </w:tcPr>
          <w:p>
            <w:pPr>
              <w:pStyle w:val="3238"/>
              <w:rPr>
                <w:b/>
                <w:lang w:bidi="en-US"/>
              </w:rPr>
            </w:pPr>
            <w:r>
              <w:rPr>
                <w:kern w:val="0"/>
                <w:lang w:bidi="en-US"/>
              </w:rPr>
              <w:t>根据</w:t>
            </w:r>
            <w:r>
              <w:t>《重庆峰磊矿业有限公司</w:t>
            </w:r>
            <w:r>
              <w:rPr>
                <w:lang w:bidi="en-US"/>
              </w:rPr>
              <w:t>合川区盐井街道观音村五社建筑石料用灰岩矿矿产资源开发利用与地质环境恢复治理和土地复垦方案</w:t>
            </w:r>
            <w:r>
              <w:t>》，</w:t>
            </w:r>
            <w:r>
              <w:rPr>
                <w:lang w:bidi="en-US"/>
              </w:rPr>
              <w:t>项目闭矿期</w:t>
            </w:r>
            <w:r>
              <w:rPr>
                <w:kern w:val="0"/>
                <w:lang w:bidi="en-US"/>
              </w:rPr>
              <w:t>拆除工业场地和办公生活区的建（构）筑物</w:t>
            </w:r>
            <w:r>
              <w:rPr>
                <w:lang w:bidi="en-US"/>
              </w:rPr>
              <w:t>和设备等，清除建筑垃圾，平整</w:t>
            </w:r>
            <w:r>
              <w:rPr>
                <w:kern w:val="0"/>
                <w:lang w:bidi="en-US"/>
              </w:rPr>
              <w:t>工业场地</w:t>
            </w:r>
            <w:r>
              <w:rPr>
                <w:lang w:bidi="en-US"/>
              </w:rPr>
              <w:t>，平整后进行覆土，办公生活区恢复为林地，</w:t>
            </w:r>
            <w:r>
              <w:rPr>
                <w:kern w:val="0"/>
                <w:lang w:bidi="en-US"/>
              </w:rPr>
              <w:t>工业场地</w:t>
            </w:r>
            <w:r>
              <w:rPr>
                <w:lang w:bidi="en-US"/>
              </w:rPr>
              <w:t>恢复成旱地或林地，场地内栽植灌木或乔木，同时播撒草籽。</w:t>
            </w:r>
          </w:p>
        </w:tc>
        <w:tc>
          <w:tcPr>
            <w:tcW w:w="622" w:type="pct"/>
            <w:tcBorders>
              <w:bottom w:val="single" w:color="auto" w:sz="4" w:space="0"/>
            </w:tcBorders>
            <w:shd w:val="clear" w:color="auto" w:fill="auto"/>
            <w:vAlign w:val="center"/>
          </w:tcPr>
          <w:p>
            <w:pPr>
              <w:pStyle w:val="3238"/>
              <w:rPr>
                <w:b/>
              </w:rPr>
            </w:pPr>
            <w: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continue"/>
            <w:shd w:val="clear" w:color="auto" w:fill="auto"/>
            <w:vAlign w:val="center"/>
          </w:tcPr>
          <w:p>
            <w:pPr>
              <w:pStyle w:val="3238"/>
            </w:pPr>
          </w:p>
        </w:tc>
        <w:tc>
          <w:tcPr>
            <w:tcW w:w="738" w:type="pct"/>
            <w:tcBorders>
              <w:top w:val="single" w:color="auto" w:sz="4" w:space="0"/>
              <w:bottom w:val="single" w:color="auto" w:sz="4" w:space="0"/>
            </w:tcBorders>
            <w:shd w:val="clear" w:color="auto" w:fill="auto"/>
            <w:vAlign w:val="center"/>
          </w:tcPr>
          <w:p>
            <w:pPr>
              <w:pStyle w:val="3238"/>
              <w:rPr>
                <w:b/>
              </w:rPr>
            </w:pPr>
            <w:r>
              <w:t>植被恢复</w:t>
            </w:r>
          </w:p>
        </w:tc>
        <w:tc>
          <w:tcPr>
            <w:tcW w:w="3250" w:type="pct"/>
            <w:shd w:val="clear" w:color="auto" w:fill="auto"/>
            <w:vAlign w:val="center"/>
          </w:tcPr>
          <w:p>
            <w:pPr>
              <w:pStyle w:val="3238"/>
              <w:rPr>
                <w:b/>
                <w:lang w:bidi="en-US"/>
              </w:rPr>
            </w:pPr>
            <w:r>
              <w:rPr>
                <w:lang w:bidi="en-US"/>
              </w:rPr>
              <w:t>根据《重庆峰磊矿业有限公司合川区盐井街道观音村五社建筑石料用灰岩矿矿产资源开发利用与地质环境恢复治理和土地复垦方案》，闭矿期对开采区和工业场地进行土地复垦和生态恢复，终了底盘整体平场后、弃渣场以及</w:t>
            </w:r>
            <w:r>
              <w:rPr>
                <w:kern w:val="0"/>
                <w:lang w:bidi="en-US"/>
              </w:rPr>
              <w:t>工业场地</w:t>
            </w:r>
            <w:r>
              <w:rPr>
                <w:lang w:bidi="en-US"/>
              </w:rPr>
              <w:t>区域修复为旱地，覆土厚度为0.5m；弃渣场、边坡、安全平台、防滚石平台、清扫平台、边坡等修复为林地，采用灌草结合方式。</w:t>
            </w:r>
          </w:p>
        </w:tc>
        <w:tc>
          <w:tcPr>
            <w:tcW w:w="622" w:type="pct"/>
            <w:tcBorders>
              <w:top w:val="single" w:color="auto" w:sz="4" w:space="0"/>
              <w:bottom w:val="single" w:color="auto" w:sz="4" w:space="0"/>
            </w:tcBorders>
            <w:shd w:val="clear" w:color="auto" w:fill="auto"/>
            <w:vAlign w:val="center"/>
          </w:tcPr>
          <w:p>
            <w:pPr>
              <w:pStyle w:val="3238"/>
              <w:rPr>
                <w:b/>
              </w:rPr>
            </w:pPr>
            <w: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90" w:type="pct"/>
            <w:vMerge w:val="continue"/>
            <w:shd w:val="clear" w:color="auto" w:fill="auto"/>
            <w:vAlign w:val="center"/>
          </w:tcPr>
          <w:p>
            <w:pPr>
              <w:pStyle w:val="3238"/>
            </w:pPr>
          </w:p>
        </w:tc>
        <w:tc>
          <w:tcPr>
            <w:tcW w:w="738" w:type="pct"/>
            <w:tcBorders>
              <w:top w:val="single" w:color="auto" w:sz="4" w:space="0"/>
              <w:bottom w:val="single" w:color="auto" w:sz="4" w:space="0"/>
            </w:tcBorders>
            <w:shd w:val="clear" w:color="auto" w:fill="auto"/>
            <w:vAlign w:val="center"/>
          </w:tcPr>
          <w:p>
            <w:pPr>
              <w:pStyle w:val="3238"/>
              <w:rPr>
                <w:b/>
              </w:rPr>
            </w:pPr>
            <w:r>
              <w:t>其他</w:t>
            </w:r>
          </w:p>
        </w:tc>
        <w:tc>
          <w:tcPr>
            <w:tcW w:w="3250" w:type="pct"/>
            <w:shd w:val="clear" w:color="auto" w:fill="auto"/>
            <w:vAlign w:val="center"/>
          </w:tcPr>
          <w:p>
            <w:pPr>
              <w:pStyle w:val="3238"/>
              <w:rPr>
                <w:b/>
                <w:lang w:bidi="en-US"/>
              </w:rPr>
            </w:pPr>
            <w:r>
              <w:rPr>
                <w:lang w:bidi="en-US"/>
              </w:rPr>
              <w:t>严格落实《水土保持方案》、《重庆峰磊矿业有限公司合川区盐井街道观音村五社建筑石料用灰岩矿矿产资源开发利用与地质环境恢复治理和土地复垦方案》提出的水土保持措施和矿山地质环境保护与恢复治理措施。</w:t>
            </w:r>
          </w:p>
        </w:tc>
        <w:tc>
          <w:tcPr>
            <w:tcW w:w="622" w:type="pct"/>
            <w:tcBorders>
              <w:top w:val="single" w:color="auto" w:sz="4" w:space="0"/>
            </w:tcBorders>
            <w:shd w:val="clear" w:color="auto" w:fill="auto"/>
            <w:vAlign w:val="center"/>
          </w:tcPr>
          <w:p>
            <w:pPr>
              <w:pStyle w:val="3238"/>
              <w:rPr>
                <w:b/>
              </w:rPr>
            </w:pPr>
            <w: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78" w:type="pct"/>
            <w:gridSpan w:val="3"/>
            <w:shd w:val="clear" w:color="auto" w:fill="auto"/>
            <w:vAlign w:val="center"/>
          </w:tcPr>
          <w:p>
            <w:pPr>
              <w:pStyle w:val="3238"/>
              <w:rPr>
                <w:b/>
                <w:lang w:bidi="en-US"/>
              </w:rPr>
            </w:pPr>
            <w:r>
              <w:rPr>
                <w:lang w:bidi="en-US"/>
              </w:rPr>
              <w:t>合计</w:t>
            </w:r>
          </w:p>
        </w:tc>
        <w:tc>
          <w:tcPr>
            <w:tcW w:w="622" w:type="pct"/>
            <w:shd w:val="clear" w:color="auto" w:fill="auto"/>
            <w:vAlign w:val="center"/>
          </w:tcPr>
          <w:p>
            <w:pPr>
              <w:pStyle w:val="3238"/>
              <w:rPr>
                <w:b/>
              </w:rPr>
            </w:pPr>
            <w:r>
              <w:t>114</w:t>
            </w:r>
          </w:p>
        </w:tc>
      </w:tr>
    </w:tbl>
    <w:p>
      <w:pPr>
        <w:ind w:left="520" w:firstLine="0" w:firstLineChars="0"/>
      </w:pPr>
    </w:p>
    <w:p>
      <w:pPr>
        <w:ind w:firstLine="520"/>
      </w:pPr>
    </w:p>
    <w:p>
      <w:pPr>
        <w:ind w:firstLine="520"/>
      </w:pPr>
    </w:p>
    <w:p>
      <w:pPr>
        <w:pStyle w:val="222"/>
        <w:sectPr>
          <w:pgSz w:w="11907" w:h="16840"/>
          <w:pgMar w:top="1588" w:right="1418" w:bottom="1366" w:left="1418" w:header="851" w:footer="992" w:gutter="0"/>
          <w:cols w:space="425" w:num="1"/>
          <w:docGrid w:linePitch="312" w:charSpace="0"/>
        </w:sectPr>
      </w:pPr>
    </w:p>
    <w:p>
      <w:pPr>
        <w:pStyle w:val="3"/>
        <w:numPr>
          <w:ilvl w:val="0"/>
          <w:numId w:val="0"/>
        </w:numPr>
        <w:spacing w:before="240" w:after="240"/>
      </w:pPr>
      <w:bookmarkStart w:id="222" w:name="_Toc161676132"/>
      <w:bookmarkStart w:id="223" w:name="_TOC_250005"/>
      <w:r>
        <w:t>9环境影响经济损益分析</w:t>
      </w:r>
      <w:bookmarkEnd w:id="222"/>
    </w:p>
    <w:p>
      <w:pPr>
        <w:pStyle w:val="222"/>
      </w:pPr>
      <w:r>
        <w:t>环境经济损益分析是建设项目环境影响评价的一个重要组成部分，是综合评价、判断建设项目的环保投资是否能够补偿或多大程度上补偿由于污染造成环境损失的重要依据。环境经济损益分析除了需计算用于治理、控制污染所需的投资和费用外，还要同时核算可能收到的经济效益和社会效益。</w:t>
      </w:r>
    </w:p>
    <w:p>
      <w:pPr>
        <w:pStyle w:val="222"/>
      </w:pPr>
      <w:r>
        <w:t>环境经济损益分析的主要任务是衡量建设项目环保投资及所能收到的环境保护效果，通过环保设施技术可行性和经济合理性的论证分析及评价，更合理地选择环保设施，从而促进建设项目更好地实现环境</w:t>
      </w:r>
      <w:bookmarkStart w:id="224" w:name="_Toc64632784"/>
      <w:bookmarkStart w:id="225" w:name="_Toc86839101"/>
      <w:bookmarkStart w:id="226" w:name="_Toc151813065"/>
      <w:bookmarkStart w:id="227" w:name="_Toc53311894"/>
      <w:bookmarkStart w:id="228" w:name="_Toc191742831"/>
      <w:bookmarkStart w:id="229" w:name="_Toc196044885"/>
      <w:r>
        <w:t>效益、经济效益与社会效</w:t>
      </w:r>
      <w:bookmarkEnd w:id="224"/>
      <w:bookmarkEnd w:id="225"/>
      <w:bookmarkEnd w:id="226"/>
      <w:bookmarkEnd w:id="227"/>
      <w:bookmarkEnd w:id="228"/>
      <w:bookmarkEnd w:id="229"/>
      <w:r>
        <w:t>益的统一。</w:t>
      </w:r>
    </w:p>
    <w:p>
      <w:pPr>
        <w:pStyle w:val="4"/>
      </w:pPr>
      <w:bookmarkStart w:id="230" w:name="_Toc161676133"/>
      <w:r>
        <w:t>9.1环境保护投资估算</w:t>
      </w:r>
      <w:bookmarkEnd w:id="230"/>
    </w:p>
    <w:p>
      <w:pPr>
        <w:pStyle w:val="5"/>
        <w:rPr>
          <w:color w:val="auto"/>
        </w:rPr>
      </w:pPr>
      <w:r>
        <w:rPr>
          <w:color w:val="auto"/>
        </w:rPr>
        <w:t>9.1.1环境保护投资</w:t>
      </w:r>
    </w:p>
    <w:p>
      <w:pPr>
        <w:pStyle w:val="222"/>
      </w:pPr>
      <w:r>
        <w:t>为了加强建设项目的环境管理，防治生态破坏和环境污染，减轻或防止环境质量下降，建设项目的环保投资必须执行“三同时”。本项目的环保投资114万元，占总投资的22.4%。</w:t>
      </w:r>
    </w:p>
    <w:p>
      <w:pPr>
        <w:pStyle w:val="5"/>
        <w:rPr>
          <w:color w:val="auto"/>
        </w:rPr>
      </w:pPr>
      <w:r>
        <w:rPr>
          <w:color w:val="auto"/>
        </w:rPr>
        <w:t>9.1.2环境运行费用</w:t>
      </w:r>
    </w:p>
    <w:p>
      <w:pPr>
        <w:pStyle w:val="222"/>
      </w:pPr>
      <w:r>
        <w:t>运行费用是为了充分发挥治理设施效率，保障其正常运行而发生的费用，主要包括人工费、水电费、维护保养费、管理费等，本次环评估算运行费用为5万元/年，按开采年限3年计算，环保投资运行费用为15万元。</w:t>
      </w:r>
    </w:p>
    <w:p>
      <w:pPr>
        <w:pStyle w:val="5"/>
        <w:rPr>
          <w:color w:val="auto"/>
        </w:rPr>
      </w:pPr>
      <w:r>
        <w:rPr>
          <w:color w:val="auto"/>
        </w:rPr>
        <w:t>9.1.3环保总费用</w:t>
      </w:r>
    </w:p>
    <w:p>
      <w:pPr>
        <w:spacing w:line="460" w:lineRule="exact"/>
        <w:ind w:firstLine="480"/>
        <w:jc w:val="both"/>
        <w:rPr>
          <w:sz w:val="24"/>
          <w:szCs w:val="24"/>
        </w:rPr>
      </w:pPr>
      <w:r>
        <w:rPr>
          <w:sz w:val="24"/>
          <w:szCs w:val="24"/>
        </w:rPr>
        <w:t>项目环保投资为114万元，</w:t>
      </w:r>
      <w:r>
        <w:rPr>
          <w:kern w:val="0"/>
          <w:sz w:val="24"/>
          <w:szCs w:val="24"/>
        </w:rPr>
        <w:t>按使用年限3年计算，矿山环保投资为38万元/年，</w:t>
      </w:r>
      <w:r>
        <w:rPr>
          <w:sz w:val="24"/>
          <w:szCs w:val="24"/>
        </w:rPr>
        <w:t>项目年运行费用为5万元，年环保费用为43万元。</w:t>
      </w:r>
    </w:p>
    <w:p>
      <w:pPr>
        <w:spacing w:line="460" w:lineRule="exact"/>
        <w:ind w:firstLine="480"/>
        <w:jc w:val="both"/>
        <w:rPr>
          <w:sz w:val="24"/>
          <w:szCs w:val="24"/>
        </w:rPr>
      </w:pPr>
      <w:r>
        <w:rPr>
          <w:sz w:val="24"/>
          <w:szCs w:val="24"/>
        </w:rPr>
        <w:t>根据本项目的开发利用方案，项目运行后年利润约为760万元，年环保费用占全年利润的比例约为5.7%。</w:t>
      </w:r>
    </w:p>
    <w:p>
      <w:pPr>
        <w:pStyle w:val="4"/>
      </w:pPr>
      <w:bookmarkStart w:id="231" w:name="_Toc161676134"/>
      <w:r>
        <w:t>9.2环境效益分析</w:t>
      </w:r>
      <w:bookmarkEnd w:id="231"/>
    </w:p>
    <w:p>
      <w:pPr>
        <w:pStyle w:val="222"/>
      </w:pPr>
      <w:r>
        <w:t>若本工程生产在不采取任何环保措施的情况下，环境污染损失主要表现在污染排放对生态环境和生活环境所造成的损失，同时也对人群健康带来一定影响。</w:t>
      </w:r>
    </w:p>
    <w:p>
      <w:pPr>
        <w:pStyle w:val="222"/>
      </w:pPr>
      <w:r>
        <w:t>矿山开采项目建设不可避免的局部改变原有的地形地貌，破坏植被；开采期对评价范围内的土壤特性和植被生长也会造成一定程度的影响，每年产生的固体废物将增加占地面积。如果不采取防治措施，会造成严重的人为水土流失，引发地质灾害，破坏原有的生态环境。场地废水、生活污水和地面扬尘等，如不进行治理直接排放进入周围水体和大气环境，将会对周围水环境、区域大气环境造成污染，而为保证环境质量不致下降，需要投入大量的经费，付出很大的代价。</w:t>
      </w:r>
    </w:p>
    <w:p>
      <w:pPr>
        <w:pStyle w:val="222"/>
      </w:pPr>
      <w:r>
        <w:t>污染对人体健康影响及其导致的劳动力丧失的价值，包括由环境污染引起的疾病，劳动者在患病期间净产值的损失以及医疗保健部门用于治疗因环境污染而患病的人员开支等。</w:t>
      </w:r>
    </w:p>
    <w:p>
      <w:pPr>
        <w:pStyle w:val="4"/>
      </w:pPr>
      <w:bookmarkStart w:id="232" w:name="_Toc161676135"/>
      <w:r>
        <w:t>9.3经济效益分析</w:t>
      </w:r>
      <w:bookmarkEnd w:id="232"/>
    </w:p>
    <w:p>
      <w:pPr>
        <w:pStyle w:val="5"/>
        <w:rPr>
          <w:color w:val="auto"/>
        </w:rPr>
      </w:pPr>
      <w:r>
        <w:rPr>
          <w:color w:val="auto"/>
        </w:rPr>
        <w:t>9.3.1直接经济效益</w:t>
      </w:r>
    </w:p>
    <w:p>
      <w:pPr>
        <w:spacing w:line="360" w:lineRule="auto"/>
        <w:ind w:firstLine="480"/>
        <w:rPr>
          <w:sz w:val="24"/>
          <w:szCs w:val="21"/>
        </w:rPr>
      </w:pPr>
      <w:r>
        <w:rPr>
          <w:sz w:val="24"/>
          <w:szCs w:val="21"/>
        </w:rPr>
        <w:t>项目总投资500万元，建成投产后预计年均利润额约为760万元，其抗风险能力和市场竞争能力较强，在经济上是可行的。</w:t>
      </w:r>
    </w:p>
    <w:p>
      <w:pPr>
        <w:pStyle w:val="5"/>
        <w:rPr>
          <w:color w:val="auto"/>
        </w:rPr>
      </w:pPr>
      <w:r>
        <w:rPr>
          <w:color w:val="auto"/>
        </w:rPr>
        <w:t>9.3.2间接经济效益</w:t>
      </w:r>
    </w:p>
    <w:p>
      <w:pPr>
        <w:spacing w:line="360" w:lineRule="auto"/>
        <w:ind w:firstLine="480"/>
        <w:jc w:val="both"/>
        <w:rPr>
          <w:sz w:val="24"/>
          <w:szCs w:val="21"/>
        </w:rPr>
      </w:pPr>
      <w:r>
        <w:rPr>
          <w:sz w:val="24"/>
          <w:szCs w:val="21"/>
        </w:rPr>
        <w:t>（1）工程</w:t>
      </w:r>
      <w:r>
        <w:rPr>
          <w:sz w:val="24"/>
        </w:rPr>
        <w:t>建设</w:t>
      </w:r>
      <w:r>
        <w:rPr>
          <w:sz w:val="24"/>
          <w:szCs w:val="21"/>
        </w:rPr>
        <w:t>期，需要一定劳动力，除带动地方经济的发展，提供了部分人口临时就业机会，同时也增加了农村剩余劳动力的额外收入。</w:t>
      </w:r>
    </w:p>
    <w:p>
      <w:pPr>
        <w:spacing w:line="360" w:lineRule="auto"/>
        <w:ind w:firstLine="480"/>
        <w:jc w:val="both"/>
        <w:rPr>
          <w:sz w:val="24"/>
          <w:szCs w:val="21"/>
        </w:rPr>
      </w:pPr>
      <w:r>
        <w:rPr>
          <w:sz w:val="24"/>
          <w:szCs w:val="21"/>
        </w:rPr>
        <w:t>（2）</w:t>
      </w:r>
      <w:r>
        <w:rPr>
          <w:sz w:val="24"/>
        </w:rPr>
        <w:t>工程施工</w:t>
      </w:r>
      <w:r>
        <w:rPr>
          <w:sz w:val="24"/>
          <w:szCs w:val="21"/>
        </w:rPr>
        <w:t>期需要大量的机具和建材，可带动地方机械业、建材业、运输业等行业的发展。</w:t>
      </w:r>
    </w:p>
    <w:p>
      <w:pPr>
        <w:spacing w:line="360" w:lineRule="auto"/>
        <w:ind w:firstLine="480"/>
        <w:jc w:val="both"/>
        <w:rPr>
          <w:sz w:val="24"/>
          <w:szCs w:val="21"/>
        </w:rPr>
      </w:pPr>
      <w:r>
        <w:rPr>
          <w:sz w:val="24"/>
          <w:szCs w:val="21"/>
        </w:rPr>
        <w:t>（3）项目</w:t>
      </w:r>
      <w:r>
        <w:rPr>
          <w:sz w:val="24"/>
        </w:rPr>
        <w:t>投产</w:t>
      </w:r>
      <w:r>
        <w:rPr>
          <w:sz w:val="24"/>
          <w:szCs w:val="21"/>
        </w:rPr>
        <w:t>后，将会增加就业岗位，可以在一定程度上解决当地居民就业问题，增加居民收入。将废旧电池资源转化为经济效益，提高地方财政收入和企业经济向效益。</w:t>
      </w:r>
      <w:bookmarkStart w:id="233" w:name="_Toc455587081"/>
      <w:bookmarkStart w:id="234" w:name="_Toc481664989"/>
    </w:p>
    <w:p>
      <w:pPr>
        <w:pStyle w:val="222"/>
      </w:pPr>
    </w:p>
    <w:p>
      <w:pPr>
        <w:pStyle w:val="222"/>
      </w:pPr>
      <w:r>
        <w:br w:type="page"/>
      </w:r>
      <w:bookmarkEnd w:id="233"/>
      <w:bookmarkEnd w:id="234"/>
    </w:p>
    <w:p>
      <w:pPr>
        <w:spacing w:before="31"/>
        <w:ind w:firstLine="197" w:firstLineChars="76"/>
        <w:jc w:val="both"/>
        <w:sectPr>
          <w:pgSz w:w="11907" w:h="16839"/>
          <w:pgMar w:top="1588" w:right="1417" w:bottom="1366" w:left="1418" w:header="1134" w:footer="1418" w:gutter="0"/>
          <w:cols w:space="425" w:num="1"/>
          <w:docGrid w:linePitch="354" w:charSpace="0"/>
        </w:sectPr>
      </w:pPr>
    </w:p>
    <w:p>
      <w:pPr>
        <w:pStyle w:val="3"/>
        <w:numPr>
          <w:ilvl w:val="0"/>
          <w:numId w:val="0"/>
        </w:numPr>
        <w:spacing w:before="240" w:after="240"/>
      </w:pPr>
      <w:bookmarkStart w:id="235" w:name="_Toc161676136"/>
      <w:r>
        <w:t>10环境管理与监测</w:t>
      </w:r>
      <w:bookmarkEnd w:id="223"/>
      <w:r>
        <w:t>计划</w:t>
      </w:r>
      <w:bookmarkEnd w:id="235"/>
    </w:p>
    <w:p>
      <w:pPr>
        <w:pStyle w:val="4"/>
      </w:pPr>
      <w:bookmarkStart w:id="236" w:name="_Toc161676137"/>
      <w:r>
        <w:t>10.1环境管理</w:t>
      </w:r>
      <w:bookmarkEnd w:id="236"/>
    </w:p>
    <w:p>
      <w:pPr>
        <w:pStyle w:val="222"/>
      </w:pPr>
      <w:r>
        <w:t>为有效地防止本项目对自然环境及环境质量的影响，建设单位应加强该项目环境保护管理工作，设置专门的环保机构，配备专业的环保管理人员，负责工程建设和运行过程中的环境管理工作及监测计划；并根据环境影响报告中提出的环保措施及实际造成的环境影响，详细制定本工程环境保护规章制度。</w:t>
      </w:r>
    </w:p>
    <w:p>
      <w:pPr>
        <w:pStyle w:val="5"/>
        <w:rPr>
          <w:color w:val="auto"/>
        </w:rPr>
      </w:pPr>
      <w:r>
        <w:rPr>
          <w:color w:val="auto"/>
        </w:rPr>
        <w:t>10.1.1环境管理机构</w:t>
      </w:r>
    </w:p>
    <w:p>
      <w:pPr>
        <w:pStyle w:val="222"/>
      </w:pPr>
      <w:r>
        <w:t>本项目环境管理的实施单位是重庆峰磊矿业有限公司，项目法人是环境管理的第一责任人。建议建设单位在矿区生产管理人员中安排1名兼职环境管理人员，在项目法人的领导下负责项目环境管理工作，协调解决生产过程的环境问题。</w:t>
      </w:r>
    </w:p>
    <w:p>
      <w:pPr>
        <w:pStyle w:val="5"/>
        <w:rPr>
          <w:color w:val="auto"/>
        </w:rPr>
      </w:pPr>
      <w:r>
        <w:rPr>
          <w:color w:val="auto"/>
        </w:rPr>
        <w:t>10.1.2环境管理工作职责</w:t>
      </w:r>
    </w:p>
    <w:p>
      <w:pPr>
        <w:pStyle w:val="3184"/>
        <w:numPr>
          <w:ilvl w:val="0"/>
          <w:numId w:val="27"/>
        </w:numPr>
        <w:ind w:left="0" w:firstLine="480" w:firstLineChars="200"/>
        <w:rPr>
          <w:bCs w:val="0"/>
          <w:sz w:val="24"/>
        </w:rPr>
      </w:pPr>
      <w:r>
        <w:rPr>
          <w:bCs w:val="0"/>
          <w:sz w:val="24"/>
        </w:rPr>
        <w:t>认真贯彻执行国家、地方的环境保护法律法规和相关环境保护政策。</w:t>
      </w:r>
    </w:p>
    <w:p>
      <w:pPr>
        <w:pStyle w:val="3184"/>
        <w:numPr>
          <w:ilvl w:val="0"/>
          <w:numId w:val="27"/>
        </w:numPr>
        <w:ind w:left="0" w:firstLine="480" w:firstLineChars="200"/>
        <w:rPr>
          <w:bCs w:val="0"/>
          <w:sz w:val="24"/>
        </w:rPr>
      </w:pPr>
      <w:r>
        <w:rPr>
          <w:bCs w:val="0"/>
          <w:sz w:val="24"/>
        </w:rPr>
        <w:t>完善现有的环境保护方针实施计划和环境管理制度。</w:t>
      </w:r>
    </w:p>
    <w:p>
      <w:pPr>
        <w:pStyle w:val="3184"/>
        <w:numPr>
          <w:ilvl w:val="0"/>
          <w:numId w:val="27"/>
        </w:numPr>
        <w:ind w:left="0" w:firstLine="480" w:firstLineChars="200"/>
        <w:rPr>
          <w:bCs w:val="0"/>
          <w:sz w:val="24"/>
        </w:rPr>
      </w:pPr>
      <w:r>
        <w:rPr>
          <w:bCs w:val="0"/>
          <w:sz w:val="24"/>
        </w:rPr>
        <w:t>开采期加强污废水、废气、噪声等治理设施运行管理，确保污染治理设施设备正常运行率达100%，污废水处理后回用；有组织废气及无组织场界粉尘浓度满足排放标准要求；场界噪声达标排放。</w:t>
      </w:r>
    </w:p>
    <w:p>
      <w:pPr>
        <w:pStyle w:val="3184"/>
        <w:numPr>
          <w:ilvl w:val="0"/>
          <w:numId w:val="27"/>
        </w:numPr>
        <w:ind w:left="0" w:firstLine="480" w:firstLineChars="200"/>
        <w:rPr>
          <w:bCs w:val="0"/>
          <w:sz w:val="24"/>
        </w:rPr>
      </w:pPr>
      <w:r>
        <w:rPr>
          <w:bCs w:val="0"/>
          <w:sz w:val="24"/>
        </w:rPr>
        <w:t>按照上级环保行政主管部门的规定要求，建立本企业有关“三废”排放量、排放浓度、噪声排放情况、固体废物综合利用、污染控制效果等情况的档案，并按有关规定编制相应的报告与报表，负责向上级领导及环保行政主管部门呈报。</w:t>
      </w:r>
    </w:p>
    <w:p>
      <w:pPr>
        <w:pStyle w:val="3184"/>
        <w:numPr>
          <w:ilvl w:val="0"/>
          <w:numId w:val="27"/>
        </w:numPr>
        <w:ind w:left="0" w:firstLine="480" w:firstLineChars="200"/>
        <w:rPr>
          <w:bCs w:val="0"/>
          <w:sz w:val="24"/>
        </w:rPr>
      </w:pPr>
      <w:r>
        <w:rPr>
          <w:bCs w:val="0"/>
          <w:sz w:val="24"/>
        </w:rPr>
        <w:t>加强环境保护宣传工作，不断提高职工的环境保护意识，并有序开展环境保护方面的知识教育及技术培训等工作。</w:t>
      </w:r>
    </w:p>
    <w:p>
      <w:pPr>
        <w:pStyle w:val="3184"/>
        <w:numPr>
          <w:ilvl w:val="0"/>
          <w:numId w:val="27"/>
        </w:numPr>
        <w:ind w:left="0" w:firstLine="480" w:firstLineChars="200"/>
      </w:pPr>
      <w:r>
        <w:rPr>
          <w:bCs w:val="0"/>
          <w:sz w:val="24"/>
        </w:rPr>
        <w:t>检查环境管理工作中的问题和不足，对发现的问题和不足，提出改进意见。协同当地环保行政</w:t>
      </w:r>
      <w:r>
        <w:t>管理部门处理好矿山资源整合扩建和生产期的相关环境问题，维护好公众的利益。</w:t>
      </w:r>
    </w:p>
    <w:p>
      <w:pPr>
        <w:pStyle w:val="5"/>
        <w:rPr>
          <w:color w:val="auto"/>
        </w:rPr>
      </w:pPr>
      <w:r>
        <w:rPr>
          <w:color w:val="auto"/>
        </w:rPr>
        <w:t>10.1.3环保管理台账</w:t>
      </w:r>
    </w:p>
    <w:p>
      <w:pPr>
        <w:pStyle w:val="222"/>
      </w:pPr>
      <w:r>
        <w:t>建设单位需制定相应污染物排放台账管理制度，具体要求如下：</w:t>
      </w:r>
    </w:p>
    <w:p>
      <w:pPr>
        <w:pStyle w:val="222"/>
      </w:pPr>
      <w:r>
        <w:t>（1）建立污染物排污台账</w:t>
      </w:r>
    </w:p>
    <w:p>
      <w:pPr>
        <w:pStyle w:val="222"/>
      </w:pPr>
      <w:r>
        <w:t>污染物排放台账内容包括排污单位名称、排污口编号、使用的计量方式、排污口位置等基本信息；记录污染物的产生、排放台账，并纳入厂务公开内容，及时向环境管理部门和周边企业、公众公布污染物排放和环境管理情况；</w:t>
      </w:r>
    </w:p>
    <w:p>
      <w:pPr>
        <w:pStyle w:val="222"/>
      </w:pPr>
      <w:r>
        <w:t>（2）建立污染物监测制度</w:t>
      </w:r>
    </w:p>
    <w:p>
      <w:pPr>
        <w:pStyle w:val="222"/>
      </w:pPr>
      <w:r>
        <w:t>企业应设置专人定期对污染物排放的排污口进行监测，并记录归档。同时，依托社会力量实行监督性监测和检查，定期委托有资质环境监测机构对污染物排放口、厂界噪声等排放情况开展监督性监测。检查监测结果需要记录归档，并定期向公众公布。</w:t>
      </w:r>
    </w:p>
    <w:p>
      <w:pPr>
        <w:pStyle w:val="4"/>
        <w:jc w:val="both"/>
      </w:pPr>
      <w:bookmarkStart w:id="237" w:name="_Toc161676138"/>
      <w:r>
        <w:t>10.2排污口规范化管理</w:t>
      </w:r>
      <w:bookmarkEnd w:id="237"/>
    </w:p>
    <w:p>
      <w:pPr>
        <w:spacing w:line="360" w:lineRule="auto"/>
        <w:ind w:firstLine="472"/>
        <w:jc w:val="both"/>
        <w:rPr>
          <w:spacing w:val="-4"/>
          <w:kern w:val="24"/>
          <w:sz w:val="24"/>
        </w:rPr>
      </w:pPr>
      <w:r>
        <w:rPr>
          <w:spacing w:val="-4"/>
          <w:kern w:val="24"/>
          <w:sz w:val="24"/>
        </w:rPr>
        <w:t>根据国家环保总局《关于开展排放口规范化整治工作的通知》（环发〔1999〕24号）及《重庆市环境保护局关于印发重庆市排污口规范化清理整治实施方案的通知》（渝环发〔2012〕26号）的要求，为了进一步落实排污单位环境保护主体责任，规范排污单位环境报行为，确保达到创建国家环境保护模范城市的要求，现有排污单位排污口的规范化整治和新建、扩建、改建和限期治理的排污单位排污口的规范化建设是有必要的。</w:t>
      </w:r>
    </w:p>
    <w:p>
      <w:pPr>
        <w:pStyle w:val="4"/>
        <w:jc w:val="both"/>
      </w:pPr>
      <w:bookmarkStart w:id="238" w:name="_Toc33452370"/>
      <w:bookmarkStart w:id="239" w:name="_Toc161676139"/>
      <w:r>
        <w:t>10.3环境信息公开</w:t>
      </w:r>
      <w:bookmarkEnd w:id="238"/>
      <w:bookmarkEnd w:id="239"/>
    </w:p>
    <w:p>
      <w:pPr>
        <w:pStyle w:val="3219"/>
        <w:rPr>
          <w:color w:val="auto"/>
        </w:rPr>
      </w:pPr>
      <w:r>
        <w:rPr>
          <w:color w:val="auto"/>
        </w:rPr>
        <w:t>根据《企业事业单位环境信息公开办法》（环境保护部令第31号），排污单位应当通过其网站、企业事业单位环境信息公开平台或者当地报刊等便于公众知晓的方式公开环境信息，其具体公开的信息内容如下：</w:t>
      </w:r>
    </w:p>
    <w:p>
      <w:pPr>
        <w:pStyle w:val="3219"/>
        <w:rPr>
          <w:color w:val="auto"/>
        </w:rPr>
      </w:pPr>
      <w:r>
        <w:rPr>
          <w:color w:val="auto"/>
        </w:rPr>
        <w:t>（1）基础信息，包括单位名称、组织机构代码、法定代表人、生产地址、联系方式，以及生产经营和管理服务的主要内容、产品及规模；</w:t>
      </w:r>
    </w:p>
    <w:p>
      <w:pPr>
        <w:pStyle w:val="3219"/>
        <w:rPr>
          <w:color w:val="auto"/>
        </w:rPr>
      </w:pPr>
      <w:r>
        <w:rPr>
          <w:color w:val="auto"/>
        </w:rPr>
        <w:t>（2）排污信息，包括主要污染物及特征污染物的名称、排放方式、排放口数量和分布情况、排放浓度和总量、超标情况，以及执行的污染物排放标准、核定的排放总量；</w:t>
      </w:r>
    </w:p>
    <w:p>
      <w:pPr>
        <w:pStyle w:val="3219"/>
        <w:rPr>
          <w:color w:val="auto"/>
        </w:rPr>
      </w:pPr>
      <w:r>
        <w:rPr>
          <w:color w:val="auto"/>
        </w:rPr>
        <w:t>（3）污染设施的建设和运行情况；</w:t>
      </w:r>
    </w:p>
    <w:p>
      <w:pPr>
        <w:pStyle w:val="3219"/>
        <w:rPr>
          <w:color w:val="auto"/>
        </w:rPr>
      </w:pPr>
      <w:r>
        <w:rPr>
          <w:color w:val="auto"/>
        </w:rPr>
        <w:t>（4）建设项目环境影响评价及其他环境保护行政许可情况；</w:t>
      </w:r>
    </w:p>
    <w:p>
      <w:pPr>
        <w:pStyle w:val="3219"/>
        <w:rPr>
          <w:color w:val="auto"/>
        </w:rPr>
      </w:pPr>
      <w:r>
        <w:rPr>
          <w:color w:val="auto"/>
        </w:rPr>
        <w:t>（5）突发环境事件应急预案；</w:t>
      </w:r>
    </w:p>
    <w:p>
      <w:pPr>
        <w:pStyle w:val="3219"/>
        <w:rPr>
          <w:color w:val="auto"/>
        </w:rPr>
      </w:pPr>
      <w:r>
        <w:rPr>
          <w:color w:val="auto"/>
        </w:rPr>
        <w:t>（6）其他应当公开的环境信息。</w:t>
      </w:r>
    </w:p>
    <w:p>
      <w:pPr>
        <w:pStyle w:val="3219"/>
        <w:rPr>
          <w:color w:val="auto"/>
        </w:rPr>
      </w:pPr>
      <w:r>
        <w:rPr>
          <w:color w:val="auto"/>
        </w:rPr>
        <w:t>（7）列入国家重点监控企业名单的重点排污单位还应当公开其环境自行监测方案。</w:t>
      </w:r>
    </w:p>
    <w:p>
      <w:pPr>
        <w:pStyle w:val="4"/>
      </w:pPr>
      <w:bookmarkStart w:id="240" w:name="_Toc161676140"/>
      <w:r>
        <w:t>10.4环境监测计划</w:t>
      </w:r>
      <w:bookmarkEnd w:id="240"/>
    </w:p>
    <w:p>
      <w:pPr>
        <w:pStyle w:val="222"/>
      </w:pPr>
      <w:r>
        <w:t>（1）监测机构</w:t>
      </w:r>
    </w:p>
    <w:p>
      <w:pPr>
        <w:pStyle w:val="222"/>
      </w:pPr>
      <w:r>
        <w:t>应委托有资质的监测机构承担本项目环境监测任务，企业应承担监测费用。环境监测主要任务：</w:t>
      </w:r>
      <w:r>
        <w:rPr>
          <w:rFonts w:hint="eastAsia" w:ascii="宋体" w:hAnsi="宋体" w:cs="宋体"/>
        </w:rPr>
        <w:t>①</w:t>
      </w:r>
      <w:r>
        <w:t>根据监测制度，对厂内外污染物产生、排放及影响进行常规和应急监测。掌握全公司污染物排放的变化规律，为改进污染防治措施提供依据。</w:t>
      </w:r>
      <w:r>
        <w:rPr>
          <w:rFonts w:hint="eastAsia" w:ascii="宋体" w:hAnsi="宋体" w:cs="宋体"/>
        </w:rPr>
        <w:t>②</w:t>
      </w:r>
      <w:r>
        <w:t>配合重庆市生态环境局、区生态环境局开展污染源监督监测与事故隐患检查等工作，定期向上级部门及生态环境部门报送有关污染源数据。</w:t>
      </w:r>
      <w:r>
        <w:rPr>
          <w:rFonts w:hint="eastAsia" w:ascii="宋体" w:hAnsi="宋体" w:cs="宋体"/>
        </w:rPr>
        <w:t>③</w:t>
      </w:r>
      <w:r>
        <w:t>建立分析结果技术档案，特别是取样时，应记录生产运行工况。</w:t>
      </w:r>
    </w:p>
    <w:p>
      <w:pPr>
        <w:pStyle w:val="222"/>
      </w:pPr>
      <w:r>
        <w:t>（2）监测计划</w:t>
      </w:r>
    </w:p>
    <w:p>
      <w:pPr>
        <w:pStyle w:val="222"/>
      </w:pPr>
      <w:r>
        <w:t>项目日常环境监测任务可委托有资质的环境监测机构进行监测。日常监测内容是对本项目各污染源进行监测并建立档案作为制订改善计划的依据，参照《排污单位自行监测技术指南》（HJ819-2017）及生态导则执行。监测资料及时报企业环保负责人，如出现异常状况，应及时分析环保设施的工艺运行是否正常，对可能造成的环境污染应及时向企业领导汇报，并提出防范和应急措施。</w:t>
      </w:r>
    </w:p>
    <w:p>
      <w:pPr>
        <w:pStyle w:val="222"/>
      </w:pPr>
      <w:r>
        <w:t>环境监测计划见下表。</w:t>
      </w:r>
    </w:p>
    <w:p>
      <w:pPr>
        <w:pStyle w:val="84"/>
      </w:pPr>
      <w:r>
        <w:t>表10.4-1  环境监测计划表</w:t>
      </w:r>
    </w:p>
    <w:tbl>
      <w:tblPr>
        <w:tblStyle w:val="88"/>
        <w:tblpPr w:leftFromText="180" w:rightFromText="18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709"/>
        <w:gridCol w:w="992"/>
        <w:gridCol w:w="2126"/>
        <w:gridCol w:w="2127"/>
        <w:gridCol w:w="2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05" w:type="dxa"/>
            <w:gridSpan w:val="3"/>
            <w:shd w:val="clear" w:color="auto" w:fill="D8D8D8" w:themeFill="background1" w:themeFillShade="D9"/>
            <w:vAlign w:val="center"/>
          </w:tcPr>
          <w:p>
            <w:pPr>
              <w:pStyle w:val="3238"/>
            </w:pPr>
            <w:r>
              <w:t>监测类别</w:t>
            </w:r>
          </w:p>
        </w:tc>
        <w:tc>
          <w:tcPr>
            <w:tcW w:w="2126" w:type="dxa"/>
            <w:shd w:val="clear" w:color="auto" w:fill="D8D8D8" w:themeFill="background1" w:themeFillShade="D9"/>
            <w:vAlign w:val="center"/>
          </w:tcPr>
          <w:p>
            <w:pPr>
              <w:pStyle w:val="3238"/>
            </w:pPr>
            <w:r>
              <w:t>监测点位</w:t>
            </w:r>
          </w:p>
        </w:tc>
        <w:tc>
          <w:tcPr>
            <w:tcW w:w="2127" w:type="dxa"/>
            <w:shd w:val="clear" w:color="auto" w:fill="D8D8D8" w:themeFill="background1" w:themeFillShade="D9"/>
            <w:vAlign w:val="center"/>
          </w:tcPr>
          <w:p>
            <w:pPr>
              <w:pStyle w:val="3238"/>
            </w:pPr>
            <w:r>
              <w:t>监测因子</w:t>
            </w:r>
          </w:p>
        </w:tc>
        <w:tc>
          <w:tcPr>
            <w:tcW w:w="2403" w:type="dxa"/>
            <w:shd w:val="clear" w:color="auto" w:fill="D8D8D8" w:themeFill="background1" w:themeFillShade="D9"/>
            <w:vAlign w:val="center"/>
          </w:tcPr>
          <w:p>
            <w:pPr>
              <w:pStyle w:val="3238"/>
            </w:pPr>
            <w: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04" w:type="dxa"/>
            <w:vMerge w:val="restart"/>
            <w:vAlign w:val="center"/>
          </w:tcPr>
          <w:p>
            <w:pPr>
              <w:pStyle w:val="3238"/>
              <w:rPr>
                <w:b/>
              </w:rPr>
            </w:pPr>
            <w:r>
              <w:t>污染源监测</w:t>
            </w:r>
          </w:p>
        </w:tc>
        <w:tc>
          <w:tcPr>
            <w:tcW w:w="709" w:type="dxa"/>
            <w:vMerge w:val="restart"/>
            <w:vAlign w:val="center"/>
          </w:tcPr>
          <w:p>
            <w:pPr>
              <w:pStyle w:val="3238"/>
              <w:rPr>
                <w:b/>
              </w:rPr>
            </w:pPr>
            <w:r>
              <w:t>废气</w:t>
            </w:r>
          </w:p>
        </w:tc>
        <w:tc>
          <w:tcPr>
            <w:tcW w:w="992" w:type="dxa"/>
            <w:vAlign w:val="center"/>
          </w:tcPr>
          <w:p>
            <w:pPr>
              <w:pStyle w:val="3238"/>
              <w:rPr>
                <w:b/>
              </w:rPr>
            </w:pPr>
            <w:r>
              <w:t>有组织废气</w:t>
            </w:r>
          </w:p>
        </w:tc>
        <w:tc>
          <w:tcPr>
            <w:tcW w:w="2126" w:type="dxa"/>
            <w:vAlign w:val="center"/>
          </w:tcPr>
          <w:p>
            <w:pPr>
              <w:pStyle w:val="3238"/>
              <w:rPr>
                <w:b/>
              </w:rPr>
            </w:pPr>
            <w:r>
              <w:t>破碎筛分工序3套除尘器排气筒出口</w:t>
            </w:r>
          </w:p>
        </w:tc>
        <w:tc>
          <w:tcPr>
            <w:tcW w:w="2127" w:type="dxa"/>
            <w:vAlign w:val="center"/>
          </w:tcPr>
          <w:p>
            <w:pPr>
              <w:pStyle w:val="3238"/>
              <w:rPr>
                <w:b/>
              </w:rPr>
            </w:pPr>
            <w:r>
              <w:t>颗粒物</w:t>
            </w:r>
          </w:p>
        </w:tc>
        <w:tc>
          <w:tcPr>
            <w:tcW w:w="2403" w:type="dxa"/>
            <w:vAlign w:val="center"/>
          </w:tcPr>
          <w:p>
            <w:pPr>
              <w:pStyle w:val="3238"/>
              <w:rPr>
                <w:b/>
              </w:rPr>
            </w:pPr>
            <w: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04" w:type="dxa"/>
            <w:vMerge w:val="continue"/>
            <w:vAlign w:val="center"/>
          </w:tcPr>
          <w:p>
            <w:pPr>
              <w:pStyle w:val="3238"/>
            </w:pPr>
          </w:p>
        </w:tc>
        <w:tc>
          <w:tcPr>
            <w:tcW w:w="709" w:type="dxa"/>
            <w:vMerge w:val="continue"/>
            <w:vAlign w:val="center"/>
          </w:tcPr>
          <w:p>
            <w:pPr>
              <w:pStyle w:val="3238"/>
            </w:pPr>
          </w:p>
        </w:tc>
        <w:tc>
          <w:tcPr>
            <w:tcW w:w="992" w:type="dxa"/>
            <w:vAlign w:val="center"/>
          </w:tcPr>
          <w:p>
            <w:pPr>
              <w:pStyle w:val="3238"/>
              <w:rPr>
                <w:b/>
              </w:rPr>
            </w:pPr>
            <w:r>
              <w:t>无组织废气</w:t>
            </w:r>
          </w:p>
        </w:tc>
        <w:tc>
          <w:tcPr>
            <w:tcW w:w="2126" w:type="dxa"/>
            <w:vAlign w:val="center"/>
          </w:tcPr>
          <w:p>
            <w:pPr>
              <w:pStyle w:val="3238"/>
              <w:rPr>
                <w:b/>
              </w:rPr>
            </w:pPr>
            <w:r>
              <w:t>开采区及工业场地场界外上、下风向浓度最高点设监控点</w:t>
            </w:r>
          </w:p>
        </w:tc>
        <w:tc>
          <w:tcPr>
            <w:tcW w:w="2127" w:type="dxa"/>
            <w:vAlign w:val="center"/>
          </w:tcPr>
          <w:p>
            <w:pPr>
              <w:pStyle w:val="3238"/>
              <w:rPr>
                <w:b/>
              </w:rPr>
            </w:pPr>
            <w:r>
              <w:t>颗粒物</w:t>
            </w:r>
          </w:p>
        </w:tc>
        <w:tc>
          <w:tcPr>
            <w:tcW w:w="2403" w:type="dxa"/>
            <w:vAlign w:val="center"/>
          </w:tcPr>
          <w:p>
            <w:pPr>
              <w:pStyle w:val="3238"/>
              <w:rPr>
                <w:b/>
              </w:rPr>
            </w:pPr>
            <w: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04" w:type="dxa"/>
            <w:vMerge w:val="continue"/>
            <w:vAlign w:val="center"/>
          </w:tcPr>
          <w:p>
            <w:pPr>
              <w:pStyle w:val="3238"/>
            </w:pPr>
          </w:p>
        </w:tc>
        <w:tc>
          <w:tcPr>
            <w:tcW w:w="709" w:type="dxa"/>
            <w:vAlign w:val="center"/>
          </w:tcPr>
          <w:p>
            <w:pPr>
              <w:pStyle w:val="3238"/>
              <w:rPr>
                <w:b/>
              </w:rPr>
            </w:pPr>
            <w:r>
              <w:t>噪声</w:t>
            </w:r>
          </w:p>
        </w:tc>
        <w:tc>
          <w:tcPr>
            <w:tcW w:w="992" w:type="dxa"/>
            <w:vAlign w:val="center"/>
          </w:tcPr>
          <w:p>
            <w:pPr>
              <w:pStyle w:val="3238"/>
              <w:rPr>
                <w:b/>
              </w:rPr>
            </w:pPr>
            <w:r>
              <w:t>生产设备</w:t>
            </w:r>
          </w:p>
        </w:tc>
        <w:tc>
          <w:tcPr>
            <w:tcW w:w="2126" w:type="dxa"/>
            <w:vAlign w:val="center"/>
          </w:tcPr>
          <w:p>
            <w:pPr>
              <w:pStyle w:val="3238"/>
              <w:rPr>
                <w:b/>
              </w:rPr>
            </w:pPr>
            <w:r>
              <w:t>开采区及工业场地四周场界外1m处各设1个监测点</w:t>
            </w:r>
          </w:p>
        </w:tc>
        <w:tc>
          <w:tcPr>
            <w:tcW w:w="2127" w:type="dxa"/>
            <w:vAlign w:val="center"/>
          </w:tcPr>
          <w:p>
            <w:pPr>
              <w:pStyle w:val="3238"/>
              <w:rPr>
                <w:b/>
              </w:rPr>
            </w:pPr>
            <w:r>
              <w:t>昼夜等效连续A声级</w:t>
            </w:r>
          </w:p>
        </w:tc>
        <w:tc>
          <w:tcPr>
            <w:tcW w:w="2403" w:type="dxa"/>
            <w:vAlign w:val="center"/>
          </w:tcPr>
          <w:p>
            <w:pPr>
              <w:pStyle w:val="3238"/>
              <w:rPr>
                <w:b/>
              </w:rPr>
            </w:pPr>
            <w: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05" w:type="dxa"/>
            <w:gridSpan w:val="3"/>
            <w:vAlign w:val="center"/>
          </w:tcPr>
          <w:p>
            <w:pPr>
              <w:pStyle w:val="3238"/>
              <w:rPr>
                <w:b/>
              </w:rPr>
            </w:pPr>
            <w:r>
              <w:t>生态</w:t>
            </w:r>
          </w:p>
        </w:tc>
        <w:tc>
          <w:tcPr>
            <w:tcW w:w="2126" w:type="dxa"/>
            <w:vAlign w:val="center"/>
          </w:tcPr>
          <w:p>
            <w:pPr>
              <w:pStyle w:val="3238"/>
              <w:rPr>
                <w:b/>
              </w:rPr>
            </w:pPr>
            <w:r>
              <w:t>占地范围内、项目北侧</w:t>
            </w:r>
          </w:p>
        </w:tc>
        <w:tc>
          <w:tcPr>
            <w:tcW w:w="2127" w:type="dxa"/>
            <w:vAlign w:val="center"/>
          </w:tcPr>
          <w:p>
            <w:pPr>
              <w:pStyle w:val="3238"/>
              <w:rPr>
                <w:b/>
              </w:rPr>
            </w:pPr>
            <w:r>
              <w:t>植物群落、植被类型、生物量、植被恢复效果、动植物多样性、植被覆盖度等</w:t>
            </w:r>
          </w:p>
        </w:tc>
        <w:tc>
          <w:tcPr>
            <w:tcW w:w="2403" w:type="dxa"/>
            <w:vAlign w:val="center"/>
          </w:tcPr>
          <w:p>
            <w:pPr>
              <w:pStyle w:val="3238"/>
              <w:rPr>
                <w:b/>
              </w:rPr>
            </w:pPr>
            <w:r>
              <w:t>运营期第1、3年各监测1期，同时应考虑植物生长和景观变化的季节性等因素。</w:t>
            </w:r>
          </w:p>
        </w:tc>
      </w:tr>
    </w:tbl>
    <w:p>
      <w:pPr>
        <w:pStyle w:val="4"/>
      </w:pPr>
      <w:bookmarkStart w:id="241" w:name="_Toc161676141"/>
      <w:r>
        <w:t>10.5竣工环境保护验收调查内容</w:t>
      </w:r>
      <w:bookmarkEnd w:id="241"/>
    </w:p>
    <w:p>
      <w:pPr>
        <w:pStyle w:val="5"/>
        <w:rPr>
          <w:color w:val="auto"/>
        </w:rPr>
      </w:pPr>
      <w:r>
        <w:rPr>
          <w:color w:val="auto"/>
        </w:rPr>
        <w:t>10.5.1验收范围</w:t>
      </w:r>
    </w:p>
    <w:p>
      <w:pPr>
        <w:pStyle w:val="222"/>
      </w:pPr>
      <w:r>
        <w:t>（1）与工程有关的各项环保设施，包括为防治污染和保护环境所建成或配套建成的治理工程、设备、装置和监测手段，以及各项生态保护设施等；</w:t>
      </w:r>
    </w:p>
    <w:p>
      <w:pPr>
        <w:pStyle w:val="222"/>
      </w:pPr>
      <w:r>
        <w:t>（2）本项目环评文件和有关设计文件规定应采取的其它各项环保措施。</w:t>
      </w:r>
    </w:p>
    <w:p>
      <w:pPr>
        <w:pStyle w:val="5"/>
        <w:rPr>
          <w:color w:val="auto"/>
        </w:rPr>
      </w:pPr>
      <w:r>
        <w:rPr>
          <w:color w:val="auto"/>
        </w:rPr>
        <w:t>10.5.2验收调查内容</w:t>
      </w:r>
    </w:p>
    <w:p>
      <w:pPr>
        <w:pStyle w:val="222"/>
      </w:pPr>
      <w:r>
        <w:t>本项目所有环保设施均应与主体工程同时设计、同时施工、同时投产，项目竣工后，应按照《建设项目竣工环境保护验收暂行办法》（国环规环评〔2017〕4号）进行验收，验收合格后建设单位方可投入生产和使用。</w:t>
      </w:r>
    </w:p>
    <w:p>
      <w:pPr>
        <w:pStyle w:val="222"/>
      </w:pPr>
      <w:r>
        <w:t>本项目竣工环境保护验收内容见下表。</w:t>
      </w:r>
    </w:p>
    <w:p>
      <w:pPr>
        <w:pStyle w:val="222"/>
      </w:pPr>
    </w:p>
    <w:p>
      <w:pPr>
        <w:pStyle w:val="222"/>
      </w:pPr>
    </w:p>
    <w:p>
      <w:pPr>
        <w:pStyle w:val="222"/>
        <w:sectPr>
          <w:headerReference r:id="rId39" w:type="first"/>
          <w:footerReference r:id="rId40" w:type="first"/>
          <w:endnotePr>
            <w:numFmt w:val="decimal"/>
          </w:endnotePr>
          <w:pgSz w:w="11907" w:h="16840"/>
          <w:pgMar w:top="1701" w:right="1418" w:bottom="1559" w:left="1418" w:header="1134" w:footer="1140" w:gutter="0"/>
          <w:cols w:space="720" w:num="1"/>
          <w:docGrid w:linePitch="354" w:charSpace="0"/>
        </w:sectPr>
      </w:pPr>
    </w:p>
    <w:p>
      <w:pPr>
        <w:pStyle w:val="84"/>
      </w:pPr>
      <w:r>
        <w:t>表10.5-1  项目竣工环保验收内容及管理要求一览表</w:t>
      </w:r>
    </w:p>
    <w:tbl>
      <w:tblPr>
        <w:tblStyle w:val="32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1479"/>
        <w:gridCol w:w="1343"/>
        <w:gridCol w:w="900"/>
        <w:gridCol w:w="6113"/>
        <w:gridCol w:w="1837"/>
        <w:gridCol w:w="1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247" w:type="pct"/>
            <w:shd w:val="clear" w:color="auto" w:fill="D8D8D8" w:themeFill="background1" w:themeFillShade="D9"/>
            <w:vAlign w:val="center"/>
          </w:tcPr>
          <w:p>
            <w:pPr>
              <w:pStyle w:val="3232"/>
              <w:rPr>
                <w:b/>
                <w:bCs/>
                <w:color w:val="auto"/>
                <w:sz w:val="21"/>
                <w:szCs w:val="21"/>
              </w:rPr>
            </w:pPr>
            <w:r>
              <w:rPr>
                <w:b/>
                <w:bCs/>
                <w:color w:val="auto"/>
                <w:sz w:val="21"/>
                <w:szCs w:val="21"/>
              </w:rPr>
              <w:t>类别</w:t>
            </w:r>
          </w:p>
        </w:tc>
        <w:tc>
          <w:tcPr>
            <w:tcW w:w="578" w:type="pct"/>
            <w:shd w:val="clear" w:color="auto" w:fill="D8D8D8" w:themeFill="background1" w:themeFillShade="D9"/>
            <w:vAlign w:val="center"/>
          </w:tcPr>
          <w:p>
            <w:pPr>
              <w:pStyle w:val="3232"/>
              <w:rPr>
                <w:b/>
                <w:bCs/>
                <w:color w:val="auto"/>
                <w:sz w:val="21"/>
                <w:szCs w:val="21"/>
              </w:rPr>
            </w:pPr>
            <w:r>
              <w:rPr>
                <w:b/>
                <w:bCs/>
                <w:color w:val="auto"/>
                <w:sz w:val="21"/>
                <w:szCs w:val="21"/>
              </w:rPr>
              <w:t>污染源</w:t>
            </w:r>
          </w:p>
        </w:tc>
        <w:tc>
          <w:tcPr>
            <w:tcW w:w="322" w:type="pct"/>
            <w:shd w:val="clear" w:color="auto" w:fill="D8D8D8" w:themeFill="background1" w:themeFillShade="D9"/>
            <w:vAlign w:val="center"/>
          </w:tcPr>
          <w:p>
            <w:pPr>
              <w:pStyle w:val="3232"/>
              <w:rPr>
                <w:b/>
                <w:bCs/>
                <w:color w:val="auto"/>
                <w:sz w:val="21"/>
                <w:szCs w:val="21"/>
              </w:rPr>
            </w:pPr>
            <w:r>
              <w:rPr>
                <w:b/>
                <w:bCs/>
                <w:color w:val="auto"/>
                <w:sz w:val="21"/>
                <w:szCs w:val="21"/>
              </w:rPr>
              <w:t>验收点位</w:t>
            </w:r>
          </w:p>
        </w:tc>
        <w:tc>
          <w:tcPr>
            <w:tcW w:w="361" w:type="pct"/>
            <w:shd w:val="clear" w:color="auto" w:fill="D8D8D8" w:themeFill="background1" w:themeFillShade="D9"/>
            <w:vAlign w:val="center"/>
          </w:tcPr>
          <w:p>
            <w:pPr>
              <w:pStyle w:val="3232"/>
              <w:rPr>
                <w:b/>
                <w:bCs/>
                <w:color w:val="auto"/>
                <w:sz w:val="21"/>
                <w:szCs w:val="21"/>
              </w:rPr>
            </w:pPr>
            <w:r>
              <w:rPr>
                <w:b/>
                <w:bCs/>
                <w:color w:val="auto"/>
                <w:sz w:val="21"/>
                <w:szCs w:val="21"/>
              </w:rPr>
              <w:t>监测项目</w:t>
            </w:r>
          </w:p>
        </w:tc>
        <w:tc>
          <w:tcPr>
            <w:tcW w:w="2249" w:type="pct"/>
            <w:shd w:val="clear" w:color="auto" w:fill="D8D8D8" w:themeFill="background1" w:themeFillShade="D9"/>
            <w:vAlign w:val="center"/>
          </w:tcPr>
          <w:p>
            <w:pPr>
              <w:pStyle w:val="3232"/>
              <w:rPr>
                <w:b/>
                <w:bCs/>
                <w:color w:val="auto"/>
                <w:sz w:val="21"/>
                <w:szCs w:val="21"/>
              </w:rPr>
            </w:pPr>
            <w:r>
              <w:rPr>
                <w:b/>
                <w:bCs/>
                <w:color w:val="auto"/>
                <w:sz w:val="21"/>
                <w:szCs w:val="21"/>
              </w:rPr>
              <w:t>环保设施及措施</w:t>
            </w:r>
          </w:p>
        </w:tc>
        <w:tc>
          <w:tcPr>
            <w:tcW w:w="706" w:type="pct"/>
            <w:shd w:val="clear" w:color="auto" w:fill="D8D8D8" w:themeFill="background1" w:themeFillShade="D9"/>
            <w:vAlign w:val="center"/>
          </w:tcPr>
          <w:p>
            <w:pPr>
              <w:pStyle w:val="3232"/>
              <w:rPr>
                <w:b/>
                <w:bCs/>
                <w:color w:val="auto"/>
                <w:sz w:val="21"/>
                <w:szCs w:val="21"/>
              </w:rPr>
            </w:pPr>
            <w:r>
              <w:rPr>
                <w:b/>
                <w:bCs/>
                <w:color w:val="auto"/>
                <w:sz w:val="21"/>
                <w:szCs w:val="21"/>
              </w:rPr>
              <w:t>执行标准</w:t>
            </w:r>
          </w:p>
        </w:tc>
        <w:tc>
          <w:tcPr>
            <w:tcW w:w="536" w:type="pct"/>
            <w:shd w:val="clear" w:color="auto" w:fill="D8D8D8" w:themeFill="background1" w:themeFillShade="D9"/>
            <w:vAlign w:val="center"/>
          </w:tcPr>
          <w:p>
            <w:pPr>
              <w:pStyle w:val="3232"/>
              <w:rPr>
                <w:b/>
                <w:bCs/>
                <w:color w:val="auto"/>
                <w:sz w:val="21"/>
                <w:szCs w:val="21"/>
              </w:rPr>
            </w:pPr>
            <w:r>
              <w:rPr>
                <w:b/>
                <w:bCs/>
                <w:color w:val="auto"/>
                <w:sz w:val="21"/>
                <w:szCs w:val="21"/>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rPr>
        <w:tc>
          <w:tcPr>
            <w:tcW w:w="247" w:type="pct"/>
            <w:vMerge w:val="restart"/>
            <w:vAlign w:val="center"/>
          </w:tcPr>
          <w:p>
            <w:pPr>
              <w:pStyle w:val="3232"/>
              <w:rPr>
                <w:color w:val="auto"/>
                <w:sz w:val="21"/>
                <w:szCs w:val="21"/>
              </w:rPr>
            </w:pPr>
            <w:r>
              <w:rPr>
                <w:color w:val="auto"/>
                <w:sz w:val="21"/>
                <w:szCs w:val="21"/>
              </w:rPr>
              <w:t>废气</w:t>
            </w:r>
          </w:p>
        </w:tc>
        <w:tc>
          <w:tcPr>
            <w:tcW w:w="578" w:type="pct"/>
            <w:vMerge w:val="restart"/>
            <w:vAlign w:val="center"/>
          </w:tcPr>
          <w:p>
            <w:pPr>
              <w:pStyle w:val="3232"/>
              <w:rPr>
                <w:color w:val="auto"/>
                <w:sz w:val="21"/>
                <w:szCs w:val="21"/>
              </w:rPr>
            </w:pPr>
            <w:r>
              <w:rPr>
                <w:color w:val="auto"/>
                <w:sz w:val="21"/>
                <w:szCs w:val="21"/>
              </w:rPr>
              <w:t>开采区</w:t>
            </w:r>
          </w:p>
        </w:tc>
        <w:tc>
          <w:tcPr>
            <w:tcW w:w="322" w:type="pct"/>
            <w:vMerge w:val="restart"/>
            <w:vAlign w:val="center"/>
          </w:tcPr>
          <w:p>
            <w:pPr>
              <w:pStyle w:val="3232"/>
              <w:rPr>
                <w:color w:val="auto"/>
                <w:sz w:val="21"/>
                <w:szCs w:val="21"/>
              </w:rPr>
            </w:pPr>
            <w:r>
              <w:rPr>
                <w:color w:val="auto"/>
                <w:sz w:val="21"/>
                <w:szCs w:val="21"/>
              </w:rPr>
              <w:t>开采区外上下风向</w:t>
            </w:r>
          </w:p>
        </w:tc>
        <w:tc>
          <w:tcPr>
            <w:tcW w:w="361" w:type="pct"/>
            <w:vMerge w:val="restart"/>
            <w:vAlign w:val="center"/>
          </w:tcPr>
          <w:p>
            <w:pPr>
              <w:pStyle w:val="3232"/>
              <w:rPr>
                <w:color w:val="auto"/>
                <w:sz w:val="21"/>
                <w:szCs w:val="21"/>
              </w:rPr>
            </w:pPr>
            <w:r>
              <w:rPr>
                <w:color w:val="auto"/>
                <w:sz w:val="21"/>
                <w:szCs w:val="21"/>
              </w:rPr>
              <w:t>总悬浮颗粒物</w:t>
            </w:r>
          </w:p>
        </w:tc>
        <w:tc>
          <w:tcPr>
            <w:tcW w:w="2249" w:type="pct"/>
            <w:vAlign w:val="center"/>
          </w:tcPr>
          <w:p>
            <w:pPr>
              <w:pStyle w:val="3232"/>
              <w:rPr>
                <w:color w:val="auto"/>
                <w:sz w:val="21"/>
                <w:szCs w:val="21"/>
              </w:rPr>
            </w:pPr>
            <w:r>
              <w:rPr>
                <w:color w:val="auto"/>
                <w:sz w:val="21"/>
                <w:szCs w:val="21"/>
              </w:rPr>
              <w:t>采区采用自带除尘装置的潜孔钻进行钻孔，可减少粉尘产生和排放量；采用微差爆破，粉尘产生量很少，爆破后及时洒水降尘减少粉尘排放。采区布置雾炮机及水管，对采区内采掘工作面、矿区道路、铲装等产尘点喷雾洒水降尘。</w:t>
            </w:r>
          </w:p>
        </w:tc>
        <w:tc>
          <w:tcPr>
            <w:tcW w:w="706" w:type="pct"/>
            <w:vMerge w:val="restart"/>
            <w:vAlign w:val="center"/>
          </w:tcPr>
          <w:p>
            <w:pPr>
              <w:pStyle w:val="3232"/>
              <w:rPr>
                <w:color w:val="auto"/>
                <w:sz w:val="21"/>
                <w:szCs w:val="21"/>
              </w:rPr>
            </w:pPr>
            <w:r>
              <w:rPr>
                <w:color w:val="auto"/>
                <w:sz w:val="21"/>
                <w:szCs w:val="21"/>
              </w:rPr>
              <w:t>《大气污染物综合排放标准》（DB50/418-2016）</w:t>
            </w:r>
          </w:p>
        </w:tc>
        <w:tc>
          <w:tcPr>
            <w:tcW w:w="536" w:type="pct"/>
            <w:vMerge w:val="restart"/>
            <w:vAlign w:val="center"/>
          </w:tcPr>
          <w:p>
            <w:pPr>
              <w:pStyle w:val="3232"/>
              <w:rPr>
                <w:color w:val="auto"/>
                <w:sz w:val="21"/>
                <w:szCs w:val="21"/>
              </w:rPr>
            </w:pPr>
            <w:r>
              <w:rPr>
                <w:color w:val="auto"/>
                <w:sz w:val="21"/>
                <w:szCs w:val="21"/>
              </w:rPr>
              <w:t>周界外浓度最高点浓度≤1.0mg/m</w:t>
            </w:r>
            <w:r>
              <w:rPr>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247" w:type="pct"/>
            <w:vMerge w:val="continue"/>
            <w:vAlign w:val="center"/>
          </w:tcPr>
          <w:p>
            <w:pPr>
              <w:pStyle w:val="3232"/>
              <w:rPr>
                <w:color w:val="auto"/>
                <w:sz w:val="21"/>
                <w:szCs w:val="21"/>
              </w:rPr>
            </w:pPr>
          </w:p>
        </w:tc>
        <w:tc>
          <w:tcPr>
            <w:tcW w:w="578" w:type="pct"/>
            <w:vMerge w:val="continue"/>
            <w:vAlign w:val="center"/>
          </w:tcPr>
          <w:p>
            <w:pPr>
              <w:pStyle w:val="3232"/>
              <w:rPr>
                <w:color w:val="auto"/>
                <w:sz w:val="21"/>
                <w:szCs w:val="21"/>
              </w:rPr>
            </w:pPr>
          </w:p>
        </w:tc>
        <w:tc>
          <w:tcPr>
            <w:tcW w:w="322" w:type="pct"/>
            <w:vMerge w:val="continue"/>
            <w:vAlign w:val="center"/>
          </w:tcPr>
          <w:p>
            <w:pPr>
              <w:pStyle w:val="3232"/>
              <w:rPr>
                <w:color w:val="auto"/>
                <w:sz w:val="21"/>
                <w:szCs w:val="21"/>
              </w:rPr>
            </w:pPr>
          </w:p>
        </w:tc>
        <w:tc>
          <w:tcPr>
            <w:tcW w:w="361" w:type="pct"/>
            <w:vMerge w:val="continue"/>
            <w:vAlign w:val="center"/>
          </w:tcPr>
          <w:p>
            <w:pPr>
              <w:pStyle w:val="3232"/>
              <w:rPr>
                <w:color w:val="auto"/>
                <w:sz w:val="21"/>
                <w:szCs w:val="21"/>
              </w:rPr>
            </w:pPr>
          </w:p>
        </w:tc>
        <w:tc>
          <w:tcPr>
            <w:tcW w:w="2249" w:type="pct"/>
            <w:vAlign w:val="center"/>
          </w:tcPr>
          <w:p>
            <w:pPr>
              <w:pStyle w:val="3232"/>
              <w:rPr>
                <w:color w:val="auto"/>
                <w:sz w:val="21"/>
                <w:szCs w:val="21"/>
              </w:rPr>
            </w:pPr>
            <w:r>
              <w:rPr>
                <w:color w:val="auto"/>
                <w:sz w:val="21"/>
                <w:szCs w:val="21"/>
              </w:rPr>
              <w:t>排土场进行分层碾压堆放，采用洒水车定期洒水；长期不使用时，对表层进行遮盖。</w:t>
            </w:r>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 w:hRule="atLeast"/>
        </w:trPr>
        <w:tc>
          <w:tcPr>
            <w:tcW w:w="247" w:type="pct"/>
            <w:vMerge w:val="continue"/>
            <w:vAlign w:val="center"/>
          </w:tcPr>
          <w:p>
            <w:pPr>
              <w:pStyle w:val="3232"/>
              <w:rPr>
                <w:color w:val="auto"/>
                <w:sz w:val="21"/>
                <w:szCs w:val="21"/>
              </w:rPr>
            </w:pPr>
          </w:p>
        </w:tc>
        <w:tc>
          <w:tcPr>
            <w:tcW w:w="578" w:type="pct"/>
            <w:vMerge w:val="continue"/>
            <w:vAlign w:val="center"/>
          </w:tcPr>
          <w:p>
            <w:pPr>
              <w:pStyle w:val="3232"/>
              <w:rPr>
                <w:color w:val="auto"/>
                <w:sz w:val="21"/>
                <w:szCs w:val="21"/>
              </w:rPr>
            </w:pPr>
          </w:p>
        </w:tc>
        <w:tc>
          <w:tcPr>
            <w:tcW w:w="322" w:type="pct"/>
            <w:vMerge w:val="continue"/>
            <w:vAlign w:val="center"/>
          </w:tcPr>
          <w:p>
            <w:pPr>
              <w:pStyle w:val="3232"/>
              <w:rPr>
                <w:color w:val="auto"/>
                <w:sz w:val="21"/>
                <w:szCs w:val="21"/>
              </w:rPr>
            </w:pPr>
          </w:p>
        </w:tc>
        <w:tc>
          <w:tcPr>
            <w:tcW w:w="361" w:type="pct"/>
            <w:vMerge w:val="continue"/>
            <w:vAlign w:val="center"/>
          </w:tcPr>
          <w:p>
            <w:pPr>
              <w:pStyle w:val="3232"/>
              <w:rPr>
                <w:color w:val="auto"/>
                <w:sz w:val="21"/>
                <w:szCs w:val="21"/>
              </w:rPr>
            </w:pPr>
          </w:p>
        </w:tc>
        <w:tc>
          <w:tcPr>
            <w:tcW w:w="2249" w:type="pct"/>
            <w:vAlign w:val="center"/>
          </w:tcPr>
          <w:p>
            <w:pPr>
              <w:pStyle w:val="3232"/>
              <w:rPr>
                <w:color w:val="auto"/>
                <w:sz w:val="21"/>
                <w:szCs w:val="21"/>
              </w:rPr>
            </w:pPr>
            <w:r>
              <w:rPr>
                <w:color w:val="auto"/>
                <w:sz w:val="21"/>
                <w:szCs w:val="21"/>
                <w:lang w:bidi="en-US"/>
              </w:rPr>
              <w:t>采用雾炮机对矿区公路进行洒水降尘，在工业场地出口处设置车辆冲洗设施，废水进入沉淀池内，同时对运输车加装篷布实现密闭运输。</w:t>
            </w:r>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7" w:hRule="atLeast"/>
        </w:trPr>
        <w:tc>
          <w:tcPr>
            <w:tcW w:w="247" w:type="pct"/>
            <w:vMerge w:val="continue"/>
            <w:vAlign w:val="center"/>
          </w:tcPr>
          <w:p>
            <w:pPr>
              <w:pStyle w:val="3232"/>
              <w:rPr>
                <w:color w:val="auto"/>
                <w:sz w:val="21"/>
                <w:szCs w:val="21"/>
              </w:rPr>
            </w:pPr>
          </w:p>
        </w:tc>
        <w:tc>
          <w:tcPr>
            <w:tcW w:w="578" w:type="pct"/>
            <w:vMerge w:val="restart"/>
            <w:vAlign w:val="center"/>
          </w:tcPr>
          <w:p>
            <w:pPr>
              <w:pStyle w:val="3232"/>
              <w:rPr>
                <w:color w:val="auto"/>
                <w:sz w:val="21"/>
                <w:szCs w:val="21"/>
              </w:rPr>
            </w:pPr>
            <w:r>
              <w:rPr>
                <w:color w:val="auto"/>
                <w:sz w:val="21"/>
                <w:szCs w:val="21"/>
              </w:rPr>
              <w:t>工业场地</w:t>
            </w:r>
          </w:p>
        </w:tc>
        <w:tc>
          <w:tcPr>
            <w:tcW w:w="322" w:type="pct"/>
            <w:vAlign w:val="center"/>
          </w:tcPr>
          <w:p>
            <w:pPr>
              <w:pStyle w:val="3232"/>
              <w:rPr>
                <w:color w:val="auto"/>
                <w:sz w:val="21"/>
                <w:szCs w:val="21"/>
              </w:rPr>
            </w:pPr>
            <w:r>
              <w:rPr>
                <w:color w:val="auto"/>
                <w:sz w:val="21"/>
                <w:szCs w:val="21"/>
              </w:rPr>
              <w:t>1#布袋除尘器（DA001）</w:t>
            </w:r>
          </w:p>
        </w:tc>
        <w:tc>
          <w:tcPr>
            <w:tcW w:w="361" w:type="pct"/>
            <w:vAlign w:val="center"/>
          </w:tcPr>
          <w:p>
            <w:pPr>
              <w:pStyle w:val="3232"/>
              <w:rPr>
                <w:color w:val="auto"/>
                <w:sz w:val="21"/>
                <w:szCs w:val="21"/>
              </w:rPr>
            </w:pPr>
            <w:r>
              <w:rPr>
                <w:color w:val="auto"/>
                <w:sz w:val="21"/>
                <w:szCs w:val="21"/>
              </w:rPr>
              <w:t>颗粒物</w:t>
            </w:r>
          </w:p>
        </w:tc>
        <w:tc>
          <w:tcPr>
            <w:tcW w:w="2249" w:type="pct"/>
            <w:vAlign w:val="center"/>
          </w:tcPr>
          <w:p>
            <w:pPr>
              <w:spacing w:line="240" w:lineRule="auto"/>
              <w:ind w:firstLine="0" w:firstLineChars="0"/>
              <w:jc w:val="both"/>
              <w:rPr>
                <w:bCs/>
                <w:sz w:val="21"/>
                <w:szCs w:val="21"/>
              </w:rPr>
            </w:pPr>
            <w:r>
              <w:rPr>
                <w:rFonts w:hint="eastAsia" w:ascii="宋体" w:hAnsi="宋体" w:cs="宋体"/>
                <w:sz w:val="21"/>
                <w:szCs w:val="21"/>
                <w:lang w:eastAsia="ja-JP"/>
              </w:rPr>
              <w:t>①</w:t>
            </w:r>
            <w:r>
              <w:rPr>
                <w:sz w:val="21"/>
                <w:szCs w:val="21"/>
              </w:rPr>
              <w:t>破碎筛分生产线设备布置于封闭彩钢棚车间内，给料机</w:t>
            </w:r>
            <w:r>
              <w:rPr>
                <w:bCs/>
                <w:sz w:val="21"/>
                <w:szCs w:val="21"/>
              </w:rPr>
              <w:t>进料口设三面围挡和高压喷雾洒水降尘，并且破碎粉尘收集后进入1#布袋除尘器处理后通过15m高排气筒（DA001）排放。</w:t>
            </w:r>
          </w:p>
          <w:p>
            <w:pPr>
              <w:spacing w:line="240" w:lineRule="auto"/>
              <w:ind w:firstLine="0" w:firstLineChars="0"/>
              <w:jc w:val="both"/>
              <w:rPr>
                <w:bCs/>
                <w:sz w:val="21"/>
                <w:szCs w:val="21"/>
              </w:rPr>
            </w:pPr>
            <w:r>
              <w:rPr>
                <w:rFonts w:hint="eastAsia" w:ascii="宋体" w:hAnsi="宋体" w:cs="宋体"/>
                <w:bCs/>
                <w:sz w:val="21"/>
                <w:szCs w:val="21"/>
              </w:rPr>
              <w:t>②</w:t>
            </w:r>
            <w:r>
              <w:rPr>
                <w:bCs/>
                <w:sz w:val="21"/>
                <w:szCs w:val="21"/>
              </w:rPr>
              <w:t>反击破碎机（1#）设置1#布袋除尘收集处理后经高15m排气筒（DA001）达标排放。</w:t>
            </w:r>
          </w:p>
          <w:p>
            <w:pPr>
              <w:spacing w:line="240" w:lineRule="auto"/>
              <w:ind w:firstLine="0" w:firstLineChars="0"/>
              <w:jc w:val="both"/>
              <w:rPr>
                <w:sz w:val="21"/>
                <w:szCs w:val="21"/>
              </w:rPr>
            </w:pPr>
            <w:r>
              <w:rPr>
                <w:rFonts w:hint="eastAsia" w:ascii="宋体" w:hAnsi="宋体" w:cs="宋体"/>
                <w:bCs/>
                <w:sz w:val="21"/>
                <w:szCs w:val="21"/>
              </w:rPr>
              <w:t>③</w:t>
            </w:r>
            <w:r>
              <w:rPr>
                <w:bCs/>
                <w:sz w:val="21"/>
                <w:szCs w:val="21"/>
              </w:rPr>
              <w:t>对现有布袋除尘器内的布袋进行更换，使用性能优良的布袋，确保稳定达标；对布袋除尘器排气筒进行修复，高度不低于15m。</w:t>
            </w:r>
          </w:p>
        </w:tc>
        <w:tc>
          <w:tcPr>
            <w:tcW w:w="706" w:type="pct"/>
            <w:vMerge w:val="continue"/>
            <w:vAlign w:val="center"/>
          </w:tcPr>
          <w:p>
            <w:pPr>
              <w:pStyle w:val="3232"/>
              <w:rPr>
                <w:color w:val="auto"/>
                <w:sz w:val="21"/>
                <w:szCs w:val="21"/>
              </w:rPr>
            </w:pPr>
          </w:p>
        </w:tc>
        <w:tc>
          <w:tcPr>
            <w:tcW w:w="536" w:type="pct"/>
            <w:vMerge w:val="restart"/>
            <w:vAlign w:val="center"/>
          </w:tcPr>
          <w:p>
            <w:pPr>
              <w:pStyle w:val="3232"/>
              <w:rPr>
                <w:color w:val="auto"/>
                <w:sz w:val="21"/>
                <w:szCs w:val="21"/>
              </w:rPr>
            </w:pPr>
            <w:r>
              <w:rPr>
                <w:color w:val="auto"/>
                <w:sz w:val="21"/>
                <w:szCs w:val="21"/>
              </w:rPr>
              <w:t>颗粒物≤100mg/m</w:t>
            </w:r>
            <w:r>
              <w:rPr>
                <w:color w:val="auto"/>
                <w:sz w:val="21"/>
                <w:szCs w:val="21"/>
                <w:vertAlign w:val="superscript"/>
              </w:rPr>
              <w:t>3</w:t>
            </w:r>
            <w:r>
              <w:rPr>
                <w:color w:val="auto"/>
                <w:sz w:val="21"/>
                <w:szCs w:val="21"/>
              </w:rPr>
              <w:t>，最高允许排放速率≤1.5kg/h（一级排放限值）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247" w:type="pct"/>
            <w:vMerge w:val="continue"/>
            <w:vAlign w:val="center"/>
          </w:tcPr>
          <w:p>
            <w:pPr>
              <w:pStyle w:val="3232"/>
              <w:rPr>
                <w:color w:val="auto"/>
                <w:sz w:val="21"/>
                <w:szCs w:val="21"/>
              </w:rPr>
            </w:pPr>
          </w:p>
        </w:tc>
        <w:tc>
          <w:tcPr>
            <w:tcW w:w="578" w:type="pct"/>
            <w:vMerge w:val="continue"/>
            <w:vAlign w:val="center"/>
          </w:tcPr>
          <w:p>
            <w:pPr>
              <w:pStyle w:val="3232"/>
              <w:rPr>
                <w:color w:val="auto"/>
                <w:sz w:val="21"/>
                <w:szCs w:val="21"/>
              </w:rPr>
            </w:pPr>
          </w:p>
        </w:tc>
        <w:tc>
          <w:tcPr>
            <w:tcW w:w="322" w:type="pct"/>
            <w:vAlign w:val="center"/>
          </w:tcPr>
          <w:p>
            <w:pPr>
              <w:pStyle w:val="3232"/>
              <w:rPr>
                <w:color w:val="auto"/>
                <w:sz w:val="21"/>
                <w:szCs w:val="21"/>
              </w:rPr>
            </w:pPr>
            <w:r>
              <w:rPr>
                <w:color w:val="auto"/>
                <w:sz w:val="21"/>
                <w:szCs w:val="21"/>
              </w:rPr>
              <w:t>2#布袋除尘器（DA002）</w:t>
            </w:r>
          </w:p>
        </w:tc>
        <w:tc>
          <w:tcPr>
            <w:tcW w:w="361" w:type="pct"/>
            <w:vAlign w:val="center"/>
          </w:tcPr>
          <w:p>
            <w:pPr>
              <w:pStyle w:val="3232"/>
              <w:rPr>
                <w:color w:val="auto"/>
                <w:sz w:val="21"/>
                <w:szCs w:val="21"/>
              </w:rPr>
            </w:pPr>
            <w:r>
              <w:rPr>
                <w:color w:val="auto"/>
                <w:sz w:val="21"/>
                <w:szCs w:val="21"/>
              </w:rPr>
              <w:t>颗粒物</w:t>
            </w:r>
          </w:p>
        </w:tc>
        <w:tc>
          <w:tcPr>
            <w:tcW w:w="2249" w:type="pct"/>
            <w:vAlign w:val="center"/>
          </w:tcPr>
          <w:p>
            <w:pPr>
              <w:spacing w:line="240" w:lineRule="auto"/>
              <w:ind w:firstLine="0" w:firstLineChars="0"/>
              <w:jc w:val="both"/>
              <w:rPr>
                <w:bCs/>
                <w:sz w:val="21"/>
                <w:szCs w:val="21"/>
              </w:rPr>
            </w:pPr>
            <w:r>
              <w:rPr>
                <w:rFonts w:hint="eastAsia" w:ascii="宋体" w:hAnsi="宋体" w:cs="宋体"/>
                <w:bCs/>
                <w:sz w:val="21"/>
                <w:szCs w:val="21"/>
              </w:rPr>
              <w:t>①</w:t>
            </w:r>
            <w:r>
              <w:rPr>
                <w:bCs/>
                <w:sz w:val="21"/>
                <w:szCs w:val="21"/>
              </w:rPr>
              <w:t>反击破碎机（2#）设置2#布袋除尘收集处理后经高15m排气筒（DA002）达标排放；</w:t>
            </w:r>
          </w:p>
          <w:p>
            <w:pPr>
              <w:spacing w:line="240" w:lineRule="auto"/>
              <w:ind w:firstLine="0" w:firstLineChars="0"/>
              <w:jc w:val="both"/>
              <w:rPr>
                <w:bCs/>
                <w:sz w:val="21"/>
                <w:szCs w:val="21"/>
                <w:lang w:bidi="en-US"/>
              </w:rPr>
            </w:pPr>
            <w:r>
              <w:rPr>
                <w:rFonts w:hint="eastAsia" w:ascii="宋体" w:hAnsi="宋体" w:cs="宋体"/>
                <w:bCs/>
                <w:sz w:val="21"/>
                <w:szCs w:val="21"/>
              </w:rPr>
              <w:t>②</w:t>
            </w:r>
            <w:r>
              <w:rPr>
                <w:bCs/>
                <w:sz w:val="21"/>
                <w:szCs w:val="21"/>
              </w:rPr>
              <w:t>对现有布袋除尘器内的布袋进行更换，使用性能优良的布袋，确保稳定达标；</w:t>
            </w:r>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7" w:hRule="atLeast"/>
        </w:trPr>
        <w:tc>
          <w:tcPr>
            <w:tcW w:w="247" w:type="pct"/>
            <w:vMerge w:val="continue"/>
            <w:vAlign w:val="center"/>
          </w:tcPr>
          <w:p>
            <w:pPr>
              <w:pStyle w:val="3232"/>
              <w:rPr>
                <w:color w:val="auto"/>
                <w:sz w:val="21"/>
                <w:szCs w:val="21"/>
              </w:rPr>
            </w:pPr>
          </w:p>
        </w:tc>
        <w:tc>
          <w:tcPr>
            <w:tcW w:w="578" w:type="pct"/>
            <w:vMerge w:val="continue"/>
            <w:vAlign w:val="center"/>
          </w:tcPr>
          <w:p>
            <w:pPr>
              <w:pStyle w:val="3232"/>
              <w:rPr>
                <w:color w:val="auto"/>
                <w:sz w:val="21"/>
                <w:szCs w:val="21"/>
              </w:rPr>
            </w:pPr>
          </w:p>
        </w:tc>
        <w:tc>
          <w:tcPr>
            <w:tcW w:w="322" w:type="pct"/>
            <w:vAlign w:val="center"/>
          </w:tcPr>
          <w:p>
            <w:pPr>
              <w:pStyle w:val="3232"/>
              <w:rPr>
                <w:color w:val="auto"/>
                <w:sz w:val="21"/>
                <w:szCs w:val="21"/>
              </w:rPr>
            </w:pPr>
            <w:r>
              <w:rPr>
                <w:color w:val="auto"/>
                <w:sz w:val="21"/>
                <w:szCs w:val="21"/>
              </w:rPr>
              <w:t>3#布袋除尘器（DA003）</w:t>
            </w:r>
          </w:p>
        </w:tc>
        <w:tc>
          <w:tcPr>
            <w:tcW w:w="361" w:type="pct"/>
            <w:vAlign w:val="center"/>
          </w:tcPr>
          <w:p>
            <w:pPr>
              <w:pStyle w:val="3232"/>
              <w:rPr>
                <w:color w:val="auto"/>
                <w:sz w:val="21"/>
                <w:szCs w:val="21"/>
              </w:rPr>
            </w:pPr>
            <w:r>
              <w:rPr>
                <w:color w:val="auto"/>
                <w:sz w:val="21"/>
                <w:szCs w:val="21"/>
              </w:rPr>
              <w:t>颗粒物</w:t>
            </w:r>
          </w:p>
        </w:tc>
        <w:tc>
          <w:tcPr>
            <w:tcW w:w="2249" w:type="pct"/>
            <w:vAlign w:val="center"/>
          </w:tcPr>
          <w:p>
            <w:pPr>
              <w:spacing w:line="240" w:lineRule="auto"/>
              <w:ind w:firstLine="0" w:firstLineChars="0"/>
              <w:jc w:val="both"/>
              <w:rPr>
                <w:bCs/>
                <w:sz w:val="21"/>
                <w:szCs w:val="21"/>
              </w:rPr>
            </w:pPr>
            <w:r>
              <w:rPr>
                <w:rFonts w:hint="eastAsia" w:ascii="宋体" w:hAnsi="宋体" w:cs="宋体"/>
                <w:bCs/>
                <w:sz w:val="21"/>
                <w:szCs w:val="21"/>
              </w:rPr>
              <w:t>①</w:t>
            </w:r>
            <w:r>
              <w:rPr>
                <w:bCs/>
                <w:sz w:val="21"/>
                <w:szCs w:val="21"/>
              </w:rPr>
              <w:t>筛分设置1套布袋除尘收集处理后经高15m排气筒（DA003）达标排放；</w:t>
            </w:r>
          </w:p>
          <w:p>
            <w:pPr>
              <w:spacing w:line="240" w:lineRule="auto"/>
              <w:ind w:firstLine="0" w:firstLineChars="0"/>
              <w:jc w:val="both"/>
              <w:rPr>
                <w:bCs/>
                <w:sz w:val="21"/>
                <w:szCs w:val="21"/>
                <w:lang w:bidi="en-US"/>
              </w:rPr>
            </w:pPr>
            <w:r>
              <w:rPr>
                <w:rFonts w:hint="eastAsia" w:ascii="宋体" w:hAnsi="宋体" w:cs="宋体"/>
                <w:bCs/>
                <w:sz w:val="21"/>
                <w:szCs w:val="21"/>
              </w:rPr>
              <w:t>②</w:t>
            </w:r>
            <w:r>
              <w:rPr>
                <w:bCs/>
                <w:sz w:val="21"/>
                <w:szCs w:val="21"/>
              </w:rPr>
              <w:t>对现有布袋除尘器内的布袋进行更换，使用性能优良的布袋，确保稳定达标；</w:t>
            </w:r>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 w:hRule="atLeast"/>
        </w:trPr>
        <w:tc>
          <w:tcPr>
            <w:tcW w:w="247" w:type="pct"/>
            <w:vMerge w:val="continue"/>
            <w:vAlign w:val="center"/>
          </w:tcPr>
          <w:p>
            <w:pPr>
              <w:pStyle w:val="3232"/>
              <w:rPr>
                <w:color w:val="auto"/>
                <w:sz w:val="21"/>
                <w:szCs w:val="21"/>
              </w:rPr>
            </w:pPr>
          </w:p>
        </w:tc>
        <w:tc>
          <w:tcPr>
            <w:tcW w:w="578" w:type="pct"/>
            <w:vMerge w:val="continue"/>
            <w:vAlign w:val="center"/>
          </w:tcPr>
          <w:p>
            <w:pPr>
              <w:pStyle w:val="3232"/>
              <w:rPr>
                <w:color w:val="auto"/>
                <w:sz w:val="21"/>
                <w:szCs w:val="21"/>
              </w:rPr>
            </w:pPr>
          </w:p>
        </w:tc>
        <w:tc>
          <w:tcPr>
            <w:tcW w:w="322" w:type="pct"/>
            <w:vAlign w:val="center"/>
          </w:tcPr>
          <w:p>
            <w:pPr>
              <w:pStyle w:val="3232"/>
              <w:rPr>
                <w:color w:val="auto"/>
                <w:sz w:val="21"/>
                <w:szCs w:val="21"/>
              </w:rPr>
            </w:pPr>
            <w:r>
              <w:rPr>
                <w:color w:val="auto"/>
                <w:sz w:val="21"/>
                <w:szCs w:val="21"/>
              </w:rPr>
              <w:t>工业场地外上下风向</w:t>
            </w:r>
          </w:p>
        </w:tc>
        <w:tc>
          <w:tcPr>
            <w:tcW w:w="361" w:type="pct"/>
            <w:vAlign w:val="center"/>
          </w:tcPr>
          <w:p>
            <w:pPr>
              <w:pStyle w:val="3232"/>
              <w:rPr>
                <w:color w:val="auto"/>
                <w:sz w:val="21"/>
                <w:szCs w:val="21"/>
              </w:rPr>
            </w:pPr>
            <w:r>
              <w:rPr>
                <w:color w:val="auto"/>
                <w:sz w:val="21"/>
                <w:szCs w:val="21"/>
              </w:rPr>
              <w:t>总悬浮颗粒物</w:t>
            </w:r>
          </w:p>
        </w:tc>
        <w:tc>
          <w:tcPr>
            <w:tcW w:w="2249" w:type="pct"/>
            <w:vAlign w:val="center"/>
          </w:tcPr>
          <w:p>
            <w:pPr>
              <w:spacing w:line="240" w:lineRule="auto"/>
              <w:ind w:firstLine="0" w:firstLineChars="0"/>
              <w:jc w:val="both"/>
              <w:rPr>
                <w:bCs/>
                <w:sz w:val="21"/>
                <w:szCs w:val="21"/>
                <w:lang w:bidi="en-US"/>
              </w:rPr>
            </w:pPr>
            <w:r>
              <w:rPr>
                <w:rFonts w:hint="eastAsia" w:ascii="宋体" w:hAnsi="宋体" w:cs="宋体"/>
                <w:bCs/>
                <w:sz w:val="21"/>
                <w:szCs w:val="21"/>
                <w:lang w:bidi="en-US"/>
              </w:rPr>
              <w:t>①</w:t>
            </w:r>
            <w:r>
              <w:rPr>
                <w:bCs/>
                <w:sz w:val="21"/>
                <w:szCs w:val="21"/>
                <w:lang w:bidi="en-US"/>
              </w:rPr>
              <w:t>产品仓为全密闭式，在顶部设置盖板和过滤网，产品仓底部落料皮带设置防尘罩，装车点设喷雾装置降尘；</w:t>
            </w:r>
          </w:p>
          <w:p>
            <w:pPr>
              <w:spacing w:line="240" w:lineRule="auto"/>
              <w:ind w:firstLine="0" w:firstLineChars="0"/>
              <w:jc w:val="both"/>
              <w:rPr>
                <w:bCs/>
                <w:sz w:val="21"/>
                <w:szCs w:val="21"/>
                <w:lang w:bidi="en-US"/>
              </w:rPr>
            </w:pPr>
            <w:r>
              <w:rPr>
                <w:rFonts w:hint="eastAsia" w:ascii="宋体" w:hAnsi="宋体" w:cs="宋体"/>
                <w:bCs/>
                <w:sz w:val="21"/>
                <w:szCs w:val="21"/>
                <w:lang w:bidi="en-US"/>
              </w:rPr>
              <w:t>②</w:t>
            </w:r>
            <w:r>
              <w:rPr>
                <w:bCs/>
                <w:sz w:val="21"/>
                <w:szCs w:val="21"/>
                <w:lang w:bidi="en-US"/>
              </w:rPr>
              <w:t>产品堆场设置在厂房内，封闭储存，篷布遮盖。</w:t>
            </w:r>
          </w:p>
          <w:p>
            <w:pPr>
              <w:spacing w:line="240" w:lineRule="auto"/>
              <w:ind w:firstLine="0" w:firstLineChars="0"/>
              <w:jc w:val="both"/>
              <w:rPr>
                <w:bCs/>
                <w:sz w:val="21"/>
                <w:szCs w:val="21"/>
                <w:lang w:bidi="en-US"/>
              </w:rPr>
            </w:pPr>
            <w:r>
              <w:rPr>
                <w:rFonts w:hint="eastAsia" w:ascii="宋体" w:hAnsi="宋体" w:cs="宋体"/>
                <w:bCs/>
                <w:sz w:val="21"/>
                <w:szCs w:val="21"/>
              </w:rPr>
              <w:t>③</w:t>
            </w:r>
            <w:r>
              <w:rPr>
                <w:bCs/>
                <w:sz w:val="21"/>
                <w:szCs w:val="21"/>
              </w:rPr>
              <w:t>调整反击式破碎机、筛分进料口附近的喷雾装置，朝向进料口，确保喷雾能有效降尘；对车间内四周、顶部、设备旁加密喷雾管道及开孔，加压水雾，确保有效的出水及降尘效果；</w:t>
            </w:r>
          </w:p>
          <w:p>
            <w:pPr>
              <w:spacing w:line="240" w:lineRule="auto"/>
              <w:ind w:firstLine="0" w:firstLineChars="0"/>
              <w:jc w:val="both"/>
              <w:rPr>
                <w:sz w:val="21"/>
                <w:szCs w:val="21"/>
              </w:rPr>
            </w:pPr>
            <w:r>
              <w:rPr>
                <w:rFonts w:hint="eastAsia" w:ascii="宋体" w:hAnsi="宋体" w:cs="宋体"/>
                <w:sz w:val="21"/>
                <w:szCs w:val="21"/>
              </w:rPr>
              <w:t>④</w:t>
            </w:r>
            <w:r>
              <w:rPr>
                <w:sz w:val="21"/>
                <w:szCs w:val="21"/>
              </w:rPr>
              <w:t>四周设置喷雾洒水装置，</w:t>
            </w:r>
            <w:bookmarkStart w:id="242" w:name="_Hlk161670017"/>
            <w:r>
              <w:rPr>
                <w:sz w:val="21"/>
                <w:szCs w:val="21"/>
              </w:rPr>
              <w:t>降低物料与车斗高差，提高人员素质，文明作业；不装车时对物料进行覆盖。</w:t>
            </w:r>
            <w:bookmarkEnd w:id="242"/>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247" w:type="pct"/>
            <w:vMerge w:val="restart"/>
            <w:vAlign w:val="center"/>
          </w:tcPr>
          <w:p>
            <w:pPr>
              <w:pStyle w:val="3232"/>
              <w:rPr>
                <w:color w:val="auto"/>
                <w:sz w:val="21"/>
                <w:szCs w:val="21"/>
              </w:rPr>
            </w:pPr>
            <w:r>
              <w:rPr>
                <w:color w:val="auto"/>
                <w:sz w:val="21"/>
                <w:szCs w:val="21"/>
              </w:rPr>
              <w:t>废水</w:t>
            </w:r>
          </w:p>
        </w:tc>
        <w:tc>
          <w:tcPr>
            <w:tcW w:w="578" w:type="pct"/>
            <w:vAlign w:val="center"/>
          </w:tcPr>
          <w:p>
            <w:pPr>
              <w:pStyle w:val="3232"/>
              <w:rPr>
                <w:color w:val="auto"/>
                <w:sz w:val="21"/>
                <w:szCs w:val="21"/>
              </w:rPr>
            </w:pPr>
            <w:r>
              <w:rPr>
                <w:color w:val="auto"/>
                <w:sz w:val="21"/>
                <w:szCs w:val="21"/>
              </w:rPr>
              <w:t>生产废水</w:t>
            </w:r>
          </w:p>
        </w:tc>
        <w:tc>
          <w:tcPr>
            <w:tcW w:w="322" w:type="pct"/>
            <w:vAlign w:val="center"/>
          </w:tcPr>
          <w:p>
            <w:pPr>
              <w:pStyle w:val="3232"/>
              <w:rPr>
                <w:color w:val="auto"/>
                <w:sz w:val="21"/>
                <w:szCs w:val="21"/>
              </w:rPr>
            </w:pPr>
            <w:r>
              <w:rPr>
                <w:color w:val="auto"/>
                <w:sz w:val="21"/>
                <w:szCs w:val="21"/>
              </w:rPr>
              <w:t>/</w:t>
            </w:r>
          </w:p>
        </w:tc>
        <w:tc>
          <w:tcPr>
            <w:tcW w:w="361" w:type="pct"/>
            <w:vAlign w:val="center"/>
          </w:tcPr>
          <w:p>
            <w:pPr>
              <w:pStyle w:val="3232"/>
              <w:rPr>
                <w:color w:val="auto"/>
                <w:sz w:val="21"/>
                <w:szCs w:val="21"/>
              </w:rPr>
            </w:pPr>
            <w:r>
              <w:rPr>
                <w:color w:val="auto"/>
                <w:sz w:val="21"/>
                <w:szCs w:val="21"/>
              </w:rPr>
              <w:t>SS、石油类</w:t>
            </w:r>
          </w:p>
        </w:tc>
        <w:tc>
          <w:tcPr>
            <w:tcW w:w="2249" w:type="pct"/>
            <w:vAlign w:val="center"/>
          </w:tcPr>
          <w:p>
            <w:pPr>
              <w:pStyle w:val="3232"/>
              <w:rPr>
                <w:color w:val="auto"/>
                <w:sz w:val="21"/>
                <w:szCs w:val="21"/>
              </w:rPr>
            </w:pPr>
            <w:r>
              <w:rPr>
                <w:color w:val="auto"/>
                <w:sz w:val="21"/>
                <w:szCs w:val="21"/>
              </w:rPr>
              <w:t>在矿区与工业场地出口处各设置1处车辆冲洗点，对进出矿区的车辆进行冲洗，产生的车辆冲洗废水经沉淀池处理循环用于洗车或道路洒水，不外排。</w:t>
            </w:r>
          </w:p>
        </w:tc>
        <w:tc>
          <w:tcPr>
            <w:tcW w:w="706" w:type="pct"/>
            <w:vAlign w:val="center"/>
          </w:tcPr>
          <w:p>
            <w:pPr>
              <w:pStyle w:val="3232"/>
              <w:rPr>
                <w:color w:val="auto"/>
                <w:sz w:val="21"/>
                <w:szCs w:val="21"/>
              </w:rPr>
            </w:pPr>
            <w:r>
              <w:rPr>
                <w:color w:val="auto"/>
                <w:sz w:val="21"/>
                <w:szCs w:val="21"/>
              </w:rPr>
              <w:t>/</w:t>
            </w:r>
          </w:p>
        </w:tc>
        <w:tc>
          <w:tcPr>
            <w:tcW w:w="536" w:type="pct"/>
            <w:vAlign w:val="center"/>
          </w:tcPr>
          <w:p>
            <w:pPr>
              <w:pStyle w:val="3232"/>
              <w:rPr>
                <w:color w:val="auto"/>
                <w:sz w:val="21"/>
                <w:szCs w:val="21"/>
              </w:rPr>
            </w:pPr>
            <w:r>
              <w:rPr>
                <w:color w:val="auto"/>
                <w:sz w:val="21"/>
                <w:szCs w:val="21"/>
              </w:rPr>
              <w:t>无废水外排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rPr>
        <w:tc>
          <w:tcPr>
            <w:tcW w:w="247" w:type="pct"/>
            <w:vMerge w:val="continue"/>
            <w:vAlign w:val="center"/>
          </w:tcPr>
          <w:p>
            <w:pPr>
              <w:pStyle w:val="3232"/>
              <w:rPr>
                <w:color w:val="auto"/>
                <w:sz w:val="21"/>
                <w:szCs w:val="21"/>
              </w:rPr>
            </w:pPr>
          </w:p>
        </w:tc>
        <w:tc>
          <w:tcPr>
            <w:tcW w:w="578" w:type="pct"/>
            <w:vAlign w:val="center"/>
          </w:tcPr>
          <w:p>
            <w:pPr>
              <w:pStyle w:val="3232"/>
              <w:rPr>
                <w:color w:val="auto"/>
                <w:sz w:val="21"/>
                <w:szCs w:val="21"/>
              </w:rPr>
            </w:pPr>
            <w:r>
              <w:rPr>
                <w:color w:val="auto"/>
                <w:sz w:val="21"/>
                <w:szCs w:val="21"/>
              </w:rPr>
              <w:t>生活污水</w:t>
            </w:r>
          </w:p>
        </w:tc>
        <w:tc>
          <w:tcPr>
            <w:tcW w:w="322" w:type="pct"/>
            <w:vAlign w:val="center"/>
          </w:tcPr>
          <w:p>
            <w:pPr>
              <w:pStyle w:val="3232"/>
              <w:rPr>
                <w:color w:val="auto"/>
                <w:sz w:val="21"/>
                <w:szCs w:val="21"/>
              </w:rPr>
            </w:pPr>
            <w:r>
              <w:rPr>
                <w:color w:val="auto"/>
                <w:sz w:val="21"/>
                <w:szCs w:val="21"/>
              </w:rPr>
              <w:t>/</w:t>
            </w:r>
          </w:p>
        </w:tc>
        <w:tc>
          <w:tcPr>
            <w:tcW w:w="361" w:type="pct"/>
            <w:vAlign w:val="center"/>
          </w:tcPr>
          <w:p>
            <w:pPr>
              <w:pStyle w:val="3232"/>
              <w:rPr>
                <w:color w:val="auto"/>
                <w:sz w:val="21"/>
                <w:szCs w:val="21"/>
              </w:rPr>
            </w:pPr>
            <w:r>
              <w:rPr>
                <w:color w:val="auto"/>
                <w:sz w:val="21"/>
                <w:szCs w:val="21"/>
                <w:lang w:val="en-GB"/>
              </w:rPr>
              <w:t>COD、氨氮、SS、动植物油</w:t>
            </w:r>
          </w:p>
        </w:tc>
        <w:tc>
          <w:tcPr>
            <w:tcW w:w="2249" w:type="pct"/>
            <w:vAlign w:val="center"/>
          </w:tcPr>
          <w:p>
            <w:pPr>
              <w:pStyle w:val="3232"/>
              <w:rPr>
                <w:color w:val="auto"/>
                <w:sz w:val="21"/>
                <w:szCs w:val="21"/>
              </w:rPr>
            </w:pPr>
            <w:r>
              <w:rPr>
                <w:color w:val="auto"/>
                <w:sz w:val="21"/>
                <w:szCs w:val="21"/>
              </w:rPr>
              <w:t>生活污水经化粪池收集</w:t>
            </w:r>
            <w:r>
              <w:rPr>
                <w:bCs/>
                <w:color w:val="auto"/>
                <w:sz w:val="21"/>
                <w:szCs w:val="21"/>
              </w:rPr>
              <w:t>（规模30m</w:t>
            </w:r>
            <w:r>
              <w:rPr>
                <w:bCs/>
                <w:color w:val="auto"/>
                <w:sz w:val="21"/>
                <w:szCs w:val="21"/>
                <w:vertAlign w:val="superscript"/>
              </w:rPr>
              <w:t>3</w:t>
            </w:r>
            <w:r>
              <w:rPr>
                <w:bCs/>
                <w:color w:val="auto"/>
                <w:sz w:val="21"/>
                <w:szCs w:val="21"/>
              </w:rPr>
              <w:t>/d）</w:t>
            </w:r>
            <w:r>
              <w:rPr>
                <w:color w:val="auto"/>
                <w:sz w:val="21"/>
                <w:szCs w:val="21"/>
              </w:rPr>
              <w:t>处理后用作农肥，不外排。</w:t>
            </w:r>
          </w:p>
        </w:tc>
        <w:tc>
          <w:tcPr>
            <w:tcW w:w="706" w:type="pct"/>
            <w:vAlign w:val="center"/>
          </w:tcPr>
          <w:p>
            <w:pPr>
              <w:pStyle w:val="3232"/>
              <w:rPr>
                <w:color w:val="auto"/>
                <w:sz w:val="21"/>
                <w:szCs w:val="21"/>
              </w:rPr>
            </w:pPr>
            <w:r>
              <w:rPr>
                <w:color w:val="auto"/>
                <w:sz w:val="21"/>
                <w:szCs w:val="21"/>
              </w:rPr>
              <w:t>/</w:t>
            </w:r>
          </w:p>
        </w:tc>
        <w:tc>
          <w:tcPr>
            <w:tcW w:w="536" w:type="pct"/>
            <w:vAlign w:val="center"/>
          </w:tcPr>
          <w:p>
            <w:pPr>
              <w:pStyle w:val="3232"/>
              <w:rPr>
                <w:color w:val="auto"/>
                <w:sz w:val="21"/>
                <w:szCs w:val="21"/>
              </w:rPr>
            </w:pPr>
            <w:r>
              <w:rPr>
                <w:color w:val="auto"/>
                <w:sz w:val="21"/>
                <w:szCs w:val="21"/>
              </w:rPr>
              <w:t>无废水外排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Merge w:val="continue"/>
            <w:vAlign w:val="center"/>
          </w:tcPr>
          <w:p>
            <w:pPr>
              <w:pStyle w:val="3232"/>
              <w:rPr>
                <w:color w:val="auto"/>
                <w:sz w:val="21"/>
                <w:szCs w:val="21"/>
              </w:rPr>
            </w:pPr>
          </w:p>
        </w:tc>
        <w:tc>
          <w:tcPr>
            <w:tcW w:w="578" w:type="pct"/>
            <w:vAlign w:val="center"/>
          </w:tcPr>
          <w:p>
            <w:pPr>
              <w:pStyle w:val="3232"/>
              <w:rPr>
                <w:color w:val="auto"/>
                <w:sz w:val="21"/>
                <w:szCs w:val="21"/>
              </w:rPr>
            </w:pPr>
            <w:r>
              <w:rPr>
                <w:color w:val="auto"/>
                <w:sz w:val="21"/>
                <w:szCs w:val="21"/>
              </w:rPr>
              <w:t>初期雨水</w:t>
            </w:r>
          </w:p>
        </w:tc>
        <w:tc>
          <w:tcPr>
            <w:tcW w:w="322" w:type="pct"/>
            <w:vAlign w:val="center"/>
          </w:tcPr>
          <w:p>
            <w:pPr>
              <w:pStyle w:val="3232"/>
              <w:rPr>
                <w:color w:val="auto"/>
                <w:sz w:val="21"/>
                <w:szCs w:val="21"/>
              </w:rPr>
            </w:pPr>
            <w:r>
              <w:rPr>
                <w:color w:val="auto"/>
                <w:sz w:val="21"/>
                <w:szCs w:val="21"/>
              </w:rPr>
              <w:t>/</w:t>
            </w:r>
          </w:p>
        </w:tc>
        <w:tc>
          <w:tcPr>
            <w:tcW w:w="361" w:type="pct"/>
            <w:vAlign w:val="center"/>
          </w:tcPr>
          <w:p>
            <w:pPr>
              <w:pStyle w:val="3232"/>
              <w:rPr>
                <w:color w:val="auto"/>
                <w:sz w:val="21"/>
                <w:szCs w:val="21"/>
              </w:rPr>
            </w:pPr>
            <w:r>
              <w:rPr>
                <w:color w:val="auto"/>
                <w:sz w:val="21"/>
                <w:szCs w:val="21"/>
              </w:rPr>
              <w:t>SS</w:t>
            </w:r>
          </w:p>
        </w:tc>
        <w:tc>
          <w:tcPr>
            <w:tcW w:w="2249" w:type="pct"/>
            <w:vAlign w:val="center"/>
          </w:tcPr>
          <w:p>
            <w:pPr>
              <w:pStyle w:val="3232"/>
              <w:rPr>
                <w:color w:val="auto"/>
                <w:sz w:val="21"/>
                <w:szCs w:val="21"/>
              </w:rPr>
            </w:pPr>
            <w:r>
              <w:rPr>
                <w:rFonts w:hint="eastAsia" w:ascii="宋体" w:hAnsi="宋体" w:cs="宋体"/>
                <w:color w:val="auto"/>
                <w:sz w:val="21"/>
                <w:szCs w:val="21"/>
              </w:rPr>
              <w:t>①</w:t>
            </w:r>
            <w:r>
              <w:rPr>
                <w:color w:val="auto"/>
                <w:sz w:val="21"/>
                <w:szCs w:val="21"/>
              </w:rPr>
              <w:t>在采区东侧、南侧、西侧设置排水沟，东北侧沟尾端设置1个沉砂池，初期雨水收集后经沉淀处理后外排。</w:t>
            </w:r>
          </w:p>
          <w:p>
            <w:pPr>
              <w:pStyle w:val="3232"/>
              <w:rPr>
                <w:color w:val="auto"/>
                <w:sz w:val="21"/>
                <w:szCs w:val="21"/>
              </w:rPr>
            </w:pPr>
            <w:r>
              <w:rPr>
                <w:rFonts w:hint="eastAsia" w:ascii="宋体" w:hAnsi="宋体" w:cs="宋体"/>
                <w:color w:val="auto"/>
                <w:sz w:val="21"/>
                <w:szCs w:val="21"/>
              </w:rPr>
              <w:t>②</w:t>
            </w:r>
            <w:r>
              <w:rPr>
                <w:color w:val="auto"/>
                <w:sz w:val="21"/>
                <w:szCs w:val="21"/>
              </w:rPr>
              <w:t>排土场四周均设置截排水沟，排土场下游设施挡墙，初期雨水经沉淀处理后汇入周边现有排洪沟排出。</w:t>
            </w:r>
          </w:p>
        </w:tc>
        <w:tc>
          <w:tcPr>
            <w:tcW w:w="706" w:type="pct"/>
            <w:vAlign w:val="center"/>
          </w:tcPr>
          <w:p>
            <w:pPr>
              <w:pStyle w:val="3232"/>
              <w:rPr>
                <w:color w:val="auto"/>
                <w:sz w:val="21"/>
                <w:szCs w:val="21"/>
              </w:rPr>
            </w:pPr>
            <w:r>
              <w:rPr>
                <w:color w:val="auto"/>
                <w:sz w:val="21"/>
                <w:szCs w:val="21"/>
              </w:rPr>
              <w:t>/</w:t>
            </w:r>
          </w:p>
        </w:tc>
        <w:tc>
          <w:tcPr>
            <w:tcW w:w="536" w:type="pct"/>
            <w:vAlign w:val="center"/>
          </w:tcPr>
          <w:p>
            <w:pPr>
              <w:pStyle w:val="3232"/>
              <w:rPr>
                <w:color w:val="auto"/>
                <w:sz w:val="21"/>
                <w:szCs w:val="21"/>
              </w:rPr>
            </w:pPr>
            <w:r>
              <w:rPr>
                <w:color w:val="auto"/>
                <w:sz w:val="21"/>
                <w:szCs w:val="21"/>
              </w:rPr>
              <w:t>沉淀处理后部分回用，其余外排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7" w:type="pct"/>
            <w:vAlign w:val="center"/>
          </w:tcPr>
          <w:p>
            <w:pPr>
              <w:pStyle w:val="3232"/>
              <w:rPr>
                <w:color w:val="auto"/>
                <w:sz w:val="21"/>
                <w:szCs w:val="21"/>
              </w:rPr>
            </w:pPr>
            <w:r>
              <w:rPr>
                <w:color w:val="auto"/>
                <w:sz w:val="21"/>
                <w:szCs w:val="21"/>
              </w:rPr>
              <w:t>噪声</w:t>
            </w:r>
          </w:p>
        </w:tc>
        <w:tc>
          <w:tcPr>
            <w:tcW w:w="578" w:type="pct"/>
            <w:vAlign w:val="center"/>
          </w:tcPr>
          <w:p>
            <w:pPr>
              <w:pStyle w:val="3232"/>
              <w:rPr>
                <w:color w:val="auto"/>
                <w:sz w:val="21"/>
                <w:szCs w:val="21"/>
              </w:rPr>
            </w:pPr>
            <w:r>
              <w:rPr>
                <w:color w:val="auto"/>
                <w:sz w:val="21"/>
                <w:szCs w:val="21"/>
              </w:rPr>
              <w:t>设备噪声</w:t>
            </w:r>
          </w:p>
        </w:tc>
        <w:tc>
          <w:tcPr>
            <w:tcW w:w="322" w:type="pct"/>
            <w:vAlign w:val="center"/>
          </w:tcPr>
          <w:p>
            <w:pPr>
              <w:pStyle w:val="3232"/>
              <w:rPr>
                <w:color w:val="auto"/>
                <w:sz w:val="21"/>
                <w:szCs w:val="21"/>
              </w:rPr>
            </w:pPr>
            <w:r>
              <w:rPr>
                <w:color w:val="auto"/>
                <w:sz w:val="21"/>
                <w:szCs w:val="21"/>
              </w:rPr>
              <w:t>四周场界外</w:t>
            </w:r>
          </w:p>
        </w:tc>
        <w:tc>
          <w:tcPr>
            <w:tcW w:w="361" w:type="pct"/>
            <w:vAlign w:val="center"/>
          </w:tcPr>
          <w:p>
            <w:pPr>
              <w:pStyle w:val="3232"/>
              <w:rPr>
                <w:color w:val="auto"/>
                <w:sz w:val="21"/>
                <w:szCs w:val="21"/>
              </w:rPr>
            </w:pPr>
            <w:r>
              <w:rPr>
                <w:color w:val="auto"/>
                <w:sz w:val="21"/>
                <w:szCs w:val="21"/>
              </w:rPr>
              <w:t>噪声</w:t>
            </w:r>
          </w:p>
        </w:tc>
        <w:tc>
          <w:tcPr>
            <w:tcW w:w="2249" w:type="pct"/>
            <w:vAlign w:val="center"/>
          </w:tcPr>
          <w:p>
            <w:pPr>
              <w:pStyle w:val="3232"/>
              <w:rPr>
                <w:color w:val="auto"/>
                <w:sz w:val="21"/>
                <w:szCs w:val="21"/>
              </w:rPr>
            </w:pPr>
            <w:r>
              <w:rPr>
                <w:color w:val="auto"/>
                <w:sz w:val="21"/>
                <w:szCs w:val="21"/>
              </w:rPr>
              <w:t>开采设备加强保养，合理安排作业时间，充分依托矿区自然山体的阻挡降噪；工业场地加工设备置于生产厂房内，采取隔声、减振、消声等措施；合理安排生产和运输时间。</w:t>
            </w:r>
          </w:p>
        </w:tc>
        <w:tc>
          <w:tcPr>
            <w:tcW w:w="706" w:type="pct"/>
            <w:vAlign w:val="center"/>
          </w:tcPr>
          <w:p>
            <w:pPr>
              <w:pStyle w:val="3232"/>
              <w:rPr>
                <w:color w:val="auto"/>
                <w:sz w:val="21"/>
                <w:szCs w:val="21"/>
              </w:rPr>
            </w:pPr>
            <w:r>
              <w:rPr>
                <w:color w:val="auto"/>
                <w:sz w:val="21"/>
                <w:szCs w:val="21"/>
              </w:rPr>
              <w:t>《工业企业厂界环境噪声排放标准》（GB12348-2008）</w:t>
            </w:r>
          </w:p>
        </w:tc>
        <w:tc>
          <w:tcPr>
            <w:tcW w:w="536" w:type="pct"/>
            <w:vAlign w:val="center"/>
          </w:tcPr>
          <w:p>
            <w:pPr>
              <w:pStyle w:val="3232"/>
              <w:rPr>
                <w:color w:val="auto"/>
                <w:sz w:val="21"/>
                <w:szCs w:val="21"/>
              </w:rPr>
            </w:pPr>
            <w:r>
              <w:rPr>
                <w:color w:val="auto"/>
                <w:sz w:val="21"/>
                <w:szCs w:val="21"/>
              </w:rPr>
              <w:t>昼间≤60dB（A）、夜间≤50dB（A）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Merge w:val="restart"/>
            <w:vAlign w:val="center"/>
          </w:tcPr>
          <w:p>
            <w:pPr>
              <w:pStyle w:val="3232"/>
              <w:rPr>
                <w:color w:val="auto"/>
                <w:sz w:val="21"/>
                <w:szCs w:val="21"/>
              </w:rPr>
            </w:pPr>
            <w:r>
              <w:rPr>
                <w:color w:val="auto"/>
                <w:sz w:val="21"/>
                <w:szCs w:val="21"/>
              </w:rPr>
              <w:t>固体废物</w:t>
            </w:r>
          </w:p>
        </w:tc>
        <w:tc>
          <w:tcPr>
            <w:tcW w:w="578" w:type="pct"/>
            <w:vAlign w:val="center"/>
          </w:tcPr>
          <w:p>
            <w:pPr>
              <w:pStyle w:val="3232"/>
              <w:rPr>
                <w:color w:val="auto"/>
                <w:sz w:val="21"/>
                <w:szCs w:val="21"/>
              </w:rPr>
            </w:pPr>
            <w:r>
              <w:rPr>
                <w:color w:val="auto"/>
                <w:sz w:val="21"/>
                <w:szCs w:val="21"/>
              </w:rPr>
              <w:t>沉淀污泥</w:t>
            </w:r>
          </w:p>
        </w:tc>
        <w:tc>
          <w:tcPr>
            <w:tcW w:w="322" w:type="pct"/>
            <w:vAlign w:val="center"/>
          </w:tcPr>
          <w:p>
            <w:pPr>
              <w:pStyle w:val="3232"/>
              <w:rPr>
                <w:color w:val="auto"/>
                <w:sz w:val="21"/>
                <w:szCs w:val="21"/>
              </w:rPr>
            </w:pPr>
            <w:r>
              <w:rPr>
                <w:color w:val="auto"/>
                <w:sz w:val="21"/>
                <w:szCs w:val="21"/>
              </w:rPr>
              <w:t>/</w:t>
            </w:r>
          </w:p>
        </w:tc>
        <w:tc>
          <w:tcPr>
            <w:tcW w:w="361" w:type="pct"/>
            <w:vAlign w:val="center"/>
          </w:tcPr>
          <w:p>
            <w:pPr>
              <w:pStyle w:val="3232"/>
              <w:rPr>
                <w:color w:val="auto"/>
                <w:sz w:val="21"/>
                <w:szCs w:val="21"/>
              </w:rPr>
            </w:pPr>
            <w:r>
              <w:rPr>
                <w:color w:val="auto"/>
                <w:sz w:val="21"/>
                <w:szCs w:val="21"/>
              </w:rPr>
              <w:t>/</w:t>
            </w:r>
          </w:p>
        </w:tc>
        <w:tc>
          <w:tcPr>
            <w:tcW w:w="2249" w:type="pct"/>
            <w:vAlign w:val="center"/>
          </w:tcPr>
          <w:p>
            <w:pPr>
              <w:pStyle w:val="3232"/>
              <w:rPr>
                <w:color w:val="auto"/>
                <w:sz w:val="21"/>
                <w:szCs w:val="21"/>
              </w:rPr>
            </w:pPr>
            <w:r>
              <w:rPr>
                <w:color w:val="auto"/>
                <w:sz w:val="21"/>
                <w:szCs w:val="21"/>
              </w:rPr>
              <w:t>沉淀池内清掏的污泥，作为矿区复垦绿化使用。</w:t>
            </w:r>
          </w:p>
        </w:tc>
        <w:tc>
          <w:tcPr>
            <w:tcW w:w="706" w:type="pct"/>
            <w:vMerge w:val="restart"/>
            <w:vAlign w:val="center"/>
          </w:tcPr>
          <w:p>
            <w:pPr>
              <w:pStyle w:val="3232"/>
              <w:rPr>
                <w:color w:val="auto"/>
                <w:sz w:val="21"/>
                <w:szCs w:val="21"/>
              </w:rPr>
            </w:pPr>
            <w:r>
              <w:rPr>
                <w:color w:val="auto"/>
                <w:sz w:val="21"/>
                <w:szCs w:val="21"/>
              </w:rPr>
              <w:t>/</w:t>
            </w:r>
          </w:p>
        </w:tc>
        <w:tc>
          <w:tcPr>
            <w:tcW w:w="536" w:type="pct"/>
            <w:vMerge w:val="restart"/>
            <w:vAlign w:val="center"/>
          </w:tcPr>
          <w:p>
            <w:pPr>
              <w:pStyle w:val="3232"/>
              <w:rPr>
                <w:color w:val="auto"/>
                <w:sz w:val="21"/>
                <w:szCs w:val="21"/>
              </w:rPr>
            </w:pPr>
            <w:r>
              <w:rPr>
                <w:color w:val="auto"/>
                <w:sz w:val="21"/>
                <w:szCs w:val="21"/>
              </w:rPr>
              <w:t>不造成二次污染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Merge w:val="continue"/>
            <w:vAlign w:val="center"/>
          </w:tcPr>
          <w:p>
            <w:pPr>
              <w:pStyle w:val="3232"/>
              <w:rPr>
                <w:color w:val="auto"/>
                <w:sz w:val="21"/>
                <w:szCs w:val="21"/>
              </w:rPr>
            </w:pPr>
          </w:p>
        </w:tc>
        <w:tc>
          <w:tcPr>
            <w:tcW w:w="578" w:type="pct"/>
            <w:vAlign w:val="center"/>
          </w:tcPr>
          <w:p>
            <w:pPr>
              <w:pStyle w:val="3232"/>
              <w:rPr>
                <w:color w:val="auto"/>
                <w:sz w:val="21"/>
                <w:szCs w:val="21"/>
              </w:rPr>
            </w:pPr>
            <w:r>
              <w:rPr>
                <w:color w:val="auto"/>
                <w:sz w:val="21"/>
                <w:szCs w:val="21"/>
              </w:rPr>
              <w:t>含油废物（废润滑油、含油棉纱手套）</w:t>
            </w:r>
          </w:p>
        </w:tc>
        <w:tc>
          <w:tcPr>
            <w:tcW w:w="322" w:type="pct"/>
            <w:vAlign w:val="center"/>
          </w:tcPr>
          <w:p>
            <w:pPr>
              <w:pStyle w:val="3232"/>
              <w:rPr>
                <w:color w:val="auto"/>
                <w:sz w:val="21"/>
                <w:szCs w:val="21"/>
              </w:rPr>
            </w:pPr>
            <w:r>
              <w:rPr>
                <w:color w:val="auto"/>
                <w:sz w:val="21"/>
                <w:szCs w:val="21"/>
              </w:rPr>
              <w:t>/</w:t>
            </w:r>
          </w:p>
        </w:tc>
        <w:tc>
          <w:tcPr>
            <w:tcW w:w="361" w:type="pct"/>
            <w:vAlign w:val="center"/>
          </w:tcPr>
          <w:p>
            <w:pPr>
              <w:pStyle w:val="3232"/>
              <w:rPr>
                <w:color w:val="auto"/>
                <w:sz w:val="21"/>
                <w:szCs w:val="21"/>
              </w:rPr>
            </w:pPr>
            <w:r>
              <w:rPr>
                <w:color w:val="auto"/>
                <w:sz w:val="21"/>
                <w:szCs w:val="21"/>
              </w:rPr>
              <w:t>危险废物</w:t>
            </w:r>
          </w:p>
        </w:tc>
        <w:tc>
          <w:tcPr>
            <w:tcW w:w="2249" w:type="pct"/>
            <w:vAlign w:val="center"/>
          </w:tcPr>
          <w:p>
            <w:pPr>
              <w:pStyle w:val="3232"/>
              <w:rPr>
                <w:color w:val="auto"/>
                <w:sz w:val="21"/>
                <w:szCs w:val="21"/>
              </w:rPr>
            </w:pPr>
            <w:r>
              <w:rPr>
                <w:color w:val="auto"/>
                <w:sz w:val="21"/>
                <w:szCs w:val="21"/>
              </w:rPr>
              <w:t>在工业场地设置面积10m</w:t>
            </w:r>
            <w:r>
              <w:rPr>
                <w:color w:val="auto"/>
                <w:sz w:val="21"/>
                <w:szCs w:val="21"/>
                <w:vertAlign w:val="superscript"/>
              </w:rPr>
              <w:t>2</w:t>
            </w:r>
            <w:r>
              <w:rPr>
                <w:color w:val="auto"/>
                <w:sz w:val="21"/>
                <w:szCs w:val="21"/>
              </w:rPr>
              <w:t>危险废物贮存间，废润滑油、含油棉纱等采用专用带盖的收集桶收集，定期交有资质单位处置</w:t>
            </w:r>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Merge w:val="continue"/>
            <w:vAlign w:val="center"/>
          </w:tcPr>
          <w:p>
            <w:pPr>
              <w:pStyle w:val="3232"/>
              <w:rPr>
                <w:color w:val="auto"/>
                <w:sz w:val="21"/>
                <w:szCs w:val="21"/>
              </w:rPr>
            </w:pPr>
          </w:p>
        </w:tc>
        <w:tc>
          <w:tcPr>
            <w:tcW w:w="578" w:type="pct"/>
            <w:vAlign w:val="center"/>
          </w:tcPr>
          <w:p>
            <w:pPr>
              <w:pStyle w:val="3232"/>
              <w:rPr>
                <w:color w:val="auto"/>
                <w:sz w:val="21"/>
                <w:szCs w:val="21"/>
              </w:rPr>
            </w:pPr>
            <w:r>
              <w:rPr>
                <w:color w:val="auto"/>
                <w:sz w:val="21"/>
                <w:szCs w:val="21"/>
              </w:rPr>
              <w:t>生活垃圾</w:t>
            </w:r>
          </w:p>
        </w:tc>
        <w:tc>
          <w:tcPr>
            <w:tcW w:w="322" w:type="pct"/>
            <w:vAlign w:val="center"/>
          </w:tcPr>
          <w:p>
            <w:pPr>
              <w:pStyle w:val="3232"/>
              <w:rPr>
                <w:color w:val="auto"/>
                <w:sz w:val="21"/>
                <w:szCs w:val="21"/>
              </w:rPr>
            </w:pPr>
            <w:r>
              <w:rPr>
                <w:color w:val="auto"/>
                <w:sz w:val="21"/>
                <w:szCs w:val="21"/>
              </w:rPr>
              <w:t>/</w:t>
            </w:r>
          </w:p>
        </w:tc>
        <w:tc>
          <w:tcPr>
            <w:tcW w:w="361" w:type="pct"/>
            <w:vAlign w:val="center"/>
          </w:tcPr>
          <w:p>
            <w:pPr>
              <w:pStyle w:val="3232"/>
              <w:rPr>
                <w:color w:val="auto"/>
                <w:sz w:val="21"/>
                <w:szCs w:val="21"/>
              </w:rPr>
            </w:pPr>
            <w:r>
              <w:rPr>
                <w:color w:val="auto"/>
                <w:sz w:val="21"/>
                <w:szCs w:val="21"/>
              </w:rPr>
              <w:t>生活垃圾</w:t>
            </w:r>
          </w:p>
        </w:tc>
        <w:tc>
          <w:tcPr>
            <w:tcW w:w="2249" w:type="pct"/>
            <w:vAlign w:val="center"/>
          </w:tcPr>
          <w:p>
            <w:pPr>
              <w:pStyle w:val="3232"/>
              <w:rPr>
                <w:color w:val="auto"/>
                <w:sz w:val="21"/>
                <w:szCs w:val="21"/>
              </w:rPr>
            </w:pPr>
            <w:r>
              <w:rPr>
                <w:color w:val="auto"/>
                <w:sz w:val="21"/>
                <w:szCs w:val="21"/>
                <w:lang w:bidi="en-US"/>
              </w:rPr>
              <w:t>生活办公区内设置垃圾收集桶，定期交环卫部门处置</w:t>
            </w:r>
          </w:p>
        </w:tc>
        <w:tc>
          <w:tcPr>
            <w:tcW w:w="706" w:type="pct"/>
            <w:vMerge w:val="continue"/>
            <w:vAlign w:val="center"/>
          </w:tcPr>
          <w:p>
            <w:pPr>
              <w:pStyle w:val="3232"/>
              <w:rPr>
                <w:color w:val="auto"/>
                <w:sz w:val="21"/>
                <w:szCs w:val="21"/>
              </w:rPr>
            </w:pPr>
          </w:p>
        </w:tc>
        <w:tc>
          <w:tcPr>
            <w:tcW w:w="536" w:type="pct"/>
            <w:vMerge w:val="continue"/>
            <w:vAlign w:val="center"/>
          </w:tcPr>
          <w:p>
            <w:pPr>
              <w:pStyle w:val="3232"/>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47" w:type="pct"/>
            <w:vAlign w:val="center"/>
          </w:tcPr>
          <w:p>
            <w:pPr>
              <w:pStyle w:val="3232"/>
              <w:rPr>
                <w:color w:val="auto"/>
                <w:sz w:val="21"/>
                <w:szCs w:val="21"/>
              </w:rPr>
            </w:pPr>
            <w:r>
              <w:rPr>
                <w:color w:val="auto"/>
                <w:sz w:val="21"/>
                <w:szCs w:val="21"/>
              </w:rPr>
              <w:t>环境风险</w:t>
            </w:r>
          </w:p>
        </w:tc>
        <w:tc>
          <w:tcPr>
            <w:tcW w:w="1261" w:type="pct"/>
            <w:gridSpan w:val="3"/>
            <w:vAlign w:val="center"/>
          </w:tcPr>
          <w:p>
            <w:pPr>
              <w:pStyle w:val="3232"/>
              <w:rPr>
                <w:color w:val="auto"/>
                <w:sz w:val="21"/>
                <w:szCs w:val="21"/>
              </w:rPr>
            </w:pPr>
            <w:r>
              <w:rPr>
                <w:color w:val="auto"/>
                <w:sz w:val="21"/>
                <w:szCs w:val="21"/>
              </w:rPr>
              <w:t>油类物质泄漏</w:t>
            </w:r>
          </w:p>
        </w:tc>
        <w:tc>
          <w:tcPr>
            <w:tcW w:w="3491" w:type="pct"/>
            <w:gridSpan w:val="3"/>
            <w:vAlign w:val="center"/>
          </w:tcPr>
          <w:p>
            <w:pPr>
              <w:pStyle w:val="3232"/>
              <w:rPr>
                <w:color w:val="auto"/>
                <w:sz w:val="21"/>
                <w:szCs w:val="21"/>
              </w:rPr>
            </w:pPr>
            <w:r>
              <w:rPr>
                <w:color w:val="auto"/>
                <w:sz w:val="21"/>
                <w:szCs w:val="21"/>
              </w:rPr>
              <w:t>柴油罐区基础作防渗，采用双层罐，为地埋式，柴油罐区外围设置警示标志，严禁烟火。柴油罐区设置消防灭火装置（配备灭火器、灭火沙等）。</w:t>
            </w:r>
            <w:r>
              <w:rPr>
                <w:color w:val="auto"/>
                <w:sz w:val="21"/>
                <w:szCs w:val="21"/>
                <w:lang w:bidi="en-US"/>
              </w:rPr>
              <w:t>润滑油储存于铁桶内、废油储存于带盖油桶内，并将润滑油桶及废油收集桶置于防渗托盘上；危险废物贮存间采取“四防”措施，并加强管理加强职工安全环保教育，增强操作工人的责任心，防止和减少因人为因素造成的事故，同时也要加强防火安全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Merge w:val="restart"/>
            <w:vAlign w:val="center"/>
          </w:tcPr>
          <w:p>
            <w:pPr>
              <w:pStyle w:val="3232"/>
              <w:rPr>
                <w:color w:val="auto"/>
                <w:sz w:val="21"/>
                <w:szCs w:val="21"/>
              </w:rPr>
            </w:pPr>
            <w:r>
              <w:rPr>
                <w:color w:val="auto"/>
                <w:sz w:val="21"/>
                <w:szCs w:val="21"/>
              </w:rPr>
              <w:t>生态环境</w:t>
            </w:r>
          </w:p>
        </w:tc>
        <w:tc>
          <w:tcPr>
            <w:tcW w:w="1261" w:type="pct"/>
            <w:gridSpan w:val="3"/>
            <w:vAlign w:val="center"/>
          </w:tcPr>
          <w:p>
            <w:pPr>
              <w:pStyle w:val="3232"/>
              <w:rPr>
                <w:color w:val="auto"/>
                <w:sz w:val="21"/>
                <w:szCs w:val="21"/>
              </w:rPr>
            </w:pPr>
            <w:r>
              <w:rPr>
                <w:color w:val="auto"/>
                <w:sz w:val="21"/>
                <w:szCs w:val="21"/>
              </w:rPr>
              <w:t>开采期生态恢复措施</w:t>
            </w:r>
          </w:p>
        </w:tc>
        <w:tc>
          <w:tcPr>
            <w:tcW w:w="3491" w:type="pct"/>
            <w:gridSpan w:val="3"/>
            <w:vAlign w:val="center"/>
          </w:tcPr>
          <w:p>
            <w:pPr>
              <w:pStyle w:val="3232"/>
              <w:rPr>
                <w:color w:val="auto"/>
                <w:sz w:val="21"/>
                <w:szCs w:val="21"/>
              </w:rPr>
            </w:pPr>
            <w:r>
              <w:rPr>
                <w:color w:val="auto"/>
                <w:sz w:val="21"/>
                <w:szCs w:val="21"/>
                <w:lang w:bidi="en-US"/>
              </w:rPr>
              <w:t>项目开采严格按开发利用方案开采，采取“边开采、边恢复”的生产方式，即一个台阶开采完后，及时进行覆土、平整及植被恢复。</w:t>
            </w:r>
            <w:r>
              <w:rPr>
                <w:rStyle w:val="198"/>
                <w:rFonts w:hint="default" w:ascii="Times New Roman" w:hAnsi="Times New Roman"/>
                <w:color w:val="auto"/>
                <w:sz w:val="21"/>
                <w:szCs w:val="21"/>
              </w:rPr>
              <w:t>复垦土壤来</w:t>
            </w:r>
            <w:r>
              <w:rPr>
                <w:color w:val="auto"/>
                <w:sz w:val="21"/>
                <w:szCs w:val="21"/>
                <w:lang w:bidi="en-US"/>
              </w:rPr>
              <w:t>自剥离土，平台植被恢复种植刺桐等乔木绿化台阶，边坡种植藤蔓类植物（如爬山虎、地瓜藤）绿化坡面。采区东侧、</w:t>
            </w:r>
            <w:r>
              <w:rPr>
                <w:color w:val="auto"/>
                <w:sz w:val="21"/>
                <w:szCs w:val="21"/>
              </w:rPr>
              <w:t>南侧、西侧设置排水沟，东北侧沟尾端设置1个沉砂池。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Merge w:val="continue"/>
            <w:vAlign w:val="center"/>
          </w:tcPr>
          <w:p>
            <w:pPr>
              <w:pStyle w:val="3232"/>
              <w:rPr>
                <w:color w:val="auto"/>
                <w:sz w:val="21"/>
                <w:szCs w:val="21"/>
              </w:rPr>
            </w:pPr>
          </w:p>
        </w:tc>
        <w:tc>
          <w:tcPr>
            <w:tcW w:w="1261" w:type="pct"/>
            <w:gridSpan w:val="3"/>
            <w:vAlign w:val="center"/>
          </w:tcPr>
          <w:p>
            <w:pPr>
              <w:pStyle w:val="3232"/>
              <w:rPr>
                <w:color w:val="auto"/>
                <w:sz w:val="21"/>
                <w:szCs w:val="21"/>
              </w:rPr>
            </w:pPr>
            <w:r>
              <w:rPr>
                <w:color w:val="auto"/>
                <w:sz w:val="21"/>
                <w:szCs w:val="21"/>
              </w:rPr>
              <w:t>闭矿期生态恢复措施</w:t>
            </w:r>
          </w:p>
        </w:tc>
        <w:tc>
          <w:tcPr>
            <w:tcW w:w="3491" w:type="pct"/>
            <w:gridSpan w:val="3"/>
            <w:vAlign w:val="center"/>
          </w:tcPr>
          <w:p>
            <w:pPr>
              <w:pStyle w:val="3232"/>
              <w:numPr>
                <w:ilvl w:val="0"/>
                <w:numId w:val="28"/>
              </w:numPr>
              <w:rPr>
                <w:color w:val="auto"/>
                <w:sz w:val="21"/>
                <w:szCs w:val="21"/>
              </w:rPr>
            </w:pPr>
            <w:r>
              <w:rPr>
                <w:color w:val="auto"/>
                <w:sz w:val="21"/>
                <w:szCs w:val="21"/>
                <w:lang w:bidi="en-US"/>
              </w:rPr>
              <w:t>根据</w:t>
            </w:r>
            <w:r>
              <w:rPr>
                <w:color w:val="auto"/>
                <w:sz w:val="21"/>
                <w:szCs w:val="21"/>
              </w:rPr>
              <w:t>《重庆峰磊矿业有限公司</w:t>
            </w:r>
            <w:r>
              <w:rPr>
                <w:color w:val="auto"/>
                <w:sz w:val="21"/>
                <w:szCs w:val="21"/>
                <w:lang w:bidi="en-US"/>
              </w:rPr>
              <w:t>合川区盐井街道观音村五社建筑石料用灰岩矿矿产资源开发利用与地质环境恢复治理和土地复垦方案</w:t>
            </w:r>
            <w:r>
              <w:rPr>
                <w:color w:val="auto"/>
                <w:sz w:val="21"/>
                <w:szCs w:val="21"/>
              </w:rPr>
              <w:t>》，</w:t>
            </w:r>
            <w:r>
              <w:rPr>
                <w:color w:val="auto"/>
                <w:sz w:val="21"/>
                <w:szCs w:val="21"/>
                <w:lang w:bidi="en-US"/>
              </w:rPr>
              <w:t>项目闭矿期拆除工业场地和办公生活区的建（构）筑物和设备等，清除建筑垃圾，平整工业场地，平整后进行覆土，办公生活区恢复为林地，工业场地恢复成旱地或林地，场地内栽植灌木或乔木，同时播撒草籽。</w:t>
            </w:r>
          </w:p>
          <w:p>
            <w:pPr>
              <w:pStyle w:val="3232"/>
              <w:numPr>
                <w:ilvl w:val="0"/>
                <w:numId w:val="28"/>
              </w:numPr>
              <w:rPr>
                <w:color w:val="auto"/>
                <w:sz w:val="21"/>
                <w:szCs w:val="21"/>
              </w:rPr>
            </w:pPr>
            <w:r>
              <w:rPr>
                <w:color w:val="auto"/>
                <w:sz w:val="21"/>
                <w:szCs w:val="21"/>
                <w:lang w:bidi="en-US"/>
              </w:rPr>
              <w:t>根据《重庆峰磊矿业有限公司合川区盐井街道观音村五社建筑石料用灰岩矿矿产资源开发利用与地质环境恢复治理和土地复垦方案》，闭矿期对开采区和工业场地进行土地复垦和生态恢复，终了底盘整体平场后、弃渣场以及工业场地区域修复为旱地，覆土厚度为0.5m；弃渣场、边坡、安全平台、防滚石平台、清扫平台、边坡等修复为林地，采用灌草结合方式。</w:t>
            </w:r>
          </w:p>
          <w:p>
            <w:pPr>
              <w:pStyle w:val="3232"/>
              <w:numPr>
                <w:ilvl w:val="0"/>
                <w:numId w:val="28"/>
              </w:numPr>
              <w:rPr>
                <w:color w:val="auto"/>
                <w:sz w:val="21"/>
                <w:szCs w:val="21"/>
              </w:rPr>
            </w:pPr>
            <w:r>
              <w:rPr>
                <w:color w:val="auto"/>
                <w:sz w:val="21"/>
                <w:szCs w:val="21"/>
                <w:lang w:bidi="en-US"/>
              </w:rPr>
              <w:t>严格落实《水土保持方案》、《重庆峰磊矿业有限公司合川区盐井街道观音村五社建筑石料用灰岩矿矿产资源开发利用与地质环境恢复治理和土地复垦方案》提出的水土保持措施和矿山地质环境保护与恢复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7" w:type="pct"/>
            <w:vAlign w:val="center"/>
          </w:tcPr>
          <w:p>
            <w:pPr>
              <w:pStyle w:val="3232"/>
              <w:rPr>
                <w:color w:val="auto"/>
                <w:sz w:val="21"/>
                <w:szCs w:val="21"/>
              </w:rPr>
            </w:pPr>
            <w:r>
              <w:rPr>
                <w:color w:val="auto"/>
                <w:sz w:val="21"/>
                <w:szCs w:val="21"/>
              </w:rPr>
              <w:t>其它</w:t>
            </w:r>
          </w:p>
        </w:tc>
        <w:tc>
          <w:tcPr>
            <w:tcW w:w="4753" w:type="pct"/>
            <w:gridSpan w:val="6"/>
            <w:vAlign w:val="center"/>
          </w:tcPr>
          <w:p>
            <w:pPr>
              <w:pStyle w:val="3232"/>
              <w:rPr>
                <w:color w:val="auto"/>
                <w:sz w:val="21"/>
                <w:szCs w:val="21"/>
              </w:rPr>
            </w:pPr>
            <w:r>
              <w:rPr>
                <w:color w:val="auto"/>
                <w:sz w:val="21"/>
                <w:szCs w:val="21"/>
              </w:rPr>
              <w:t>环评文件及批复资料齐全，制定安全生产规章制度、岗位操作制度、环境管理制度</w:t>
            </w:r>
          </w:p>
        </w:tc>
      </w:tr>
    </w:tbl>
    <w:p>
      <w:pPr>
        <w:spacing w:line="460" w:lineRule="exact"/>
        <w:ind w:firstLine="197" w:firstLineChars="76"/>
        <w:jc w:val="both"/>
        <w:rPr>
          <w:kern w:val="0"/>
          <w:szCs w:val="26"/>
        </w:rPr>
        <w:sectPr>
          <w:endnotePr>
            <w:numFmt w:val="decimal"/>
          </w:endnotePr>
          <w:pgSz w:w="16840" w:h="11907" w:orient="landscape"/>
          <w:pgMar w:top="1418" w:right="1559" w:bottom="1418" w:left="1559" w:header="1134" w:footer="1140" w:gutter="0"/>
          <w:cols w:space="720" w:num="1"/>
          <w:docGrid w:linePitch="354" w:charSpace="0"/>
        </w:sectPr>
      </w:pPr>
    </w:p>
    <w:p>
      <w:pPr>
        <w:pStyle w:val="4"/>
      </w:pPr>
      <w:bookmarkStart w:id="243" w:name="_Toc161676142"/>
      <w:r>
        <w:t>10.6污染源排放清单</w:t>
      </w:r>
      <w:bookmarkEnd w:id="243"/>
    </w:p>
    <w:p>
      <w:pPr>
        <w:pStyle w:val="5"/>
        <w:rPr>
          <w:color w:val="auto"/>
        </w:rPr>
      </w:pPr>
      <w:r>
        <w:rPr>
          <w:color w:val="auto"/>
        </w:rPr>
        <w:t>10.6.1工程组成、原辅材料组分要求</w:t>
      </w:r>
    </w:p>
    <w:p>
      <w:pPr>
        <w:spacing w:line="460" w:lineRule="exact"/>
        <w:ind w:firstLine="480"/>
        <w:jc w:val="both"/>
        <w:rPr>
          <w:sz w:val="24"/>
          <w:szCs w:val="24"/>
        </w:rPr>
      </w:pPr>
      <w:r>
        <w:rPr>
          <w:sz w:val="24"/>
          <w:szCs w:val="24"/>
        </w:rPr>
        <w:t>项目建设内容包括开采区及办公生活区、工业场地及办公生活区，开采区及办公生活区为新建，工业场地及办公生活区为依托现有并进行改造。本项目主要由主体工程、辅助工程、公用工程和环保工程组成。</w:t>
      </w:r>
    </w:p>
    <w:p>
      <w:pPr>
        <w:spacing w:line="460" w:lineRule="exact"/>
        <w:ind w:firstLine="480"/>
        <w:jc w:val="both"/>
        <w:rPr>
          <w:sz w:val="24"/>
          <w:szCs w:val="24"/>
        </w:rPr>
      </w:pPr>
      <w:r>
        <w:rPr>
          <w:sz w:val="24"/>
          <w:szCs w:val="24"/>
        </w:rPr>
        <w:t>项目组成及原辅材料见前文第三章节。</w:t>
      </w:r>
    </w:p>
    <w:p>
      <w:pPr>
        <w:spacing w:line="460" w:lineRule="exact"/>
        <w:ind w:firstLine="480"/>
        <w:jc w:val="both"/>
        <w:rPr>
          <w:bCs/>
          <w:sz w:val="24"/>
          <w:szCs w:val="24"/>
        </w:rPr>
      </w:pPr>
      <w:r>
        <w:rPr>
          <w:bCs/>
          <w:sz w:val="24"/>
          <w:szCs w:val="24"/>
        </w:rPr>
        <w:t>10.6.2项目主要环境保护措施</w:t>
      </w:r>
    </w:p>
    <w:p>
      <w:pPr>
        <w:spacing w:line="460" w:lineRule="exact"/>
        <w:ind w:firstLine="480"/>
        <w:jc w:val="both"/>
        <w:rPr>
          <w:bCs/>
          <w:sz w:val="24"/>
          <w:szCs w:val="24"/>
        </w:rPr>
      </w:pPr>
      <w:r>
        <w:rPr>
          <w:bCs/>
          <w:sz w:val="24"/>
          <w:szCs w:val="24"/>
        </w:rPr>
        <w:t>项目主要环境保护措施见下表；</w:t>
      </w:r>
    </w:p>
    <w:p>
      <w:pPr>
        <w:pStyle w:val="84"/>
      </w:pPr>
      <w:r>
        <w:t>表10.6-1  环境保护措施一览表</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04"/>
        <w:gridCol w:w="1529"/>
        <w:gridCol w:w="69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shd w:val="clear" w:color="auto" w:fill="D8D8D8" w:themeFill="background1" w:themeFillShade="D9"/>
            <w:vAlign w:val="center"/>
          </w:tcPr>
          <w:p>
            <w:pPr>
              <w:pStyle w:val="3238"/>
            </w:pPr>
            <w:r>
              <w:t>类别</w:t>
            </w:r>
          </w:p>
        </w:tc>
        <w:tc>
          <w:tcPr>
            <w:tcW w:w="823" w:type="pct"/>
            <w:shd w:val="clear" w:color="auto" w:fill="D8D8D8" w:themeFill="background1" w:themeFillShade="D9"/>
            <w:vAlign w:val="center"/>
          </w:tcPr>
          <w:p>
            <w:pPr>
              <w:pStyle w:val="3238"/>
            </w:pPr>
            <w:r>
              <w:t>污染源</w:t>
            </w:r>
          </w:p>
        </w:tc>
        <w:tc>
          <w:tcPr>
            <w:tcW w:w="3744" w:type="pct"/>
            <w:shd w:val="clear" w:color="auto" w:fill="D8D8D8" w:themeFill="background1" w:themeFillShade="D9"/>
            <w:vAlign w:val="center"/>
          </w:tcPr>
          <w:p>
            <w:pPr>
              <w:pStyle w:val="3238"/>
            </w:pPr>
            <w:r>
              <w:t>治理措施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5000" w:type="pct"/>
            <w:gridSpan w:val="3"/>
            <w:shd w:val="clear" w:color="auto" w:fill="FFFFFF" w:themeFill="background1"/>
            <w:vAlign w:val="center"/>
          </w:tcPr>
          <w:p>
            <w:pPr>
              <w:pStyle w:val="3238"/>
            </w:pPr>
            <w:r>
              <w:t>一、建设期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shd w:val="clear" w:color="auto" w:fill="auto"/>
            <w:vAlign w:val="center"/>
          </w:tcPr>
          <w:p>
            <w:pPr>
              <w:pStyle w:val="3238"/>
            </w:pPr>
            <w:r>
              <w:t>生态环境</w:t>
            </w:r>
          </w:p>
        </w:tc>
        <w:tc>
          <w:tcPr>
            <w:tcW w:w="823" w:type="pct"/>
            <w:shd w:val="clear" w:color="auto" w:fill="auto"/>
            <w:vAlign w:val="center"/>
          </w:tcPr>
          <w:p>
            <w:pPr>
              <w:pStyle w:val="3238"/>
            </w:pPr>
            <w:r>
              <w:t>开采区</w:t>
            </w:r>
          </w:p>
        </w:tc>
        <w:tc>
          <w:tcPr>
            <w:tcW w:w="3744" w:type="pct"/>
            <w:shd w:val="clear" w:color="auto" w:fill="auto"/>
            <w:vAlign w:val="center"/>
          </w:tcPr>
          <w:p>
            <w:pPr>
              <w:pStyle w:val="3238"/>
            </w:pPr>
            <w:r>
              <w:t>严格按照开发利用方案自上而下进行分台剥离、开采，并确保剥采边坡角、台阶高差等符合开发利用方案要求。采区东北侧地势低处设置1个沉砂池，雨水收集后经沉淀处理后外排。严格执行“边开采、边恢复”的生产方式，采完一个台阶及时进行生态恢复，以减小矿区裸露的面积。高陡边坡整治后的裸露坡面撒播草籽进行临时防护；最后在完成底盘开采后，完成整个采区的生态恢复，可进一步减小矿山裸岩面积，进一步降低矿山开采景观影响和水土流失影响。本项目终了底盘整体平场后、弃渣场区域修复为旱地，覆土厚度为0.5m。弃渣场、边坡、安全平台、防滚石平台、清扫平台、边坡等修复为林地，依据各修复单元终了地形条件，针对种植灌木的平台采取每株按顶宽0.6m*0.6m，底宽0.3m*0.3m，深10m凿土坑种植，剩余撒播草籽区域覆土0.3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shd w:val="clear" w:color="auto" w:fill="auto"/>
            <w:vAlign w:val="center"/>
          </w:tcPr>
          <w:p>
            <w:pPr>
              <w:pStyle w:val="3238"/>
            </w:pPr>
            <w:r>
              <w:t>废气</w:t>
            </w:r>
          </w:p>
        </w:tc>
        <w:tc>
          <w:tcPr>
            <w:tcW w:w="823" w:type="pct"/>
            <w:shd w:val="clear" w:color="auto" w:fill="auto"/>
            <w:vAlign w:val="center"/>
          </w:tcPr>
          <w:p>
            <w:pPr>
              <w:pStyle w:val="3238"/>
            </w:pPr>
            <w:r>
              <w:t>扬尘、尾气</w:t>
            </w:r>
          </w:p>
        </w:tc>
        <w:tc>
          <w:tcPr>
            <w:tcW w:w="3744" w:type="pct"/>
            <w:shd w:val="clear" w:color="auto" w:fill="auto"/>
            <w:vAlign w:val="center"/>
          </w:tcPr>
          <w:p>
            <w:pPr>
              <w:pStyle w:val="3238"/>
            </w:pPr>
            <w:r>
              <w:t>对施工场地、运输道路、表土剥离区域采取洒水降尘措施，可降低扬尘对周边环境空气影响；车辆选用优质燃料，减少机械的尾气污染物排放。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shd w:val="clear" w:color="auto" w:fill="auto"/>
            <w:vAlign w:val="center"/>
          </w:tcPr>
          <w:p>
            <w:pPr>
              <w:pStyle w:val="3238"/>
            </w:pPr>
            <w:r>
              <w:t>废水</w:t>
            </w:r>
          </w:p>
        </w:tc>
        <w:tc>
          <w:tcPr>
            <w:tcW w:w="823" w:type="pct"/>
            <w:shd w:val="clear" w:color="auto" w:fill="auto"/>
            <w:vAlign w:val="center"/>
          </w:tcPr>
          <w:p>
            <w:pPr>
              <w:pStyle w:val="3238"/>
            </w:pPr>
            <w:r>
              <w:t>设备冲洗废水、生活污水</w:t>
            </w:r>
          </w:p>
        </w:tc>
        <w:tc>
          <w:tcPr>
            <w:tcW w:w="3744" w:type="pct"/>
            <w:shd w:val="clear" w:color="auto" w:fill="auto"/>
            <w:vAlign w:val="center"/>
          </w:tcPr>
          <w:p>
            <w:pPr>
              <w:pStyle w:val="3238"/>
            </w:pPr>
            <w:r>
              <w:t>施工机械冲洗废水经沉淀池处理后回用于场地洒水抑尘；生活污水依托现有的化粪池处理后用于农肥施用，不外排。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shd w:val="clear" w:color="auto" w:fill="auto"/>
            <w:vAlign w:val="center"/>
          </w:tcPr>
          <w:p>
            <w:pPr>
              <w:pStyle w:val="3238"/>
            </w:pPr>
            <w:r>
              <w:t>噪声</w:t>
            </w:r>
          </w:p>
        </w:tc>
        <w:tc>
          <w:tcPr>
            <w:tcW w:w="823" w:type="pct"/>
            <w:shd w:val="clear" w:color="auto" w:fill="auto"/>
            <w:vAlign w:val="center"/>
          </w:tcPr>
          <w:p>
            <w:pPr>
              <w:pStyle w:val="3238"/>
            </w:pPr>
            <w:r>
              <w:t>设备噪声</w:t>
            </w:r>
          </w:p>
        </w:tc>
        <w:tc>
          <w:tcPr>
            <w:tcW w:w="3744" w:type="pct"/>
            <w:shd w:val="clear" w:color="auto" w:fill="auto"/>
            <w:vAlign w:val="center"/>
          </w:tcPr>
          <w:p>
            <w:pPr>
              <w:pStyle w:val="3238"/>
            </w:pPr>
            <w:r>
              <w:t>合理布局，低噪声设备，依托矿区自然山体阻挡降噪，合理安排施工进度及时间，加强保养维护设备。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shd w:val="clear" w:color="auto" w:fill="auto"/>
            <w:vAlign w:val="center"/>
          </w:tcPr>
          <w:p>
            <w:pPr>
              <w:pStyle w:val="3238"/>
            </w:pPr>
            <w:r>
              <w:t>固废</w:t>
            </w:r>
          </w:p>
        </w:tc>
        <w:tc>
          <w:tcPr>
            <w:tcW w:w="823" w:type="pct"/>
            <w:shd w:val="clear" w:color="auto" w:fill="auto"/>
            <w:vAlign w:val="center"/>
          </w:tcPr>
          <w:p>
            <w:pPr>
              <w:pStyle w:val="3238"/>
            </w:pPr>
            <w:r>
              <w:t>建筑垃圾、生活垃圾</w:t>
            </w:r>
          </w:p>
        </w:tc>
        <w:tc>
          <w:tcPr>
            <w:tcW w:w="3744" w:type="pct"/>
            <w:shd w:val="clear" w:color="auto" w:fill="auto"/>
            <w:vAlign w:val="center"/>
          </w:tcPr>
          <w:p>
            <w:pPr>
              <w:pStyle w:val="3238"/>
            </w:pPr>
            <w:r>
              <w:t>产生的建筑材料尽量回收利用，不能利用售卖给资源回收公司。生活垃圾采用垃圾桶收集后定期交由当地环卫部门处置，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5000" w:type="pct"/>
            <w:gridSpan w:val="3"/>
            <w:shd w:val="clear" w:color="auto" w:fill="auto"/>
            <w:vAlign w:val="center"/>
          </w:tcPr>
          <w:p>
            <w:pPr>
              <w:pStyle w:val="3238"/>
            </w:pPr>
            <w:r>
              <w:t>二、开采期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vMerge w:val="restart"/>
            <w:shd w:val="clear" w:color="auto" w:fill="auto"/>
            <w:vAlign w:val="center"/>
          </w:tcPr>
          <w:p>
            <w:pPr>
              <w:pStyle w:val="3238"/>
            </w:pPr>
            <w:r>
              <w:t>废气</w:t>
            </w:r>
          </w:p>
        </w:tc>
        <w:tc>
          <w:tcPr>
            <w:tcW w:w="823" w:type="pct"/>
            <w:tcBorders>
              <w:bottom w:val="single" w:color="auto" w:sz="4" w:space="0"/>
            </w:tcBorders>
            <w:shd w:val="clear" w:color="auto" w:fill="auto"/>
            <w:vAlign w:val="center"/>
          </w:tcPr>
          <w:p>
            <w:pPr>
              <w:pStyle w:val="3238"/>
            </w:pPr>
            <w:r>
              <w:t>采区开采粉尘</w:t>
            </w:r>
          </w:p>
        </w:tc>
        <w:tc>
          <w:tcPr>
            <w:tcW w:w="3744" w:type="pct"/>
            <w:tcBorders>
              <w:bottom w:val="single" w:color="auto" w:sz="4" w:space="0"/>
            </w:tcBorders>
            <w:shd w:val="clear" w:color="auto" w:fill="auto"/>
            <w:vAlign w:val="center"/>
          </w:tcPr>
          <w:p>
            <w:pPr>
              <w:pStyle w:val="3238"/>
            </w:pPr>
            <w:r>
              <w:t>采区采用自带除尘装置的潜孔钻进行钻孔，可减少粉尘产生和排放量；采用微差爆破，粉尘产生量很少，爆破后及时洒水降尘减少粉尘排放。采区布置多台雾炮机及水管，辅以洒水车辆对采区内采掘工作面、矿区道路、铲装等产尘点喷雾洒水降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vMerge w:val="continue"/>
            <w:shd w:val="clear" w:color="auto" w:fill="auto"/>
            <w:vAlign w:val="center"/>
          </w:tcPr>
          <w:p>
            <w:pPr>
              <w:pStyle w:val="3238"/>
            </w:pPr>
          </w:p>
        </w:tc>
        <w:tc>
          <w:tcPr>
            <w:tcW w:w="823" w:type="pct"/>
            <w:tcBorders>
              <w:bottom w:val="single" w:color="auto" w:sz="4" w:space="0"/>
            </w:tcBorders>
            <w:shd w:val="clear" w:color="auto" w:fill="auto"/>
            <w:vAlign w:val="center"/>
          </w:tcPr>
          <w:p>
            <w:pPr>
              <w:pStyle w:val="3238"/>
            </w:pPr>
            <w:r>
              <w:t>运输扬尘</w:t>
            </w:r>
          </w:p>
        </w:tc>
        <w:tc>
          <w:tcPr>
            <w:tcW w:w="3744" w:type="pct"/>
            <w:tcBorders>
              <w:bottom w:val="single" w:color="auto" w:sz="4" w:space="0"/>
            </w:tcBorders>
            <w:shd w:val="clear" w:color="auto" w:fill="auto"/>
            <w:vAlign w:val="center"/>
          </w:tcPr>
          <w:p>
            <w:pPr>
              <w:pStyle w:val="3238"/>
              <w:rPr>
                <w:lang w:bidi="en-US"/>
              </w:rPr>
            </w:pPr>
            <w:r>
              <w:rPr>
                <w:lang w:bidi="en-US"/>
              </w:rPr>
              <w:t>采用雾炮机对矿区公路进行洒水降尘，在工业场地出口处设置车辆冲洗设施，废水进入沉淀池内，同时对运输车加装篷布实现密闭运输。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1" w:hRule="atLeast"/>
          <w:jc w:val="center"/>
        </w:trPr>
        <w:tc>
          <w:tcPr>
            <w:tcW w:w="433" w:type="pct"/>
            <w:vMerge w:val="continue"/>
            <w:shd w:val="clear" w:color="auto" w:fill="auto"/>
            <w:vAlign w:val="center"/>
          </w:tcPr>
          <w:p>
            <w:pPr>
              <w:pStyle w:val="3238"/>
            </w:pPr>
          </w:p>
        </w:tc>
        <w:tc>
          <w:tcPr>
            <w:tcW w:w="823" w:type="pct"/>
            <w:tcBorders>
              <w:top w:val="single" w:color="auto" w:sz="4" w:space="0"/>
            </w:tcBorders>
            <w:shd w:val="clear" w:color="auto" w:fill="auto"/>
            <w:vAlign w:val="center"/>
          </w:tcPr>
          <w:p>
            <w:pPr>
              <w:pStyle w:val="3238"/>
              <w:rPr>
                <w:lang w:bidi="en-US"/>
              </w:rPr>
            </w:pPr>
            <w:r>
              <w:t>工业场地粉尘</w:t>
            </w:r>
          </w:p>
        </w:tc>
        <w:tc>
          <w:tcPr>
            <w:tcW w:w="3744" w:type="pct"/>
            <w:tcBorders>
              <w:top w:val="single" w:color="auto" w:sz="4" w:space="0"/>
            </w:tcBorders>
            <w:shd w:val="clear" w:color="auto" w:fill="auto"/>
            <w:vAlign w:val="center"/>
          </w:tcPr>
          <w:p>
            <w:pPr>
              <w:spacing w:line="240" w:lineRule="auto"/>
              <w:ind w:firstLine="0" w:firstLineChars="0"/>
              <w:rPr>
                <w:bCs/>
                <w:sz w:val="21"/>
                <w:szCs w:val="21"/>
              </w:rPr>
            </w:pPr>
            <w:r>
              <w:rPr>
                <w:rFonts w:hint="eastAsia" w:ascii="宋体" w:hAnsi="宋体" w:cs="宋体"/>
                <w:bCs/>
                <w:sz w:val="21"/>
                <w:szCs w:val="21"/>
                <w:lang w:eastAsia="ja-JP"/>
              </w:rPr>
              <w:t>①</w:t>
            </w:r>
            <w:r>
              <w:rPr>
                <w:bCs/>
                <w:sz w:val="21"/>
                <w:szCs w:val="21"/>
              </w:rPr>
              <w:t>破碎筛分生产线设备布置于封闭彩钢棚车间内，给料机进料口设三面围挡和高压喷雾洒水降尘，并且破碎粉尘收集后进入1#布袋除尘器处理后通过15m高排气筒（DA001）排放。</w:t>
            </w:r>
          </w:p>
          <w:p>
            <w:pPr>
              <w:spacing w:line="240" w:lineRule="auto"/>
              <w:ind w:firstLine="0" w:firstLineChars="0"/>
              <w:rPr>
                <w:bCs/>
                <w:sz w:val="21"/>
                <w:szCs w:val="21"/>
              </w:rPr>
            </w:pPr>
            <w:r>
              <w:rPr>
                <w:rFonts w:hint="eastAsia" w:ascii="宋体" w:hAnsi="宋体" w:cs="宋体"/>
                <w:bCs/>
                <w:sz w:val="21"/>
                <w:szCs w:val="21"/>
              </w:rPr>
              <w:t>②</w:t>
            </w:r>
            <w:r>
              <w:rPr>
                <w:bCs/>
                <w:sz w:val="21"/>
                <w:szCs w:val="21"/>
              </w:rPr>
              <w:t>反击破碎机（2台）设置1#、2#布袋除尘收集处理后经高15m排气筒（DA001、DA002）达标排放；</w:t>
            </w:r>
          </w:p>
          <w:p>
            <w:pPr>
              <w:spacing w:line="240" w:lineRule="auto"/>
              <w:ind w:firstLine="0" w:firstLineChars="0"/>
              <w:rPr>
                <w:bCs/>
                <w:sz w:val="21"/>
                <w:szCs w:val="21"/>
              </w:rPr>
            </w:pPr>
            <w:r>
              <w:rPr>
                <w:rFonts w:hint="eastAsia" w:ascii="宋体" w:hAnsi="宋体" w:cs="宋体"/>
                <w:bCs/>
                <w:sz w:val="21"/>
                <w:szCs w:val="21"/>
              </w:rPr>
              <w:t>③</w:t>
            </w:r>
            <w:r>
              <w:rPr>
                <w:bCs/>
                <w:sz w:val="21"/>
                <w:szCs w:val="21"/>
              </w:rPr>
              <w:t>筛分设置1套布袋除尘收集处理后经高15m排气筒（DA003）达标排放；</w:t>
            </w:r>
          </w:p>
          <w:p>
            <w:pPr>
              <w:spacing w:line="240" w:lineRule="auto"/>
              <w:ind w:firstLine="0" w:firstLineChars="0"/>
              <w:rPr>
                <w:bCs/>
                <w:sz w:val="21"/>
                <w:szCs w:val="21"/>
                <w:lang w:bidi="en-US"/>
              </w:rPr>
            </w:pPr>
            <w:r>
              <w:rPr>
                <w:rFonts w:hint="eastAsia" w:ascii="宋体" w:hAnsi="宋体" w:cs="宋体"/>
                <w:bCs/>
                <w:sz w:val="21"/>
                <w:szCs w:val="21"/>
                <w:lang w:bidi="en-US"/>
              </w:rPr>
              <w:t>④</w:t>
            </w:r>
            <w:r>
              <w:rPr>
                <w:bCs/>
                <w:sz w:val="21"/>
                <w:szCs w:val="21"/>
                <w:lang w:bidi="en-US"/>
              </w:rPr>
              <w:t>产品仓为全密闭式，在顶部设置盖板和过滤网，产品仓底部落料皮带设置防尘罩，装车点设喷雾装置降尘；</w:t>
            </w:r>
          </w:p>
          <w:p>
            <w:pPr>
              <w:spacing w:line="240" w:lineRule="auto"/>
              <w:ind w:firstLine="0" w:firstLineChars="0"/>
              <w:rPr>
                <w:bCs/>
                <w:sz w:val="21"/>
                <w:szCs w:val="21"/>
                <w:lang w:bidi="en-US"/>
              </w:rPr>
            </w:pPr>
            <w:r>
              <w:rPr>
                <w:rFonts w:hint="eastAsia" w:ascii="宋体" w:hAnsi="宋体" w:cs="宋体"/>
                <w:bCs/>
                <w:sz w:val="21"/>
                <w:szCs w:val="21"/>
                <w:lang w:bidi="en-US"/>
              </w:rPr>
              <w:t>⑤</w:t>
            </w:r>
            <w:r>
              <w:rPr>
                <w:bCs/>
                <w:sz w:val="21"/>
                <w:szCs w:val="21"/>
                <w:lang w:bidi="en-US"/>
              </w:rPr>
              <w:t>产品堆场设置在厂房内，封闭储存，篷布遮盖。</w:t>
            </w:r>
          </w:p>
          <w:p>
            <w:pPr>
              <w:spacing w:line="240" w:lineRule="auto"/>
              <w:ind w:firstLine="0" w:firstLineChars="0"/>
              <w:rPr>
                <w:bCs/>
                <w:sz w:val="21"/>
                <w:szCs w:val="21"/>
              </w:rPr>
            </w:pPr>
            <w:r>
              <w:rPr>
                <w:rFonts w:hint="eastAsia" w:ascii="宋体" w:hAnsi="宋体" w:cs="宋体"/>
                <w:bCs/>
                <w:sz w:val="21"/>
                <w:szCs w:val="21"/>
              </w:rPr>
              <w:t>⑥</w:t>
            </w:r>
            <w:r>
              <w:rPr>
                <w:bCs/>
                <w:sz w:val="21"/>
                <w:szCs w:val="21"/>
              </w:rPr>
              <w:t>对现有布袋除尘器内的布袋进行更换，使用性能优良的布袋，确保稳定达标；对布袋除尘器排气筒进行修复，高度不低于15m；</w:t>
            </w:r>
          </w:p>
          <w:p>
            <w:pPr>
              <w:spacing w:line="240" w:lineRule="auto"/>
              <w:ind w:firstLine="0" w:firstLineChars="0"/>
              <w:rPr>
                <w:bCs/>
                <w:sz w:val="21"/>
                <w:szCs w:val="21"/>
              </w:rPr>
            </w:pPr>
            <w:r>
              <w:rPr>
                <w:rFonts w:hint="eastAsia" w:ascii="宋体" w:hAnsi="宋体" w:cs="宋体"/>
                <w:bCs/>
                <w:sz w:val="21"/>
                <w:szCs w:val="21"/>
              </w:rPr>
              <w:t>⑦</w:t>
            </w:r>
            <w:r>
              <w:rPr>
                <w:bCs/>
                <w:sz w:val="21"/>
                <w:szCs w:val="21"/>
              </w:rPr>
              <w:t>调整反击式破碎机、筛分进料口附近的喷雾装置，朝向进料口，确保喷雾能有效降尘；对车间内四周、顶部、设备旁加密喷雾管道及开孔，加压水雾，确保有效的出水及降尘效果；</w:t>
            </w:r>
          </w:p>
          <w:p>
            <w:pPr>
              <w:spacing w:line="240" w:lineRule="auto"/>
              <w:ind w:firstLine="0" w:firstLineChars="0"/>
              <w:rPr>
                <w:bCs/>
                <w:sz w:val="21"/>
                <w:szCs w:val="21"/>
              </w:rPr>
            </w:pPr>
            <w:r>
              <w:rPr>
                <w:rFonts w:hint="eastAsia" w:ascii="宋体" w:hAnsi="宋体" w:cs="宋体"/>
                <w:bCs/>
                <w:sz w:val="21"/>
                <w:szCs w:val="21"/>
              </w:rPr>
              <w:t>⑧</w:t>
            </w:r>
            <w:r>
              <w:rPr>
                <w:bCs/>
                <w:sz w:val="21"/>
                <w:szCs w:val="21"/>
              </w:rPr>
              <w:t>产品装车时降低物料与车斗高差，提高人员素质，文明作业；不装车时对物料进行覆盖。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29" w:hRule="atLeast"/>
          <w:jc w:val="center"/>
        </w:trPr>
        <w:tc>
          <w:tcPr>
            <w:tcW w:w="433" w:type="pct"/>
            <w:vMerge w:val="continue"/>
            <w:shd w:val="clear" w:color="auto" w:fill="auto"/>
            <w:vAlign w:val="center"/>
          </w:tcPr>
          <w:p>
            <w:pPr>
              <w:pStyle w:val="3238"/>
            </w:pPr>
          </w:p>
        </w:tc>
        <w:tc>
          <w:tcPr>
            <w:tcW w:w="823" w:type="pct"/>
            <w:tcBorders>
              <w:top w:val="single" w:color="auto" w:sz="4" w:space="0"/>
            </w:tcBorders>
            <w:shd w:val="clear" w:color="auto" w:fill="auto"/>
            <w:vAlign w:val="center"/>
          </w:tcPr>
          <w:p>
            <w:pPr>
              <w:pStyle w:val="3238"/>
            </w:pPr>
            <w:r>
              <w:t>排土场扬尘</w:t>
            </w:r>
          </w:p>
        </w:tc>
        <w:tc>
          <w:tcPr>
            <w:tcW w:w="3744" w:type="pct"/>
            <w:tcBorders>
              <w:top w:val="single" w:color="auto" w:sz="4" w:space="0"/>
            </w:tcBorders>
            <w:shd w:val="clear" w:color="auto" w:fill="auto"/>
            <w:vAlign w:val="center"/>
          </w:tcPr>
          <w:p>
            <w:pPr>
              <w:spacing w:line="240" w:lineRule="auto"/>
              <w:ind w:firstLine="0" w:firstLineChars="0"/>
              <w:rPr>
                <w:bCs/>
                <w:sz w:val="21"/>
                <w:szCs w:val="21"/>
              </w:rPr>
            </w:pPr>
            <w:r>
              <w:rPr>
                <w:bCs/>
                <w:sz w:val="21"/>
                <w:szCs w:val="21"/>
              </w:rPr>
              <w:t>排土场进行分层碾压堆放，采用洒水车定期洒水；长期（如1个月以上）不使用时，对表层进行遮盖。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6" w:hRule="atLeast"/>
          <w:jc w:val="center"/>
        </w:trPr>
        <w:tc>
          <w:tcPr>
            <w:tcW w:w="433" w:type="pct"/>
            <w:vMerge w:val="restart"/>
            <w:shd w:val="clear" w:color="auto" w:fill="auto"/>
            <w:vAlign w:val="center"/>
          </w:tcPr>
          <w:p>
            <w:pPr>
              <w:pStyle w:val="3238"/>
            </w:pPr>
            <w:r>
              <w:t>废水</w:t>
            </w:r>
          </w:p>
        </w:tc>
        <w:tc>
          <w:tcPr>
            <w:tcW w:w="823" w:type="pct"/>
            <w:shd w:val="clear" w:color="auto" w:fill="auto"/>
            <w:vAlign w:val="center"/>
          </w:tcPr>
          <w:p>
            <w:pPr>
              <w:pStyle w:val="3238"/>
            </w:pPr>
            <w:r>
              <w:t>生产废水</w:t>
            </w:r>
          </w:p>
        </w:tc>
        <w:tc>
          <w:tcPr>
            <w:tcW w:w="3744" w:type="pct"/>
            <w:shd w:val="clear" w:color="auto" w:fill="auto"/>
            <w:vAlign w:val="center"/>
          </w:tcPr>
          <w:p>
            <w:pPr>
              <w:spacing w:line="240" w:lineRule="auto"/>
              <w:ind w:firstLine="0" w:firstLineChars="0"/>
              <w:rPr>
                <w:bCs/>
                <w:sz w:val="21"/>
                <w:szCs w:val="21"/>
              </w:rPr>
            </w:pPr>
            <w:r>
              <w:rPr>
                <w:bCs/>
                <w:sz w:val="21"/>
                <w:szCs w:val="21"/>
              </w:rPr>
              <w:t>在矿区与工业场地出口处各设置1处车辆冲洗点，对进出矿区的车辆进行冲洗，产生的车辆冲洗废水经沉淀池处理循环用于洗车或道路洒水，不外排。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72" w:hRule="atLeast"/>
          <w:jc w:val="center"/>
        </w:trPr>
        <w:tc>
          <w:tcPr>
            <w:tcW w:w="433" w:type="pct"/>
            <w:vMerge w:val="continue"/>
            <w:shd w:val="clear" w:color="auto" w:fill="auto"/>
            <w:vAlign w:val="center"/>
          </w:tcPr>
          <w:p>
            <w:pPr>
              <w:pStyle w:val="3238"/>
            </w:pPr>
          </w:p>
        </w:tc>
        <w:tc>
          <w:tcPr>
            <w:tcW w:w="823" w:type="pct"/>
            <w:shd w:val="clear" w:color="auto" w:fill="auto"/>
            <w:vAlign w:val="center"/>
          </w:tcPr>
          <w:p>
            <w:pPr>
              <w:pStyle w:val="3238"/>
            </w:pPr>
            <w:r>
              <w:t>生活污水</w:t>
            </w:r>
          </w:p>
        </w:tc>
        <w:tc>
          <w:tcPr>
            <w:tcW w:w="3744" w:type="pct"/>
            <w:shd w:val="clear" w:color="auto" w:fill="auto"/>
            <w:vAlign w:val="center"/>
          </w:tcPr>
          <w:p>
            <w:pPr>
              <w:pStyle w:val="3238"/>
            </w:pPr>
            <w:r>
              <w:t>生活污水经化粪池收集（规模30m</w:t>
            </w:r>
            <w:r>
              <w:rPr>
                <w:vertAlign w:val="superscript"/>
              </w:rPr>
              <w:t>3</w:t>
            </w:r>
            <w:r>
              <w:t>/d）处理后用作农肥，不外排。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433" w:type="pct"/>
            <w:vMerge w:val="continue"/>
            <w:shd w:val="clear" w:color="auto" w:fill="auto"/>
            <w:vAlign w:val="center"/>
          </w:tcPr>
          <w:p>
            <w:pPr>
              <w:pStyle w:val="3238"/>
            </w:pPr>
          </w:p>
        </w:tc>
        <w:tc>
          <w:tcPr>
            <w:tcW w:w="823" w:type="pct"/>
            <w:shd w:val="clear" w:color="auto" w:fill="auto"/>
            <w:vAlign w:val="center"/>
          </w:tcPr>
          <w:p>
            <w:pPr>
              <w:pStyle w:val="3238"/>
            </w:pPr>
            <w:r>
              <w:t>场地雨水</w:t>
            </w:r>
          </w:p>
        </w:tc>
        <w:tc>
          <w:tcPr>
            <w:tcW w:w="3744" w:type="pct"/>
            <w:shd w:val="clear" w:color="auto" w:fill="auto"/>
            <w:vAlign w:val="center"/>
          </w:tcPr>
          <w:p>
            <w:pPr>
              <w:pStyle w:val="3238"/>
            </w:pPr>
            <w:r>
              <w:rPr>
                <w:rFonts w:hint="eastAsia" w:ascii="宋体" w:hAnsi="宋体" w:cs="宋体"/>
              </w:rPr>
              <w:t>①</w:t>
            </w:r>
            <w:r>
              <w:t>在采区东侧、南侧、西侧设置排水沟，东北侧沟尾端设置1个沉砂池，初期雨水收集后经沉淀处理后外排。</w:t>
            </w:r>
          </w:p>
          <w:p>
            <w:pPr>
              <w:pStyle w:val="3238"/>
            </w:pPr>
            <w:r>
              <w:rPr>
                <w:rFonts w:hint="eastAsia" w:ascii="宋体" w:hAnsi="宋体" w:cs="宋体"/>
              </w:rPr>
              <w:t>②</w:t>
            </w:r>
            <w:r>
              <w:t>排土场四周均设置截排水沟，排土场下游设施挡墙，初期雨水经沉淀处理后汇入周边现有排洪沟排出。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shd w:val="clear" w:color="auto" w:fill="auto"/>
            <w:vAlign w:val="center"/>
          </w:tcPr>
          <w:p>
            <w:pPr>
              <w:pStyle w:val="3238"/>
            </w:pPr>
            <w:r>
              <w:t>噪声</w:t>
            </w:r>
          </w:p>
        </w:tc>
        <w:tc>
          <w:tcPr>
            <w:tcW w:w="823" w:type="pct"/>
            <w:shd w:val="clear" w:color="auto" w:fill="auto"/>
            <w:vAlign w:val="center"/>
          </w:tcPr>
          <w:p>
            <w:pPr>
              <w:pStyle w:val="3238"/>
            </w:pPr>
            <w:r>
              <w:t>设备噪声</w:t>
            </w:r>
          </w:p>
        </w:tc>
        <w:tc>
          <w:tcPr>
            <w:tcW w:w="3744" w:type="pct"/>
            <w:shd w:val="clear" w:color="auto" w:fill="auto"/>
            <w:vAlign w:val="center"/>
          </w:tcPr>
          <w:p>
            <w:pPr>
              <w:pStyle w:val="3238"/>
            </w:pPr>
            <w:r>
              <w:t>开采设备加强保养，合理安排作业时间，充分依托矿区自然山体的阻挡降噪；工业场地加工设备置于生产厂房内，采取隔声、减振、消声等措施；合理安排生产和运输时间。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vMerge w:val="restart"/>
            <w:tcBorders>
              <w:top w:val="single" w:color="auto" w:sz="4" w:space="0"/>
            </w:tcBorders>
            <w:shd w:val="clear" w:color="auto" w:fill="auto"/>
            <w:vAlign w:val="center"/>
          </w:tcPr>
          <w:p>
            <w:pPr>
              <w:pStyle w:val="3238"/>
            </w:pPr>
            <w:r>
              <w:t>固废</w:t>
            </w:r>
          </w:p>
        </w:tc>
        <w:tc>
          <w:tcPr>
            <w:tcW w:w="823" w:type="pct"/>
            <w:tcBorders>
              <w:top w:val="single" w:color="auto" w:sz="4" w:space="0"/>
            </w:tcBorders>
            <w:shd w:val="clear" w:color="auto" w:fill="auto"/>
            <w:vAlign w:val="center"/>
          </w:tcPr>
          <w:p>
            <w:pPr>
              <w:pStyle w:val="3238"/>
            </w:pPr>
            <w:r>
              <w:t>沉淀污泥</w:t>
            </w:r>
          </w:p>
        </w:tc>
        <w:tc>
          <w:tcPr>
            <w:tcW w:w="3744" w:type="pct"/>
            <w:shd w:val="clear" w:color="auto" w:fill="auto"/>
            <w:vAlign w:val="center"/>
          </w:tcPr>
          <w:p>
            <w:pPr>
              <w:pStyle w:val="3238"/>
            </w:pPr>
            <w:r>
              <w:t>沉淀池内清掏的污泥，作为矿区复垦绿化使用。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vMerge w:val="continue"/>
            <w:shd w:val="clear" w:color="auto" w:fill="auto"/>
            <w:vAlign w:val="center"/>
          </w:tcPr>
          <w:p>
            <w:pPr>
              <w:pStyle w:val="3238"/>
            </w:pPr>
          </w:p>
        </w:tc>
        <w:tc>
          <w:tcPr>
            <w:tcW w:w="823" w:type="pct"/>
            <w:tcBorders>
              <w:top w:val="single" w:color="auto" w:sz="4" w:space="0"/>
            </w:tcBorders>
            <w:shd w:val="clear" w:color="auto" w:fill="auto"/>
            <w:vAlign w:val="center"/>
          </w:tcPr>
          <w:p>
            <w:pPr>
              <w:pStyle w:val="3238"/>
            </w:pPr>
            <w:r>
              <w:t>含油废物（废润滑油、含油棉纱手套）</w:t>
            </w:r>
          </w:p>
        </w:tc>
        <w:tc>
          <w:tcPr>
            <w:tcW w:w="3744" w:type="pct"/>
            <w:shd w:val="clear" w:color="auto" w:fill="auto"/>
            <w:vAlign w:val="center"/>
          </w:tcPr>
          <w:p>
            <w:pPr>
              <w:pStyle w:val="3238"/>
            </w:pPr>
            <w:r>
              <w:t>在工业场地设置面积10m</w:t>
            </w:r>
            <w:r>
              <w:rPr>
                <w:vertAlign w:val="superscript"/>
              </w:rPr>
              <w:t>2</w:t>
            </w:r>
            <w:r>
              <w:t>危险废物贮存间，废润滑油、含油棉纱等采用专用带盖的收集桶收集，定期交有资质单位处置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vMerge w:val="continue"/>
            <w:shd w:val="clear" w:color="auto" w:fill="auto"/>
            <w:vAlign w:val="center"/>
          </w:tcPr>
          <w:p>
            <w:pPr>
              <w:pStyle w:val="3238"/>
            </w:pPr>
          </w:p>
        </w:tc>
        <w:tc>
          <w:tcPr>
            <w:tcW w:w="823" w:type="pct"/>
            <w:tcBorders>
              <w:top w:val="single" w:color="auto" w:sz="4" w:space="0"/>
              <w:bottom w:val="single" w:color="auto" w:sz="4" w:space="0"/>
            </w:tcBorders>
            <w:shd w:val="clear" w:color="auto" w:fill="auto"/>
            <w:vAlign w:val="center"/>
          </w:tcPr>
          <w:p>
            <w:pPr>
              <w:pStyle w:val="3238"/>
            </w:pPr>
            <w:r>
              <w:t>生活垃圾</w:t>
            </w:r>
          </w:p>
        </w:tc>
        <w:tc>
          <w:tcPr>
            <w:tcW w:w="3744" w:type="pct"/>
            <w:shd w:val="clear" w:color="auto" w:fill="auto"/>
            <w:vAlign w:val="center"/>
          </w:tcPr>
          <w:p>
            <w:pPr>
              <w:pStyle w:val="3238"/>
            </w:pPr>
            <w:r>
              <w:rPr>
                <w:lang w:bidi="en-US"/>
              </w:rPr>
              <w:t>生活办公区内设置垃圾收集桶，定期交环卫部门处置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shd w:val="clear" w:color="auto" w:fill="auto"/>
            <w:vAlign w:val="center"/>
          </w:tcPr>
          <w:p>
            <w:pPr>
              <w:pStyle w:val="3238"/>
            </w:pPr>
            <w:r>
              <w:t>环境风险</w:t>
            </w:r>
          </w:p>
        </w:tc>
        <w:tc>
          <w:tcPr>
            <w:tcW w:w="823" w:type="pct"/>
            <w:tcBorders>
              <w:top w:val="single" w:color="auto" w:sz="4" w:space="0"/>
              <w:bottom w:val="single" w:color="auto" w:sz="4" w:space="0"/>
            </w:tcBorders>
            <w:shd w:val="clear" w:color="auto" w:fill="auto"/>
            <w:vAlign w:val="center"/>
          </w:tcPr>
          <w:p>
            <w:pPr>
              <w:pStyle w:val="3238"/>
            </w:pPr>
            <w:r>
              <w:t>油类泄漏</w:t>
            </w:r>
          </w:p>
        </w:tc>
        <w:tc>
          <w:tcPr>
            <w:tcW w:w="3744" w:type="pct"/>
            <w:shd w:val="clear" w:color="auto" w:fill="auto"/>
            <w:vAlign w:val="center"/>
          </w:tcPr>
          <w:p>
            <w:pPr>
              <w:pStyle w:val="3238"/>
              <w:rPr>
                <w:lang w:bidi="en-US"/>
              </w:rPr>
            </w:pPr>
            <w:r>
              <w:t>柴油罐区基础作防渗，采用双层罐，为地埋式，柴油罐区外围设置警示标志，严禁烟火。柴油罐区设置消防灭火装置（配备灭火器、灭火沙等）。</w:t>
            </w:r>
            <w:r>
              <w:rPr>
                <w:lang w:bidi="en-US"/>
              </w:rPr>
              <w:t>润滑油储存于铁桶内、废油储存于带盖油桶内，并将润滑油桶及废油收集桶置于防渗托盘上；危险废物贮存间采取“四防”措施，并加强管理加强职工安全环保教育，增强操作工人的责任心，防止和减少因人为因素造成的事故，同时也要加强防火安全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shd w:val="clear" w:color="auto" w:fill="auto"/>
            <w:vAlign w:val="center"/>
          </w:tcPr>
          <w:p>
            <w:pPr>
              <w:pStyle w:val="3238"/>
            </w:pPr>
            <w:r>
              <w:t>生态治理</w:t>
            </w:r>
          </w:p>
        </w:tc>
        <w:tc>
          <w:tcPr>
            <w:tcW w:w="823" w:type="pct"/>
            <w:tcBorders>
              <w:top w:val="single" w:color="auto" w:sz="4" w:space="0"/>
              <w:bottom w:val="single" w:color="auto" w:sz="4" w:space="0"/>
            </w:tcBorders>
            <w:shd w:val="clear" w:color="auto" w:fill="auto"/>
            <w:vAlign w:val="center"/>
          </w:tcPr>
          <w:p>
            <w:pPr>
              <w:pStyle w:val="3238"/>
              <w:rPr>
                <w:b/>
              </w:rPr>
            </w:pPr>
            <w:r>
              <w:t>开采区</w:t>
            </w:r>
          </w:p>
        </w:tc>
        <w:tc>
          <w:tcPr>
            <w:tcW w:w="3744" w:type="pct"/>
            <w:shd w:val="clear" w:color="auto" w:fill="auto"/>
            <w:vAlign w:val="center"/>
          </w:tcPr>
          <w:p>
            <w:pPr>
              <w:pStyle w:val="3238"/>
              <w:rPr>
                <w:b/>
              </w:rPr>
            </w:pPr>
            <w:r>
              <w:rPr>
                <w:lang w:bidi="en-US"/>
              </w:rPr>
              <w:t>项目开采严格按开发利用方案开采，采取“边开采、边恢复”的生产方式，即一个台阶开采完后，及时进行覆土、平整及植被恢复。</w:t>
            </w:r>
            <w:r>
              <w:rPr>
                <w:rStyle w:val="198"/>
                <w:rFonts w:hint="default" w:ascii="Times New Roman" w:hAnsi="Times New Roman"/>
                <w:color w:val="auto"/>
                <w:sz w:val="21"/>
                <w:szCs w:val="21"/>
              </w:rPr>
              <w:t>复垦土壤来</w:t>
            </w:r>
            <w:r>
              <w:rPr>
                <w:lang w:bidi="en-US"/>
              </w:rPr>
              <w:t>自剥离土，平台植被恢复种植刺桐等乔木绿化台阶，边坡种植藤蔓类植物（如爬山虎、地瓜藤）绿化坡面。采区东侧、</w:t>
            </w:r>
            <w:r>
              <w:t>南侧、西侧设置排水沟，东北侧沟尾端设置1个沉砂池。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5000" w:type="pct"/>
            <w:gridSpan w:val="3"/>
            <w:shd w:val="clear" w:color="auto" w:fill="auto"/>
            <w:vAlign w:val="center"/>
          </w:tcPr>
          <w:p>
            <w:pPr>
              <w:pStyle w:val="3238"/>
              <w:rPr>
                <w:lang w:bidi="en-US"/>
              </w:rPr>
            </w:pPr>
            <w:r>
              <w:t>三、闭矿期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vMerge w:val="restart"/>
            <w:shd w:val="clear" w:color="auto" w:fill="auto"/>
            <w:vAlign w:val="center"/>
          </w:tcPr>
          <w:p>
            <w:pPr>
              <w:pStyle w:val="3238"/>
            </w:pPr>
            <w:r>
              <w:t>生态环境</w:t>
            </w:r>
          </w:p>
        </w:tc>
        <w:tc>
          <w:tcPr>
            <w:tcW w:w="823" w:type="pct"/>
            <w:tcBorders>
              <w:top w:val="single" w:color="auto" w:sz="4" w:space="0"/>
              <w:bottom w:val="single" w:color="auto" w:sz="4" w:space="0"/>
            </w:tcBorders>
            <w:shd w:val="clear" w:color="auto" w:fill="auto"/>
            <w:vAlign w:val="center"/>
          </w:tcPr>
          <w:p>
            <w:pPr>
              <w:pStyle w:val="3238"/>
              <w:rPr>
                <w:b/>
              </w:rPr>
            </w:pPr>
            <w:r>
              <w:t>拆除清理</w:t>
            </w:r>
          </w:p>
        </w:tc>
        <w:tc>
          <w:tcPr>
            <w:tcW w:w="3744" w:type="pct"/>
            <w:shd w:val="clear" w:color="auto" w:fill="auto"/>
            <w:vAlign w:val="center"/>
          </w:tcPr>
          <w:p>
            <w:pPr>
              <w:pStyle w:val="3238"/>
              <w:rPr>
                <w:b/>
                <w:lang w:bidi="en-US"/>
              </w:rPr>
            </w:pPr>
            <w:r>
              <w:rPr>
                <w:kern w:val="0"/>
                <w:lang w:bidi="en-US"/>
              </w:rPr>
              <w:t>根据</w:t>
            </w:r>
            <w:r>
              <w:t>《重庆峰磊矿业有限公司</w:t>
            </w:r>
            <w:r>
              <w:rPr>
                <w:lang w:bidi="en-US"/>
              </w:rPr>
              <w:t>合川区盐井街道观音村五社建筑石料用灰岩矿矿产资源开发利用与地质环境恢复治理和土地复垦方案</w:t>
            </w:r>
            <w:r>
              <w:t>》，</w:t>
            </w:r>
            <w:r>
              <w:rPr>
                <w:lang w:bidi="en-US"/>
              </w:rPr>
              <w:t>项目闭矿期</w:t>
            </w:r>
            <w:r>
              <w:rPr>
                <w:kern w:val="0"/>
                <w:lang w:bidi="en-US"/>
              </w:rPr>
              <w:t>拆除工业场地和办公生活区的建（构）筑物</w:t>
            </w:r>
            <w:r>
              <w:rPr>
                <w:lang w:bidi="en-US"/>
              </w:rPr>
              <w:t>和设备等，清除建筑垃圾，平整</w:t>
            </w:r>
            <w:r>
              <w:rPr>
                <w:kern w:val="0"/>
                <w:lang w:bidi="en-US"/>
              </w:rPr>
              <w:t>工业场地</w:t>
            </w:r>
            <w:r>
              <w:rPr>
                <w:lang w:bidi="en-US"/>
              </w:rPr>
              <w:t>，平整后进行覆土，办公生活区恢复为林地，</w:t>
            </w:r>
            <w:r>
              <w:rPr>
                <w:kern w:val="0"/>
                <w:lang w:bidi="en-US"/>
              </w:rPr>
              <w:t>工业场地</w:t>
            </w:r>
            <w:r>
              <w:rPr>
                <w:lang w:bidi="en-US"/>
              </w:rPr>
              <w:t>恢复成旱地或林地，场地内栽植灌木或乔木，同时播撒草籽。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433" w:type="pct"/>
            <w:vMerge w:val="continue"/>
            <w:shd w:val="clear" w:color="auto" w:fill="auto"/>
            <w:vAlign w:val="center"/>
          </w:tcPr>
          <w:p>
            <w:pPr>
              <w:pStyle w:val="3238"/>
            </w:pPr>
          </w:p>
        </w:tc>
        <w:tc>
          <w:tcPr>
            <w:tcW w:w="823" w:type="pct"/>
            <w:tcBorders>
              <w:top w:val="single" w:color="auto" w:sz="4" w:space="0"/>
              <w:bottom w:val="single" w:color="auto" w:sz="4" w:space="0"/>
            </w:tcBorders>
            <w:shd w:val="clear" w:color="auto" w:fill="auto"/>
            <w:vAlign w:val="center"/>
          </w:tcPr>
          <w:p>
            <w:pPr>
              <w:pStyle w:val="3238"/>
              <w:rPr>
                <w:b/>
              </w:rPr>
            </w:pPr>
            <w:r>
              <w:t>植被恢复</w:t>
            </w:r>
          </w:p>
        </w:tc>
        <w:tc>
          <w:tcPr>
            <w:tcW w:w="3744" w:type="pct"/>
            <w:shd w:val="clear" w:color="auto" w:fill="auto"/>
            <w:vAlign w:val="center"/>
          </w:tcPr>
          <w:p>
            <w:pPr>
              <w:pStyle w:val="3238"/>
              <w:rPr>
                <w:b/>
                <w:lang w:bidi="en-US"/>
              </w:rPr>
            </w:pPr>
            <w:r>
              <w:rPr>
                <w:lang w:bidi="en-US"/>
              </w:rPr>
              <w:t>根据《重庆峰磊矿业有限公司合川区盐井街道观音村五社建筑石料用灰岩矿矿产资源开发利用与地质环境恢复治理和土地复垦方案》，闭矿期对开采区和工业场地进行土地复垦和生态恢复，终了底盘整体平场后、弃渣场以及</w:t>
            </w:r>
            <w:r>
              <w:rPr>
                <w:kern w:val="0"/>
                <w:lang w:bidi="en-US"/>
              </w:rPr>
              <w:t>工业场地</w:t>
            </w:r>
            <w:r>
              <w:rPr>
                <w:lang w:bidi="en-US"/>
              </w:rPr>
              <w:t>区域修复为旱地，覆土厚度为0.5m；弃渣场、边坡、安全平台、防滚石平台、清扫平台、边坡等修复为林地，采用灌草结合方式。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33" w:type="pct"/>
            <w:vMerge w:val="continue"/>
            <w:shd w:val="clear" w:color="auto" w:fill="auto"/>
            <w:vAlign w:val="center"/>
          </w:tcPr>
          <w:p>
            <w:pPr>
              <w:pStyle w:val="3238"/>
            </w:pPr>
          </w:p>
        </w:tc>
        <w:tc>
          <w:tcPr>
            <w:tcW w:w="823" w:type="pct"/>
            <w:tcBorders>
              <w:top w:val="single" w:color="auto" w:sz="4" w:space="0"/>
              <w:bottom w:val="single" w:color="auto" w:sz="4" w:space="0"/>
            </w:tcBorders>
            <w:shd w:val="clear" w:color="auto" w:fill="auto"/>
            <w:vAlign w:val="center"/>
          </w:tcPr>
          <w:p>
            <w:pPr>
              <w:pStyle w:val="3238"/>
              <w:rPr>
                <w:b/>
              </w:rPr>
            </w:pPr>
            <w:r>
              <w:t>其他</w:t>
            </w:r>
          </w:p>
        </w:tc>
        <w:tc>
          <w:tcPr>
            <w:tcW w:w="3744" w:type="pct"/>
            <w:shd w:val="clear" w:color="auto" w:fill="auto"/>
            <w:vAlign w:val="center"/>
          </w:tcPr>
          <w:p>
            <w:pPr>
              <w:pStyle w:val="3238"/>
              <w:rPr>
                <w:b/>
                <w:lang w:bidi="en-US"/>
              </w:rPr>
            </w:pPr>
            <w:r>
              <w:rPr>
                <w:lang w:bidi="en-US"/>
              </w:rPr>
              <w:t>严格落实《水土保持方案》、《重庆峰磊矿业有限公司合川区盐井街道观音村五社建筑石料用灰岩矿矿产资源开发利用与地质环境恢复治理和土地复垦方案》提出的水土保持措施和矿山地质环境保护与恢复治理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4" w:hRule="atLeast"/>
          <w:jc w:val="center"/>
        </w:trPr>
        <w:tc>
          <w:tcPr>
            <w:tcW w:w="5000" w:type="pct"/>
            <w:gridSpan w:val="3"/>
            <w:shd w:val="clear" w:color="auto" w:fill="auto"/>
            <w:vAlign w:val="center"/>
          </w:tcPr>
          <w:p>
            <w:pPr>
              <w:pStyle w:val="3238"/>
              <w:rPr>
                <w:b/>
                <w:lang w:bidi="en-US"/>
              </w:rPr>
            </w:pPr>
            <w:r>
              <w:rPr>
                <w:lang w:bidi="en-US"/>
              </w:rPr>
              <w:t>合计</w:t>
            </w:r>
          </w:p>
        </w:tc>
      </w:tr>
    </w:tbl>
    <w:p>
      <w:pPr>
        <w:spacing w:line="460" w:lineRule="exact"/>
        <w:ind w:firstLine="480"/>
        <w:jc w:val="both"/>
        <w:rPr>
          <w:bCs/>
          <w:sz w:val="24"/>
          <w:szCs w:val="24"/>
        </w:rPr>
      </w:pPr>
    </w:p>
    <w:p>
      <w:pPr>
        <w:pStyle w:val="5"/>
        <w:rPr>
          <w:color w:val="auto"/>
        </w:rPr>
      </w:pPr>
      <w:r>
        <w:rPr>
          <w:color w:val="auto"/>
        </w:rPr>
        <w:t>10.6.2污染源排放清单求</w:t>
      </w:r>
    </w:p>
    <w:p>
      <w:pPr>
        <w:pStyle w:val="222"/>
      </w:pPr>
      <w:r>
        <w:t>结合《排污许可证申请与核发技术规范  总则》（HJ942-2018）及工程建设环境保护要求，污染物排放管理要求见下表。</w:t>
      </w:r>
    </w:p>
    <w:p>
      <w:pPr>
        <w:pStyle w:val="222"/>
      </w:pPr>
    </w:p>
    <w:p>
      <w:pPr>
        <w:pStyle w:val="222"/>
        <w:sectPr>
          <w:headerReference r:id="rId41" w:type="first"/>
          <w:footerReference r:id="rId42" w:type="first"/>
          <w:pgSz w:w="11907" w:h="16840"/>
          <w:pgMar w:top="1418" w:right="1418" w:bottom="1418" w:left="1418" w:header="851" w:footer="992" w:gutter="0"/>
          <w:cols w:space="425" w:num="1"/>
          <w:docGrid w:linePitch="354" w:charSpace="0"/>
        </w:sectPr>
      </w:pPr>
    </w:p>
    <w:p>
      <w:pPr>
        <w:pStyle w:val="84"/>
      </w:pPr>
      <w:r>
        <w:t>表10.6-2  项目废气污染源排放清单</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1379"/>
        <w:gridCol w:w="919"/>
        <w:gridCol w:w="638"/>
        <w:gridCol w:w="841"/>
        <w:gridCol w:w="927"/>
        <w:gridCol w:w="490"/>
        <w:gridCol w:w="983"/>
        <w:gridCol w:w="1065"/>
        <w:gridCol w:w="983"/>
        <w:gridCol w:w="818"/>
        <w:gridCol w:w="818"/>
        <w:gridCol w:w="1471"/>
        <w:gridCol w:w="983"/>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469"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排放口</w:t>
            </w:r>
          </w:p>
        </w:tc>
        <w:tc>
          <w:tcPr>
            <w:tcW w:w="542"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生产设施</w:t>
            </w:r>
          </w:p>
        </w:tc>
        <w:tc>
          <w:tcPr>
            <w:tcW w:w="304"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排放口基本情况</w:t>
            </w:r>
          </w:p>
        </w:tc>
        <w:tc>
          <w:tcPr>
            <w:tcW w:w="912"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环保措施及主要运行参数</w:t>
            </w:r>
          </w:p>
        </w:tc>
        <w:tc>
          <w:tcPr>
            <w:tcW w:w="229"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污染因子</w:t>
            </w:r>
          </w:p>
        </w:tc>
        <w:tc>
          <w:tcPr>
            <w:tcW w:w="631" w:type="pct"/>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正常工况</w:t>
            </w:r>
          </w:p>
        </w:tc>
        <w:tc>
          <w:tcPr>
            <w:tcW w:w="556" w:type="pct"/>
            <w:gridSpan w:val="2"/>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非正常工况</w:t>
            </w:r>
          </w:p>
        </w:tc>
        <w:tc>
          <w:tcPr>
            <w:tcW w:w="328" w:type="pct"/>
            <w:vMerge w:val="restar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污染物排放量，t/a</w:t>
            </w:r>
          </w:p>
        </w:tc>
        <w:tc>
          <w:tcPr>
            <w:tcW w:w="1029" w:type="pct"/>
            <w:gridSpan w:val="3"/>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执行污染物排放标准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69" w:type="pct"/>
            <w:vMerge w:val="continue"/>
            <w:shd w:val="clear" w:color="auto" w:fill="AEAAAA"/>
            <w:vAlign w:val="center"/>
          </w:tcPr>
          <w:p>
            <w:pPr>
              <w:spacing w:line="240" w:lineRule="auto"/>
              <w:ind w:firstLine="0" w:firstLineChars="0"/>
              <w:jc w:val="center"/>
              <w:rPr>
                <w:sz w:val="21"/>
                <w:szCs w:val="21"/>
              </w:rPr>
            </w:pPr>
          </w:p>
        </w:tc>
        <w:tc>
          <w:tcPr>
            <w:tcW w:w="542" w:type="pct"/>
            <w:vMerge w:val="continue"/>
            <w:shd w:val="clear" w:color="auto" w:fill="AEAAAA"/>
            <w:vAlign w:val="center"/>
          </w:tcPr>
          <w:p>
            <w:pPr>
              <w:spacing w:line="240" w:lineRule="auto"/>
              <w:ind w:firstLine="0" w:firstLineChars="0"/>
              <w:jc w:val="center"/>
              <w:rPr>
                <w:sz w:val="21"/>
                <w:szCs w:val="21"/>
              </w:rPr>
            </w:pPr>
          </w:p>
        </w:tc>
        <w:tc>
          <w:tcPr>
            <w:tcW w:w="304" w:type="pct"/>
            <w:vMerge w:val="continue"/>
            <w:shd w:val="clear" w:color="auto" w:fill="AEAAAA"/>
            <w:vAlign w:val="center"/>
          </w:tcPr>
          <w:p>
            <w:pPr>
              <w:spacing w:line="240" w:lineRule="auto"/>
              <w:ind w:firstLine="0" w:firstLineChars="0"/>
              <w:jc w:val="center"/>
              <w:rPr>
                <w:sz w:val="21"/>
                <w:szCs w:val="21"/>
              </w:rPr>
            </w:pPr>
          </w:p>
        </w:tc>
        <w:tc>
          <w:tcPr>
            <w:tcW w:w="253" w:type="pct"/>
            <w:shd w:val="clear" w:color="auto" w:fill="D8D8D8" w:themeFill="background1" w:themeFillShade="D9"/>
            <w:vAlign w:val="center"/>
          </w:tcPr>
          <w:p>
            <w:pPr>
              <w:spacing w:line="240" w:lineRule="auto"/>
              <w:ind w:firstLine="0" w:firstLineChars="0"/>
              <w:jc w:val="center"/>
              <w:rPr>
                <w:sz w:val="21"/>
                <w:szCs w:val="21"/>
              </w:rPr>
            </w:pPr>
            <w:r>
              <w:rPr>
                <w:b/>
                <w:sz w:val="21"/>
                <w:szCs w:val="21"/>
              </w:rPr>
              <w:t>收集效率%</w:t>
            </w:r>
          </w:p>
        </w:tc>
        <w:tc>
          <w:tcPr>
            <w:tcW w:w="377" w:type="pct"/>
            <w:shd w:val="clear" w:color="auto" w:fill="D8D8D8" w:themeFill="background1" w:themeFillShade="D9"/>
            <w:vAlign w:val="center"/>
          </w:tcPr>
          <w:p>
            <w:pPr>
              <w:spacing w:line="240" w:lineRule="auto"/>
              <w:ind w:firstLine="0" w:firstLineChars="0"/>
              <w:jc w:val="center"/>
              <w:rPr>
                <w:sz w:val="21"/>
                <w:szCs w:val="21"/>
              </w:rPr>
            </w:pPr>
            <w:r>
              <w:rPr>
                <w:b/>
                <w:sz w:val="21"/>
                <w:szCs w:val="21"/>
              </w:rPr>
              <w:t>工艺</w:t>
            </w:r>
          </w:p>
        </w:tc>
        <w:tc>
          <w:tcPr>
            <w:tcW w:w="282" w:type="pct"/>
            <w:shd w:val="clear" w:color="auto" w:fill="D8D8D8" w:themeFill="background1" w:themeFillShade="D9"/>
            <w:vAlign w:val="center"/>
          </w:tcPr>
          <w:p>
            <w:pPr>
              <w:spacing w:line="240" w:lineRule="auto"/>
              <w:ind w:firstLine="0" w:firstLineChars="0"/>
              <w:jc w:val="center"/>
              <w:rPr>
                <w:sz w:val="21"/>
                <w:szCs w:val="21"/>
              </w:rPr>
            </w:pPr>
            <w:r>
              <w:rPr>
                <w:b/>
                <w:sz w:val="21"/>
                <w:szCs w:val="21"/>
              </w:rPr>
              <w:t>处理效率%</w:t>
            </w:r>
          </w:p>
        </w:tc>
        <w:tc>
          <w:tcPr>
            <w:tcW w:w="229" w:type="pct"/>
            <w:vMerge w:val="continue"/>
            <w:shd w:val="clear" w:color="auto" w:fill="AEAAAA"/>
            <w:vAlign w:val="center"/>
          </w:tcPr>
          <w:p>
            <w:pPr>
              <w:spacing w:line="240" w:lineRule="auto"/>
              <w:ind w:firstLine="0" w:firstLineChars="0"/>
              <w:jc w:val="center"/>
              <w:rPr>
                <w:sz w:val="21"/>
                <w:szCs w:val="21"/>
              </w:rPr>
            </w:pPr>
          </w:p>
        </w:tc>
        <w:tc>
          <w:tcPr>
            <w:tcW w:w="29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排放浓度mg/m</w:t>
            </w:r>
            <w:r>
              <w:rPr>
                <w:b/>
                <w:bCs/>
                <w:sz w:val="21"/>
                <w:szCs w:val="21"/>
                <w:vertAlign w:val="superscript"/>
              </w:rPr>
              <w:t>3</w:t>
            </w:r>
          </w:p>
        </w:tc>
        <w:tc>
          <w:tcPr>
            <w:tcW w:w="332"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排放速率kg/h</w:t>
            </w:r>
          </w:p>
        </w:tc>
        <w:tc>
          <w:tcPr>
            <w:tcW w:w="29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排放浓度mg/m</w:t>
            </w:r>
            <w:r>
              <w:rPr>
                <w:b/>
                <w:bCs/>
                <w:sz w:val="21"/>
                <w:szCs w:val="21"/>
                <w:vertAlign w:val="superscript"/>
              </w:rPr>
              <w:t>3</w:t>
            </w:r>
          </w:p>
        </w:tc>
        <w:tc>
          <w:tcPr>
            <w:tcW w:w="25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排放速率</w:t>
            </w:r>
          </w:p>
          <w:p>
            <w:pPr>
              <w:spacing w:line="240" w:lineRule="auto"/>
              <w:ind w:firstLine="0" w:firstLineChars="0"/>
              <w:jc w:val="center"/>
              <w:rPr>
                <w:b/>
                <w:bCs/>
                <w:sz w:val="21"/>
                <w:szCs w:val="21"/>
              </w:rPr>
            </w:pPr>
            <w:r>
              <w:rPr>
                <w:b/>
                <w:bCs/>
                <w:sz w:val="21"/>
                <w:szCs w:val="21"/>
              </w:rPr>
              <w:t>kg/h</w:t>
            </w:r>
          </w:p>
        </w:tc>
        <w:tc>
          <w:tcPr>
            <w:tcW w:w="328" w:type="pct"/>
            <w:vMerge w:val="continue"/>
            <w:shd w:val="clear" w:color="auto" w:fill="AEAAAA"/>
            <w:vAlign w:val="center"/>
          </w:tcPr>
          <w:p>
            <w:pPr>
              <w:spacing w:line="240" w:lineRule="auto"/>
              <w:ind w:firstLine="0" w:firstLineChars="0"/>
              <w:jc w:val="center"/>
              <w:rPr>
                <w:sz w:val="21"/>
                <w:szCs w:val="21"/>
              </w:rPr>
            </w:pPr>
          </w:p>
        </w:tc>
        <w:tc>
          <w:tcPr>
            <w:tcW w:w="487"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名称</w:t>
            </w:r>
          </w:p>
        </w:tc>
        <w:tc>
          <w:tcPr>
            <w:tcW w:w="299"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浓度限值mg/m</w:t>
            </w:r>
            <w:r>
              <w:rPr>
                <w:b/>
                <w:bCs/>
                <w:sz w:val="21"/>
                <w:szCs w:val="21"/>
                <w:vertAlign w:val="superscript"/>
              </w:rPr>
              <w:t>3</w:t>
            </w:r>
          </w:p>
        </w:tc>
        <w:tc>
          <w:tcPr>
            <w:tcW w:w="243" w:type="pct"/>
            <w:shd w:val="clear" w:color="auto" w:fill="D8D8D8" w:themeFill="background1" w:themeFillShade="D9"/>
            <w:vAlign w:val="center"/>
          </w:tcPr>
          <w:p>
            <w:pPr>
              <w:spacing w:line="240" w:lineRule="auto"/>
              <w:ind w:firstLine="0" w:firstLineChars="0"/>
              <w:jc w:val="center"/>
              <w:rPr>
                <w:b/>
                <w:bCs/>
                <w:sz w:val="21"/>
                <w:szCs w:val="21"/>
              </w:rPr>
            </w:pPr>
            <w:r>
              <w:rPr>
                <w:b/>
                <w:bCs/>
                <w:sz w:val="21"/>
                <w:szCs w:val="21"/>
              </w:rPr>
              <w:t>速率限值kg/h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1" w:hRule="atLeast"/>
          <w:jc w:val="center"/>
        </w:trPr>
        <w:tc>
          <w:tcPr>
            <w:tcW w:w="469" w:type="pct"/>
            <w:shd w:val="clear" w:color="auto" w:fill="auto"/>
            <w:vAlign w:val="center"/>
          </w:tcPr>
          <w:p>
            <w:pPr>
              <w:spacing w:line="240" w:lineRule="auto"/>
              <w:ind w:firstLine="0" w:firstLineChars="0"/>
              <w:jc w:val="center"/>
              <w:rPr>
                <w:sz w:val="21"/>
                <w:szCs w:val="21"/>
              </w:rPr>
            </w:pPr>
            <w:r>
              <w:rPr>
                <w:sz w:val="21"/>
                <w:szCs w:val="21"/>
              </w:rPr>
              <w:t>开采区</w:t>
            </w:r>
          </w:p>
        </w:tc>
        <w:tc>
          <w:tcPr>
            <w:tcW w:w="542" w:type="pct"/>
            <w:shd w:val="clear" w:color="auto" w:fill="auto"/>
            <w:vAlign w:val="center"/>
          </w:tcPr>
          <w:p>
            <w:pPr>
              <w:spacing w:line="240" w:lineRule="auto"/>
              <w:ind w:firstLine="0" w:firstLineChars="0"/>
              <w:jc w:val="center"/>
              <w:rPr>
                <w:sz w:val="21"/>
                <w:szCs w:val="21"/>
              </w:rPr>
            </w:pPr>
            <w:r>
              <w:rPr>
                <w:sz w:val="21"/>
                <w:szCs w:val="21"/>
              </w:rPr>
              <w:t>剥离、采矿、装料、风力、运输</w:t>
            </w:r>
          </w:p>
        </w:tc>
        <w:tc>
          <w:tcPr>
            <w:tcW w:w="304" w:type="pct"/>
            <w:shd w:val="clear" w:color="auto" w:fill="auto"/>
            <w:vAlign w:val="center"/>
          </w:tcPr>
          <w:p>
            <w:pPr>
              <w:spacing w:line="240" w:lineRule="auto"/>
              <w:ind w:firstLine="0" w:firstLineChars="0"/>
              <w:jc w:val="center"/>
              <w:rPr>
                <w:sz w:val="21"/>
                <w:szCs w:val="21"/>
              </w:rPr>
            </w:pPr>
            <w:r>
              <w:rPr>
                <w:sz w:val="21"/>
                <w:szCs w:val="21"/>
              </w:rPr>
              <w:t>无组织</w:t>
            </w:r>
          </w:p>
        </w:tc>
        <w:tc>
          <w:tcPr>
            <w:tcW w:w="253" w:type="pct"/>
            <w:shd w:val="clear" w:color="auto" w:fill="auto"/>
            <w:vAlign w:val="center"/>
          </w:tcPr>
          <w:p>
            <w:pPr>
              <w:spacing w:line="240" w:lineRule="auto"/>
              <w:ind w:firstLine="0" w:firstLineChars="0"/>
              <w:jc w:val="center"/>
              <w:rPr>
                <w:b/>
                <w:sz w:val="21"/>
                <w:szCs w:val="21"/>
              </w:rPr>
            </w:pPr>
            <w:r>
              <w:rPr>
                <w:sz w:val="21"/>
                <w:szCs w:val="21"/>
              </w:rPr>
              <w:t>/</w:t>
            </w:r>
          </w:p>
        </w:tc>
        <w:tc>
          <w:tcPr>
            <w:tcW w:w="377" w:type="pct"/>
            <w:shd w:val="clear" w:color="auto" w:fill="auto"/>
            <w:vAlign w:val="center"/>
          </w:tcPr>
          <w:p>
            <w:pPr>
              <w:spacing w:line="240" w:lineRule="auto"/>
              <w:ind w:firstLine="0" w:firstLineChars="0"/>
              <w:jc w:val="center"/>
              <w:rPr>
                <w:b/>
                <w:sz w:val="21"/>
                <w:szCs w:val="21"/>
              </w:rPr>
            </w:pPr>
            <w:r>
              <w:rPr>
                <w:sz w:val="21"/>
                <w:szCs w:val="21"/>
              </w:rPr>
              <w:t>洒水降尘、控制放料速度、篷布遮盖、车辆清洗</w:t>
            </w:r>
          </w:p>
        </w:tc>
        <w:tc>
          <w:tcPr>
            <w:tcW w:w="282" w:type="pct"/>
            <w:shd w:val="clear" w:color="auto" w:fill="auto"/>
            <w:vAlign w:val="center"/>
          </w:tcPr>
          <w:p>
            <w:pPr>
              <w:spacing w:line="240" w:lineRule="auto"/>
              <w:ind w:firstLine="0" w:firstLineChars="0"/>
              <w:jc w:val="center"/>
              <w:rPr>
                <w:sz w:val="21"/>
                <w:szCs w:val="21"/>
              </w:rPr>
            </w:pPr>
            <w:r>
              <w:rPr>
                <w:sz w:val="21"/>
                <w:szCs w:val="21"/>
              </w:rPr>
              <w:t>75~95</w:t>
            </w:r>
          </w:p>
        </w:tc>
        <w:tc>
          <w:tcPr>
            <w:tcW w:w="229" w:type="pct"/>
            <w:shd w:val="clear" w:color="auto" w:fill="auto"/>
            <w:vAlign w:val="center"/>
          </w:tcPr>
          <w:p>
            <w:pPr>
              <w:spacing w:line="240" w:lineRule="auto"/>
              <w:ind w:firstLine="0" w:firstLineChars="0"/>
              <w:jc w:val="center"/>
              <w:rPr>
                <w:sz w:val="21"/>
                <w:szCs w:val="21"/>
              </w:rPr>
            </w:pPr>
            <w:r>
              <w:rPr>
                <w:sz w:val="21"/>
                <w:szCs w:val="21"/>
              </w:rPr>
              <w:t>颗粒物</w:t>
            </w:r>
          </w:p>
        </w:tc>
        <w:tc>
          <w:tcPr>
            <w:tcW w:w="299" w:type="pct"/>
            <w:shd w:val="clear" w:color="auto" w:fill="auto"/>
            <w:vAlign w:val="center"/>
          </w:tcPr>
          <w:p>
            <w:pPr>
              <w:spacing w:line="240" w:lineRule="auto"/>
              <w:ind w:firstLine="0" w:firstLineChars="0"/>
              <w:jc w:val="center"/>
              <w:rPr>
                <w:b/>
                <w:bCs/>
                <w:sz w:val="21"/>
                <w:szCs w:val="21"/>
              </w:rPr>
            </w:pPr>
            <w:r>
              <w:rPr>
                <w:sz w:val="21"/>
                <w:szCs w:val="21"/>
              </w:rPr>
              <w:t>/</w:t>
            </w:r>
          </w:p>
        </w:tc>
        <w:tc>
          <w:tcPr>
            <w:tcW w:w="332" w:type="pct"/>
            <w:shd w:val="clear" w:color="auto" w:fill="auto"/>
            <w:vAlign w:val="center"/>
          </w:tcPr>
          <w:p>
            <w:pPr>
              <w:spacing w:line="240" w:lineRule="auto"/>
              <w:ind w:firstLine="0" w:firstLineChars="0"/>
              <w:jc w:val="center"/>
              <w:rPr>
                <w:b/>
                <w:bCs/>
                <w:sz w:val="21"/>
                <w:szCs w:val="21"/>
              </w:rPr>
            </w:pPr>
            <w:r>
              <w:rPr>
                <w:sz w:val="21"/>
                <w:szCs w:val="21"/>
              </w:rPr>
              <w:t>0.81</w:t>
            </w:r>
          </w:p>
        </w:tc>
        <w:tc>
          <w:tcPr>
            <w:tcW w:w="299" w:type="pct"/>
            <w:shd w:val="clear" w:color="auto" w:fill="auto"/>
            <w:vAlign w:val="center"/>
          </w:tcPr>
          <w:p>
            <w:pPr>
              <w:spacing w:line="240" w:lineRule="auto"/>
              <w:ind w:firstLine="0" w:firstLineChars="0"/>
              <w:jc w:val="center"/>
              <w:rPr>
                <w:b/>
                <w:bCs/>
                <w:sz w:val="21"/>
                <w:szCs w:val="21"/>
              </w:rPr>
            </w:pPr>
            <w:r>
              <w:rPr>
                <w:sz w:val="21"/>
                <w:szCs w:val="21"/>
              </w:rPr>
              <w:t>-</w:t>
            </w:r>
          </w:p>
        </w:tc>
        <w:tc>
          <w:tcPr>
            <w:tcW w:w="257" w:type="pct"/>
            <w:shd w:val="clear" w:color="auto" w:fill="auto"/>
            <w:vAlign w:val="center"/>
          </w:tcPr>
          <w:p>
            <w:pPr>
              <w:spacing w:line="240" w:lineRule="auto"/>
              <w:ind w:firstLine="0" w:firstLineChars="0"/>
              <w:jc w:val="center"/>
              <w:rPr>
                <w:b/>
                <w:bCs/>
                <w:sz w:val="21"/>
                <w:szCs w:val="21"/>
              </w:rPr>
            </w:pPr>
            <w:r>
              <w:rPr>
                <w:sz w:val="21"/>
                <w:szCs w:val="21"/>
              </w:rPr>
              <w:t>-</w:t>
            </w:r>
          </w:p>
        </w:tc>
        <w:tc>
          <w:tcPr>
            <w:tcW w:w="328" w:type="pct"/>
            <w:shd w:val="clear" w:color="auto" w:fill="auto"/>
            <w:vAlign w:val="center"/>
          </w:tcPr>
          <w:p>
            <w:pPr>
              <w:spacing w:line="240" w:lineRule="auto"/>
              <w:ind w:firstLine="0" w:firstLineChars="0"/>
              <w:jc w:val="center"/>
              <w:rPr>
                <w:sz w:val="21"/>
                <w:szCs w:val="21"/>
              </w:rPr>
            </w:pPr>
            <w:r>
              <w:rPr>
                <w:sz w:val="21"/>
                <w:szCs w:val="21"/>
              </w:rPr>
              <w:t>3.239</w:t>
            </w:r>
          </w:p>
        </w:tc>
        <w:tc>
          <w:tcPr>
            <w:tcW w:w="487" w:type="pct"/>
            <w:shd w:val="clear" w:color="auto" w:fill="auto"/>
            <w:vAlign w:val="center"/>
          </w:tcPr>
          <w:p>
            <w:pPr>
              <w:spacing w:line="240" w:lineRule="auto"/>
              <w:ind w:firstLine="0" w:firstLineChars="0"/>
              <w:jc w:val="center"/>
              <w:rPr>
                <w:b/>
                <w:bCs/>
                <w:sz w:val="21"/>
                <w:szCs w:val="21"/>
              </w:rPr>
            </w:pPr>
            <w:r>
              <w:rPr>
                <w:sz w:val="21"/>
                <w:szCs w:val="21"/>
              </w:rPr>
              <w:t>重庆市《大气污染物综合排放标准》（DB50/418－2016）</w:t>
            </w:r>
          </w:p>
        </w:tc>
        <w:tc>
          <w:tcPr>
            <w:tcW w:w="299" w:type="pct"/>
            <w:shd w:val="clear" w:color="auto" w:fill="auto"/>
            <w:vAlign w:val="center"/>
          </w:tcPr>
          <w:p>
            <w:pPr>
              <w:spacing w:line="240" w:lineRule="auto"/>
              <w:ind w:firstLine="0" w:firstLineChars="0"/>
              <w:jc w:val="center"/>
              <w:rPr>
                <w:b/>
                <w:bCs/>
                <w:sz w:val="21"/>
                <w:szCs w:val="21"/>
              </w:rPr>
            </w:pPr>
            <w:r>
              <w:rPr>
                <w:sz w:val="21"/>
                <w:szCs w:val="21"/>
              </w:rPr>
              <w:t>1.0</w:t>
            </w:r>
          </w:p>
        </w:tc>
        <w:tc>
          <w:tcPr>
            <w:tcW w:w="243" w:type="pct"/>
            <w:shd w:val="clear" w:color="auto" w:fill="auto"/>
            <w:vAlign w:val="center"/>
          </w:tcPr>
          <w:p>
            <w:pPr>
              <w:spacing w:line="240" w:lineRule="auto"/>
              <w:ind w:firstLine="0" w:firstLineChars="0"/>
              <w:jc w:val="center"/>
              <w:rPr>
                <w:b/>
                <w:bCs/>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5" w:hRule="atLeast"/>
          <w:jc w:val="center"/>
        </w:trPr>
        <w:tc>
          <w:tcPr>
            <w:tcW w:w="469" w:type="pct"/>
            <w:vMerge w:val="restart"/>
            <w:vAlign w:val="center"/>
          </w:tcPr>
          <w:p>
            <w:pPr>
              <w:spacing w:line="240" w:lineRule="auto"/>
              <w:ind w:firstLine="0" w:firstLineChars="0"/>
              <w:jc w:val="center"/>
              <w:rPr>
                <w:sz w:val="21"/>
                <w:szCs w:val="21"/>
              </w:rPr>
            </w:pPr>
            <w:r>
              <w:rPr>
                <w:sz w:val="21"/>
                <w:szCs w:val="21"/>
              </w:rPr>
              <w:t>1#布袋除尘器排放口</w:t>
            </w:r>
          </w:p>
        </w:tc>
        <w:tc>
          <w:tcPr>
            <w:tcW w:w="542" w:type="pct"/>
            <w:vAlign w:val="center"/>
          </w:tcPr>
          <w:p>
            <w:pPr>
              <w:spacing w:line="240" w:lineRule="auto"/>
              <w:ind w:firstLine="0" w:firstLineChars="0"/>
              <w:jc w:val="center"/>
              <w:rPr>
                <w:sz w:val="21"/>
                <w:szCs w:val="21"/>
              </w:rPr>
            </w:pPr>
            <w:r>
              <w:rPr>
                <w:sz w:val="21"/>
                <w:szCs w:val="21"/>
              </w:rPr>
              <w:t>颚式破碎机（一级破碎）</w:t>
            </w:r>
          </w:p>
        </w:tc>
        <w:tc>
          <w:tcPr>
            <w:tcW w:w="304" w:type="pct"/>
            <w:vMerge w:val="restart"/>
            <w:vAlign w:val="center"/>
          </w:tcPr>
          <w:p>
            <w:pPr>
              <w:spacing w:line="240" w:lineRule="auto"/>
              <w:ind w:firstLine="0" w:firstLineChars="0"/>
              <w:jc w:val="center"/>
              <w:rPr>
                <w:sz w:val="21"/>
                <w:szCs w:val="21"/>
              </w:rPr>
            </w:pPr>
            <w:r>
              <w:rPr>
                <w:sz w:val="21"/>
                <w:szCs w:val="21"/>
              </w:rPr>
              <w:t>DA001</w:t>
            </w:r>
          </w:p>
        </w:tc>
        <w:tc>
          <w:tcPr>
            <w:tcW w:w="253" w:type="pct"/>
            <w:vAlign w:val="center"/>
          </w:tcPr>
          <w:p>
            <w:pPr>
              <w:spacing w:line="240" w:lineRule="auto"/>
              <w:ind w:firstLine="0" w:firstLineChars="0"/>
              <w:jc w:val="center"/>
              <w:rPr>
                <w:sz w:val="21"/>
                <w:szCs w:val="21"/>
              </w:rPr>
            </w:pPr>
            <w:r>
              <w:rPr>
                <w:sz w:val="21"/>
                <w:szCs w:val="21"/>
              </w:rPr>
              <w:t>100</w:t>
            </w:r>
          </w:p>
        </w:tc>
        <w:tc>
          <w:tcPr>
            <w:tcW w:w="377" w:type="pct"/>
            <w:vMerge w:val="restart"/>
            <w:vAlign w:val="center"/>
          </w:tcPr>
          <w:p>
            <w:pPr>
              <w:spacing w:line="240" w:lineRule="auto"/>
              <w:ind w:firstLine="0" w:firstLineChars="0"/>
              <w:rPr>
                <w:sz w:val="21"/>
                <w:szCs w:val="21"/>
              </w:rPr>
            </w:pPr>
            <w:r>
              <w:rPr>
                <w:sz w:val="21"/>
                <w:szCs w:val="21"/>
              </w:rPr>
              <w:t>1#布袋除尘器</w:t>
            </w:r>
          </w:p>
        </w:tc>
        <w:tc>
          <w:tcPr>
            <w:tcW w:w="282" w:type="pct"/>
            <w:vMerge w:val="restart"/>
            <w:vAlign w:val="center"/>
          </w:tcPr>
          <w:p>
            <w:pPr>
              <w:spacing w:line="240" w:lineRule="auto"/>
              <w:ind w:firstLine="0" w:firstLineChars="0"/>
              <w:jc w:val="center"/>
              <w:rPr>
                <w:sz w:val="21"/>
                <w:szCs w:val="21"/>
              </w:rPr>
            </w:pPr>
            <w:r>
              <w:rPr>
                <w:sz w:val="21"/>
                <w:szCs w:val="21"/>
              </w:rPr>
              <w:t>99.5</w:t>
            </w:r>
          </w:p>
        </w:tc>
        <w:tc>
          <w:tcPr>
            <w:tcW w:w="229" w:type="pct"/>
            <w:vMerge w:val="restart"/>
            <w:vAlign w:val="center"/>
          </w:tcPr>
          <w:p>
            <w:pPr>
              <w:spacing w:line="240" w:lineRule="auto"/>
              <w:ind w:firstLine="0" w:firstLineChars="0"/>
              <w:jc w:val="center"/>
              <w:rPr>
                <w:sz w:val="21"/>
                <w:szCs w:val="21"/>
              </w:rPr>
            </w:pPr>
            <w:r>
              <w:rPr>
                <w:sz w:val="21"/>
                <w:szCs w:val="21"/>
              </w:rPr>
              <w:t>颗粒物</w:t>
            </w:r>
          </w:p>
        </w:tc>
        <w:tc>
          <w:tcPr>
            <w:tcW w:w="299" w:type="pct"/>
            <w:vMerge w:val="restart"/>
            <w:vAlign w:val="center"/>
          </w:tcPr>
          <w:p>
            <w:pPr>
              <w:spacing w:line="240" w:lineRule="auto"/>
              <w:ind w:firstLine="0" w:firstLineChars="0"/>
              <w:rPr>
                <w:sz w:val="21"/>
                <w:szCs w:val="21"/>
              </w:rPr>
            </w:pPr>
            <w:r>
              <w:rPr>
                <w:sz w:val="21"/>
                <w:szCs w:val="21"/>
              </w:rPr>
              <w:t>12.25</w:t>
            </w:r>
          </w:p>
        </w:tc>
        <w:tc>
          <w:tcPr>
            <w:tcW w:w="332" w:type="pct"/>
            <w:vMerge w:val="restart"/>
            <w:vAlign w:val="center"/>
          </w:tcPr>
          <w:p>
            <w:pPr>
              <w:spacing w:line="240" w:lineRule="auto"/>
              <w:ind w:firstLine="199" w:firstLineChars="95"/>
              <w:rPr>
                <w:sz w:val="21"/>
                <w:szCs w:val="21"/>
              </w:rPr>
            </w:pPr>
            <w:r>
              <w:rPr>
                <w:sz w:val="21"/>
                <w:szCs w:val="21"/>
              </w:rPr>
              <w:t>0.092</w:t>
            </w:r>
          </w:p>
        </w:tc>
        <w:tc>
          <w:tcPr>
            <w:tcW w:w="299" w:type="pct"/>
            <w:vMerge w:val="restart"/>
            <w:vAlign w:val="center"/>
          </w:tcPr>
          <w:p>
            <w:pPr>
              <w:spacing w:line="240" w:lineRule="auto"/>
              <w:ind w:firstLine="0" w:firstLineChars="0"/>
              <w:rPr>
                <w:sz w:val="21"/>
                <w:szCs w:val="21"/>
              </w:rPr>
            </w:pPr>
          </w:p>
        </w:tc>
        <w:tc>
          <w:tcPr>
            <w:tcW w:w="257" w:type="pct"/>
            <w:vMerge w:val="restart"/>
            <w:vAlign w:val="center"/>
          </w:tcPr>
          <w:p>
            <w:pPr>
              <w:spacing w:line="240" w:lineRule="auto"/>
              <w:ind w:firstLine="0" w:firstLineChars="0"/>
              <w:rPr>
                <w:sz w:val="21"/>
                <w:szCs w:val="21"/>
              </w:rPr>
            </w:pPr>
            <w:r>
              <w:rPr>
                <w:sz w:val="21"/>
                <w:szCs w:val="21"/>
              </w:rPr>
              <w:t>18.38</w:t>
            </w:r>
          </w:p>
        </w:tc>
        <w:tc>
          <w:tcPr>
            <w:tcW w:w="328" w:type="pct"/>
            <w:vMerge w:val="restart"/>
            <w:vAlign w:val="center"/>
          </w:tcPr>
          <w:p>
            <w:pPr>
              <w:spacing w:line="240" w:lineRule="auto"/>
              <w:ind w:firstLine="0" w:firstLineChars="0"/>
              <w:jc w:val="center"/>
              <w:rPr>
                <w:sz w:val="21"/>
                <w:szCs w:val="21"/>
              </w:rPr>
            </w:pPr>
            <w:r>
              <w:rPr>
                <w:sz w:val="21"/>
                <w:szCs w:val="21"/>
              </w:rPr>
              <w:t>0.368</w:t>
            </w:r>
          </w:p>
        </w:tc>
        <w:tc>
          <w:tcPr>
            <w:tcW w:w="487" w:type="pct"/>
            <w:vMerge w:val="restart"/>
            <w:vAlign w:val="center"/>
          </w:tcPr>
          <w:p>
            <w:pPr>
              <w:spacing w:line="240" w:lineRule="auto"/>
              <w:ind w:firstLine="0" w:firstLineChars="0"/>
              <w:jc w:val="center"/>
              <w:rPr>
                <w:sz w:val="21"/>
                <w:szCs w:val="21"/>
              </w:rPr>
            </w:pPr>
            <w:r>
              <w:rPr>
                <w:sz w:val="21"/>
                <w:szCs w:val="21"/>
              </w:rPr>
              <w:t>重庆市《大气污染物综合排放标准》（DB50/418－2016）</w:t>
            </w:r>
          </w:p>
        </w:tc>
        <w:tc>
          <w:tcPr>
            <w:tcW w:w="299" w:type="pct"/>
            <w:vMerge w:val="restart"/>
            <w:vAlign w:val="center"/>
          </w:tcPr>
          <w:p>
            <w:pPr>
              <w:spacing w:line="240" w:lineRule="auto"/>
              <w:ind w:firstLine="0" w:firstLineChars="0"/>
              <w:jc w:val="center"/>
              <w:rPr>
                <w:sz w:val="21"/>
                <w:szCs w:val="21"/>
              </w:rPr>
            </w:pPr>
            <w:r>
              <w:rPr>
                <w:sz w:val="21"/>
                <w:szCs w:val="21"/>
              </w:rPr>
              <w:t>100</w:t>
            </w:r>
          </w:p>
        </w:tc>
        <w:tc>
          <w:tcPr>
            <w:tcW w:w="243" w:type="pct"/>
            <w:vMerge w:val="restart"/>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69" w:type="pct"/>
            <w:vMerge w:val="continue"/>
            <w:vAlign w:val="center"/>
          </w:tcPr>
          <w:p>
            <w:pPr>
              <w:spacing w:line="240" w:lineRule="auto"/>
              <w:ind w:firstLine="0" w:firstLineChars="0"/>
              <w:jc w:val="center"/>
              <w:rPr>
                <w:sz w:val="21"/>
                <w:szCs w:val="21"/>
              </w:rPr>
            </w:pPr>
          </w:p>
        </w:tc>
        <w:tc>
          <w:tcPr>
            <w:tcW w:w="542" w:type="pct"/>
            <w:vAlign w:val="center"/>
          </w:tcPr>
          <w:p>
            <w:pPr>
              <w:spacing w:line="240" w:lineRule="auto"/>
              <w:ind w:firstLine="0" w:firstLineChars="0"/>
              <w:jc w:val="center"/>
              <w:rPr>
                <w:sz w:val="21"/>
                <w:szCs w:val="21"/>
              </w:rPr>
            </w:pPr>
            <w:r>
              <w:rPr>
                <w:sz w:val="21"/>
                <w:szCs w:val="21"/>
              </w:rPr>
              <w:t>反击式破碎机（二级破碎）</w:t>
            </w:r>
          </w:p>
        </w:tc>
        <w:tc>
          <w:tcPr>
            <w:tcW w:w="304" w:type="pct"/>
            <w:vMerge w:val="continue"/>
            <w:vAlign w:val="center"/>
          </w:tcPr>
          <w:p>
            <w:pPr>
              <w:spacing w:line="240" w:lineRule="auto"/>
              <w:ind w:firstLine="0" w:firstLineChars="0"/>
              <w:jc w:val="center"/>
              <w:rPr>
                <w:sz w:val="21"/>
                <w:szCs w:val="21"/>
              </w:rPr>
            </w:pPr>
          </w:p>
        </w:tc>
        <w:tc>
          <w:tcPr>
            <w:tcW w:w="253" w:type="pct"/>
            <w:vAlign w:val="center"/>
          </w:tcPr>
          <w:p>
            <w:pPr>
              <w:spacing w:line="240" w:lineRule="auto"/>
              <w:ind w:firstLine="0" w:firstLineChars="0"/>
              <w:jc w:val="center"/>
              <w:rPr>
                <w:sz w:val="21"/>
                <w:szCs w:val="21"/>
              </w:rPr>
            </w:pPr>
            <w:r>
              <w:rPr>
                <w:sz w:val="21"/>
                <w:szCs w:val="21"/>
              </w:rPr>
              <w:t>100</w:t>
            </w:r>
          </w:p>
        </w:tc>
        <w:tc>
          <w:tcPr>
            <w:tcW w:w="377" w:type="pct"/>
            <w:vMerge w:val="continue"/>
            <w:vAlign w:val="center"/>
          </w:tcPr>
          <w:p>
            <w:pPr>
              <w:spacing w:line="240" w:lineRule="auto"/>
              <w:ind w:firstLine="0" w:firstLineChars="0"/>
              <w:rPr>
                <w:sz w:val="21"/>
                <w:szCs w:val="21"/>
              </w:rPr>
            </w:pPr>
          </w:p>
        </w:tc>
        <w:tc>
          <w:tcPr>
            <w:tcW w:w="282" w:type="pct"/>
            <w:vMerge w:val="continue"/>
            <w:vAlign w:val="center"/>
          </w:tcPr>
          <w:p>
            <w:pPr>
              <w:spacing w:line="240" w:lineRule="auto"/>
              <w:ind w:firstLine="0" w:firstLineChars="0"/>
              <w:jc w:val="center"/>
              <w:rPr>
                <w:sz w:val="21"/>
                <w:szCs w:val="21"/>
              </w:rPr>
            </w:pPr>
          </w:p>
        </w:tc>
        <w:tc>
          <w:tcPr>
            <w:tcW w:w="229" w:type="pct"/>
            <w:vMerge w:val="continue"/>
            <w:vAlign w:val="center"/>
          </w:tcPr>
          <w:p>
            <w:pPr>
              <w:spacing w:line="240" w:lineRule="auto"/>
              <w:ind w:firstLine="0" w:firstLineChars="0"/>
              <w:jc w:val="center"/>
              <w:rPr>
                <w:sz w:val="21"/>
                <w:szCs w:val="21"/>
              </w:rPr>
            </w:pPr>
          </w:p>
        </w:tc>
        <w:tc>
          <w:tcPr>
            <w:tcW w:w="299" w:type="pct"/>
            <w:vMerge w:val="continue"/>
            <w:vAlign w:val="center"/>
          </w:tcPr>
          <w:p>
            <w:pPr>
              <w:spacing w:line="240" w:lineRule="auto"/>
              <w:ind w:firstLine="0" w:firstLineChars="0"/>
              <w:jc w:val="center"/>
              <w:rPr>
                <w:sz w:val="21"/>
                <w:szCs w:val="21"/>
              </w:rPr>
            </w:pPr>
          </w:p>
        </w:tc>
        <w:tc>
          <w:tcPr>
            <w:tcW w:w="332" w:type="pct"/>
            <w:vMerge w:val="continue"/>
            <w:vAlign w:val="center"/>
          </w:tcPr>
          <w:p>
            <w:pPr>
              <w:spacing w:line="240" w:lineRule="auto"/>
              <w:ind w:firstLine="0" w:firstLineChars="0"/>
              <w:jc w:val="center"/>
              <w:rPr>
                <w:sz w:val="21"/>
                <w:szCs w:val="21"/>
              </w:rPr>
            </w:pPr>
          </w:p>
        </w:tc>
        <w:tc>
          <w:tcPr>
            <w:tcW w:w="299" w:type="pct"/>
            <w:vMerge w:val="continue"/>
            <w:vAlign w:val="center"/>
          </w:tcPr>
          <w:p>
            <w:pPr>
              <w:spacing w:line="240" w:lineRule="auto"/>
              <w:ind w:firstLine="0" w:firstLineChars="0"/>
              <w:jc w:val="center"/>
              <w:rPr>
                <w:sz w:val="21"/>
                <w:szCs w:val="21"/>
              </w:rPr>
            </w:pPr>
          </w:p>
        </w:tc>
        <w:tc>
          <w:tcPr>
            <w:tcW w:w="257" w:type="pct"/>
            <w:vMerge w:val="continue"/>
            <w:vAlign w:val="center"/>
          </w:tcPr>
          <w:p>
            <w:pPr>
              <w:spacing w:line="240" w:lineRule="auto"/>
              <w:ind w:firstLine="0" w:firstLineChars="0"/>
              <w:jc w:val="center"/>
              <w:rPr>
                <w:sz w:val="21"/>
                <w:szCs w:val="21"/>
              </w:rPr>
            </w:pPr>
          </w:p>
        </w:tc>
        <w:tc>
          <w:tcPr>
            <w:tcW w:w="328" w:type="pct"/>
            <w:vMerge w:val="continue"/>
            <w:vAlign w:val="center"/>
          </w:tcPr>
          <w:p>
            <w:pPr>
              <w:spacing w:line="240" w:lineRule="auto"/>
              <w:ind w:firstLine="0" w:firstLineChars="0"/>
              <w:jc w:val="center"/>
              <w:rPr>
                <w:sz w:val="21"/>
                <w:szCs w:val="21"/>
              </w:rPr>
            </w:pPr>
          </w:p>
        </w:tc>
        <w:tc>
          <w:tcPr>
            <w:tcW w:w="487" w:type="pct"/>
            <w:vMerge w:val="continue"/>
            <w:vAlign w:val="center"/>
          </w:tcPr>
          <w:p>
            <w:pPr>
              <w:spacing w:line="240" w:lineRule="auto"/>
              <w:ind w:firstLine="0" w:firstLineChars="0"/>
              <w:jc w:val="center"/>
              <w:rPr>
                <w:sz w:val="21"/>
                <w:szCs w:val="21"/>
              </w:rPr>
            </w:pPr>
          </w:p>
        </w:tc>
        <w:tc>
          <w:tcPr>
            <w:tcW w:w="299" w:type="pct"/>
            <w:vMerge w:val="continue"/>
            <w:vAlign w:val="center"/>
          </w:tcPr>
          <w:p>
            <w:pPr>
              <w:spacing w:line="240" w:lineRule="auto"/>
              <w:ind w:firstLine="0" w:firstLineChars="0"/>
              <w:jc w:val="center"/>
              <w:rPr>
                <w:sz w:val="21"/>
                <w:szCs w:val="21"/>
              </w:rPr>
            </w:pPr>
          </w:p>
        </w:tc>
        <w:tc>
          <w:tcPr>
            <w:tcW w:w="243"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69" w:type="pct"/>
            <w:vAlign w:val="center"/>
          </w:tcPr>
          <w:p>
            <w:pPr>
              <w:spacing w:line="240" w:lineRule="auto"/>
              <w:ind w:firstLine="0" w:firstLineChars="0"/>
              <w:jc w:val="center"/>
              <w:rPr>
                <w:sz w:val="21"/>
                <w:szCs w:val="21"/>
              </w:rPr>
            </w:pPr>
            <w:r>
              <w:rPr>
                <w:sz w:val="21"/>
                <w:szCs w:val="21"/>
              </w:rPr>
              <w:t>2#布袋除尘器排放口</w:t>
            </w:r>
          </w:p>
        </w:tc>
        <w:tc>
          <w:tcPr>
            <w:tcW w:w="542" w:type="pct"/>
            <w:vAlign w:val="center"/>
          </w:tcPr>
          <w:p>
            <w:pPr>
              <w:spacing w:line="240" w:lineRule="auto"/>
              <w:ind w:firstLine="0" w:firstLineChars="0"/>
              <w:jc w:val="center"/>
              <w:rPr>
                <w:sz w:val="21"/>
                <w:szCs w:val="21"/>
              </w:rPr>
            </w:pPr>
            <w:r>
              <w:rPr>
                <w:sz w:val="21"/>
                <w:szCs w:val="21"/>
              </w:rPr>
              <w:t>反击式破碎机（二级破碎）</w:t>
            </w:r>
          </w:p>
        </w:tc>
        <w:tc>
          <w:tcPr>
            <w:tcW w:w="304" w:type="pct"/>
            <w:vAlign w:val="center"/>
          </w:tcPr>
          <w:p>
            <w:pPr>
              <w:spacing w:line="240" w:lineRule="auto"/>
              <w:ind w:firstLine="0" w:firstLineChars="0"/>
              <w:jc w:val="center"/>
              <w:rPr>
                <w:sz w:val="21"/>
                <w:szCs w:val="21"/>
              </w:rPr>
            </w:pPr>
            <w:r>
              <w:rPr>
                <w:sz w:val="21"/>
                <w:szCs w:val="21"/>
              </w:rPr>
              <w:t>DA002</w:t>
            </w:r>
          </w:p>
        </w:tc>
        <w:tc>
          <w:tcPr>
            <w:tcW w:w="253" w:type="pct"/>
            <w:vAlign w:val="center"/>
          </w:tcPr>
          <w:p>
            <w:pPr>
              <w:spacing w:line="240" w:lineRule="auto"/>
              <w:ind w:firstLine="0" w:firstLineChars="0"/>
              <w:jc w:val="center"/>
              <w:rPr>
                <w:sz w:val="21"/>
                <w:szCs w:val="21"/>
              </w:rPr>
            </w:pPr>
            <w:r>
              <w:rPr>
                <w:sz w:val="21"/>
                <w:szCs w:val="21"/>
              </w:rPr>
              <w:t>100</w:t>
            </w:r>
          </w:p>
        </w:tc>
        <w:tc>
          <w:tcPr>
            <w:tcW w:w="377" w:type="pct"/>
            <w:vAlign w:val="center"/>
          </w:tcPr>
          <w:p>
            <w:pPr>
              <w:spacing w:line="240" w:lineRule="auto"/>
              <w:ind w:firstLine="0" w:firstLineChars="0"/>
              <w:jc w:val="center"/>
              <w:rPr>
                <w:sz w:val="21"/>
                <w:szCs w:val="21"/>
              </w:rPr>
            </w:pPr>
            <w:r>
              <w:rPr>
                <w:sz w:val="21"/>
                <w:szCs w:val="21"/>
              </w:rPr>
              <w:t>2#布袋除尘器</w:t>
            </w:r>
          </w:p>
        </w:tc>
        <w:tc>
          <w:tcPr>
            <w:tcW w:w="282" w:type="pct"/>
            <w:vAlign w:val="center"/>
          </w:tcPr>
          <w:p>
            <w:pPr>
              <w:spacing w:line="240" w:lineRule="auto"/>
              <w:ind w:firstLine="0" w:firstLineChars="0"/>
              <w:jc w:val="center"/>
              <w:rPr>
                <w:sz w:val="21"/>
                <w:szCs w:val="21"/>
              </w:rPr>
            </w:pPr>
            <w:r>
              <w:rPr>
                <w:sz w:val="21"/>
                <w:szCs w:val="21"/>
              </w:rPr>
              <w:t>99.5</w:t>
            </w:r>
          </w:p>
        </w:tc>
        <w:tc>
          <w:tcPr>
            <w:tcW w:w="229" w:type="pct"/>
            <w:vAlign w:val="center"/>
          </w:tcPr>
          <w:p>
            <w:pPr>
              <w:spacing w:line="240" w:lineRule="auto"/>
              <w:ind w:firstLine="0" w:firstLineChars="0"/>
              <w:jc w:val="center"/>
              <w:rPr>
                <w:sz w:val="21"/>
                <w:szCs w:val="21"/>
              </w:rPr>
            </w:pPr>
            <w:r>
              <w:rPr>
                <w:sz w:val="21"/>
                <w:szCs w:val="21"/>
              </w:rPr>
              <w:t>颗粒物</w:t>
            </w:r>
          </w:p>
        </w:tc>
        <w:tc>
          <w:tcPr>
            <w:tcW w:w="299" w:type="pct"/>
            <w:vAlign w:val="center"/>
          </w:tcPr>
          <w:p>
            <w:pPr>
              <w:spacing w:line="240" w:lineRule="auto"/>
              <w:ind w:firstLine="0" w:firstLineChars="0"/>
              <w:jc w:val="center"/>
              <w:rPr>
                <w:sz w:val="21"/>
                <w:szCs w:val="21"/>
              </w:rPr>
            </w:pPr>
            <w:r>
              <w:rPr>
                <w:sz w:val="21"/>
                <w:szCs w:val="21"/>
              </w:rPr>
              <w:t>7.0</w:t>
            </w:r>
          </w:p>
        </w:tc>
        <w:tc>
          <w:tcPr>
            <w:tcW w:w="332" w:type="pct"/>
            <w:vAlign w:val="center"/>
          </w:tcPr>
          <w:p>
            <w:pPr>
              <w:spacing w:line="240" w:lineRule="auto"/>
              <w:ind w:firstLine="0" w:firstLineChars="0"/>
              <w:jc w:val="center"/>
              <w:rPr>
                <w:sz w:val="21"/>
                <w:szCs w:val="21"/>
              </w:rPr>
            </w:pPr>
            <w:r>
              <w:rPr>
                <w:sz w:val="21"/>
                <w:szCs w:val="21"/>
              </w:rPr>
              <w:t>0.053</w:t>
            </w:r>
          </w:p>
        </w:tc>
        <w:tc>
          <w:tcPr>
            <w:tcW w:w="299" w:type="pct"/>
            <w:vAlign w:val="center"/>
          </w:tcPr>
          <w:p>
            <w:pPr>
              <w:spacing w:line="240" w:lineRule="auto"/>
              <w:ind w:firstLine="0" w:firstLineChars="0"/>
              <w:jc w:val="center"/>
              <w:rPr>
                <w:sz w:val="21"/>
                <w:szCs w:val="21"/>
              </w:rPr>
            </w:pPr>
            <w:r>
              <w:rPr>
                <w:sz w:val="21"/>
                <w:szCs w:val="21"/>
              </w:rPr>
              <w:t>-</w:t>
            </w:r>
          </w:p>
        </w:tc>
        <w:tc>
          <w:tcPr>
            <w:tcW w:w="257" w:type="pct"/>
            <w:vAlign w:val="center"/>
          </w:tcPr>
          <w:p>
            <w:pPr>
              <w:spacing w:line="240" w:lineRule="auto"/>
              <w:ind w:firstLine="0" w:firstLineChars="0"/>
              <w:jc w:val="center"/>
              <w:rPr>
                <w:sz w:val="21"/>
                <w:szCs w:val="21"/>
              </w:rPr>
            </w:pPr>
            <w:r>
              <w:rPr>
                <w:sz w:val="21"/>
                <w:szCs w:val="21"/>
              </w:rPr>
              <w:t>10.5</w:t>
            </w:r>
          </w:p>
        </w:tc>
        <w:tc>
          <w:tcPr>
            <w:tcW w:w="328" w:type="pct"/>
            <w:vAlign w:val="center"/>
          </w:tcPr>
          <w:p>
            <w:pPr>
              <w:spacing w:line="240" w:lineRule="auto"/>
              <w:ind w:firstLine="0" w:firstLineChars="0"/>
              <w:jc w:val="center"/>
              <w:rPr>
                <w:sz w:val="21"/>
                <w:szCs w:val="21"/>
              </w:rPr>
            </w:pPr>
            <w:r>
              <w:rPr>
                <w:sz w:val="21"/>
                <w:szCs w:val="21"/>
              </w:rPr>
              <w:t>0.21</w:t>
            </w:r>
          </w:p>
        </w:tc>
        <w:tc>
          <w:tcPr>
            <w:tcW w:w="487" w:type="pct"/>
            <w:vMerge w:val="continue"/>
            <w:vAlign w:val="center"/>
          </w:tcPr>
          <w:p>
            <w:pPr>
              <w:spacing w:line="240" w:lineRule="auto"/>
              <w:ind w:firstLine="0" w:firstLineChars="0"/>
              <w:jc w:val="center"/>
              <w:rPr>
                <w:sz w:val="21"/>
                <w:szCs w:val="21"/>
              </w:rPr>
            </w:pPr>
          </w:p>
        </w:tc>
        <w:tc>
          <w:tcPr>
            <w:tcW w:w="299" w:type="pct"/>
            <w:vAlign w:val="center"/>
          </w:tcPr>
          <w:p>
            <w:pPr>
              <w:spacing w:line="240" w:lineRule="auto"/>
              <w:ind w:firstLine="0" w:firstLineChars="0"/>
              <w:jc w:val="center"/>
              <w:rPr>
                <w:sz w:val="21"/>
                <w:szCs w:val="21"/>
              </w:rPr>
            </w:pPr>
            <w:r>
              <w:rPr>
                <w:sz w:val="21"/>
                <w:szCs w:val="21"/>
              </w:rPr>
              <w:t>100</w:t>
            </w:r>
          </w:p>
        </w:tc>
        <w:tc>
          <w:tcPr>
            <w:tcW w:w="243" w:type="pct"/>
            <w:vAlign w:val="center"/>
          </w:tcPr>
          <w:p>
            <w:pPr>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61" w:hRule="atLeast"/>
          <w:jc w:val="center"/>
        </w:trPr>
        <w:tc>
          <w:tcPr>
            <w:tcW w:w="469" w:type="pct"/>
            <w:vAlign w:val="center"/>
          </w:tcPr>
          <w:p>
            <w:pPr>
              <w:spacing w:line="240" w:lineRule="auto"/>
              <w:ind w:firstLine="0" w:firstLineChars="0"/>
              <w:jc w:val="center"/>
              <w:rPr>
                <w:sz w:val="21"/>
                <w:szCs w:val="21"/>
              </w:rPr>
            </w:pPr>
            <w:r>
              <w:rPr>
                <w:sz w:val="21"/>
                <w:szCs w:val="21"/>
              </w:rPr>
              <w:t>3#布袋除尘器排放口</w:t>
            </w:r>
          </w:p>
        </w:tc>
        <w:tc>
          <w:tcPr>
            <w:tcW w:w="542" w:type="pct"/>
            <w:vAlign w:val="center"/>
          </w:tcPr>
          <w:p>
            <w:pPr>
              <w:spacing w:line="240" w:lineRule="auto"/>
              <w:ind w:firstLine="0" w:firstLineChars="0"/>
              <w:jc w:val="center"/>
              <w:rPr>
                <w:sz w:val="21"/>
                <w:szCs w:val="21"/>
              </w:rPr>
            </w:pPr>
            <w:r>
              <w:rPr>
                <w:sz w:val="21"/>
                <w:szCs w:val="21"/>
              </w:rPr>
              <w:t>筛分机</w:t>
            </w:r>
          </w:p>
        </w:tc>
        <w:tc>
          <w:tcPr>
            <w:tcW w:w="304" w:type="pct"/>
            <w:vAlign w:val="center"/>
          </w:tcPr>
          <w:p>
            <w:pPr>
              <w:autoSpaceDE w:val="0"/>
              <w:autoSpaceDN w:val="0"/>
              <w:spacing w:line="240" w:lineRule="auto"/>
              <w:ind w:firstLine="0" w:firstLineChars="0"/>
              <w:jc w:val="center"/>
              <w:rPr>
                <w:sz w:val="21"/>
                <w:szCs w:val="21"/>
              </w:rPr>
            </w:pPr>
            <w:r>
              <w:rPr>
                <w:sz w:val="21"/>
                <w:szCs w:val="21"/>
              </w:rPr>
              <w:t>DA003</w:t>
            </w:r>
          </w:p>
        </w:tc>
        <w:tc>
          <w:tcPr>
            <w:tcW w:w="253" w:type="pct"/>
            <w:vAlign w:val="center"/>
          </w:tcPr>
          <w:p>
            <w:pPr>
              <w:spacing w:line="240" w:lineRule="auto"/>
              <w:ind w:firstLine="0" w:firstLineChars="0"/>
              <w:jc w:val="center"/>
              <w:rPr>
                <w:sz w:val="21"/>
                <w:szCs w:val="21"/>
              </w:rPr>
            </w:pPr>
            <w:r>
              <w:rPr>
                <w:sz w:val="21"/>
                <w:szCs w:val="21"/>
              </w:rPr>
              <w:t>100</w:t>
            </w:r>
          </w:p>
        </w:tc>
        <w:tc>
          <w:tcPr>
            <w:tcW w:w="377" w:type="pct"/>
            <w:vAlign w:val="center"/>
          </w:tcPr>
          <w:p>
            <w:pPr>
              <w:spacing w:line="240" w:lineRule="auto"/>
              <w:ind w:firstLine="0" w:firstLineChars="0"/>
              <w:jc w:val="center"/>
              <w:rPr>
                <w:sz w:val="21"/>
                <w:szCs w:val="21"/>
              </w:rPr>
            </w:pPr>
            <w:r>
              <w:rPr>
                <w:sz w:val="21"/>
                <w:szCs w:val="21"/>
              </w:rPr>
              <w:t>3#布袋除尘器</w:t>
            </w:r>
          </w:p>
        </w:tc>
        <w:tc>
          <w:tcPr>
            <w:tcW w:w="282" w:type="pct"/>
            <w:vAlign w:val="center"/>
          </w:tcPr>
          <w:p>
            <w:pPr>
              <w:spacing w:line="240" w:lineRule="auto"/>
              <w:ind w:firstLine="0" w:firstLineChars="0"/>
              <w:jc w:val="center"/>
              <w:rPr>
                <w:sz w:val="21"/>
                <w:szCs w:val="21"/>
              </w:rPr>
            </w:pPr>
            <w:r>
              <w:rPr>
                <w:sz w:val="21"/>
                <w:szCs w:val="21"/>
              </w:rPr>
              <w:t>99.5</w:t>
            </w:r>
          </w:p>
        </w:tc>
        <w:tc>
          <w:tcPr>
            <w:tcW w:w="229" w:type="pct"/>
            <w:vAlign w:val="center"/>
          </w:tcPr>
          <w:p>
            <w:pPr>
              <w:pStyle w:val="234"/>
              <w:adjustRightInd w:val="0"/>
              <w:snapToGrid w:val="0"/>
              <w:spacing w:line="240" w:lineRule="auto"/>
              <w:contextualSpacing w:val="0"/>
              <w:jc w:val="center"/>
              <w:rPr>
                <w:sz w:val="21"/>
                <w:szCs w:val="21"/>
              </w:rPr>
            </w:pPr>
            <w:r>
              <w:rPr>
                <w:sz w:val="21"/>
                <w:szCs w:val="21"/>
              </w:rPr>
              <w:t>颗粒物</w:t>
            </w:r>
          </w:p>
        </w:tc>
        <w:tc>
          <w:tcPr>
            <w:tcW w:w="299" w:type="pct"/>
            <w:vAlign w:val="center"/>
          </w:tcPr>
          <w:p>
            <w:pPr>
              <w:pStyle w:val="234"/>
              <w:adjustRightInd w:val="0"/>
              <w:snapToGrid w:val="0"/>
              <w:spacing w:line="240" w:lineRule="auto"/>
              <w:contextualSpacing w:val="0"/>
              <w:jc w:val="center"/>
              <w:rPr>
                <w:sz w:val="21"/>
                <w:szCs w:val="21"/>
              </w:rPr>
            </w:pPr>
            <w:r>
              <w:rPr>
                <w:sz w:val="21"/>
                <w:szCs w:val="21"/>
              </w:rPr>
              <w:t>2.45</w:t>
            </w:r>
          </w:p>
        </w:tc>
        <w:tc>
          <w:tcPr>
            <w:tcW w:w="332" w:type="pct"/>
            <w:vAlign w:val="center"/>
          </w:tcPr>
          <w:p>
            <w:pPr>
              <w:spacing w:line="240" w:lineRule="auto"/>
              <w:ind w:firstLine="0" w:firstLineChars="0"/>
              <w:jc w:val="center"/>
              <w:rPr>
                <w:sz w:val="21"/>
                <w:szCs w:val="21"/>
              </w:rPr>
            </w:pPr>
            <w:r>
              <w:rPr>
                <w:sz w:val="21"/>
                <w:szCs w:val="21"/>
              </w:rPr>
              <w:t>0.092</w:t>
            </w:r>
          </w:p>
        </w:tc>
        <w:tc>
          <w:tcPr>
            <w:tcW w:w="299" w:type="pct"/>
            <w:vAlign w:val="center"/>
          </w:tcPr>
          <w:p>
            <w:pPr>
              <w:spacing w:line="240" w:lineRule="auto"/>
              <w:ind w:firstLine="0" w:firstLineChars="0"/>
              <w:jc w:val="center"/>
              <w:rPr>
                <w:sz w:val="21"/>
                <w:szCs w:val="21"/>
              </w:rPr>
            </w:pPr>
            <w:r>
              <w:rPr>
                <w:sz w:val="21"/>
                <w:szCs w:val="21"/>
              </w:rPr>
              <w:t>-</w:t>
            </w:r>
          </w:p>
        </w:tc>
        <w:tc>
          <w:tcPr>
            <w:tcW w:w="257" w:type="pct"/>
            <w:vAlign w:val="center"/>
          </w:tcPr>
          <w:p>
            <w:pPr>
              <w:spacing w:line="240" w:lineRule="auto"/>
              <w:ind w:firstLine="0" w:firstLineChars="0"/>
              <w:jc w:val="center"/>
              <w:rPr>
                <w:sz w:val="21"/>
                <w:szCs w:val="21"/>
              </w:rPr>
            </w:pPr>
            <w:r>
              <w:rPr>
                <w:sz w:val="21"/>
                <w:szCs w:val="21"/>
              </w:rPr>
              <w:t>18.38</w:t>
            </w:r>
          </w:p>
        </w:tc>
        <w:tc>
          <w:tcPr>
            <w:tcW w:w="328" w:type="pct"/>
            <w:vAlign w:val="center"/>
          </w:tcPr>
          <w:p>
            <w:pPr>
              <w:spacing w:line="240" w:lineRule="auto"/>
              <w:ind w:firstLine="0" w:firstLineChars="0"/>
              <w:jc w:val="center"/>
              <w:rPr>
                <w:sz w:val="21"/>
                <w:szCs w:val="21"/>
              </w:rPr>
            </w:pPr>
            <w:r>
              <w:rPr>
                <w:sz w:val="21"/>
                <w:szCs w:val="21"/>
              </w:rPr>
              <w:t>0.368</w:t>
            </w:r>
          </w:p>
        </w:tc>
        <w:tc>
          <w:tcPr>
            <w:tcW w:w="487" w:type="pct"/>
            <w:vMerge w:val="continue"/>
            <w:vAlign w:val="center"/>
          </w:tcPr>
          <w:p>
            <w:pPr>
              <w:spacing w:line="240" w:lineRule="auto"/>
              <w:ind w:firstLine="0" w:firstLineChars="0"/>
              <w:jc w:val="center"/>
              <w:rPr>
                <w:sz w:val="21"/>
                <w:szCs w:val="21"/>
              </w:rPr>
            </w:pPr>
          </w:p>
        </w:tc>
        <w:tc>
          <w:tcPr>
            <w:tcW w:w="299" w:type="pct"/>
            <w:vAlign w:val="center"/>
          </w:tcPr>
          <w:p>
            <w:pPr>
              <w:pStyle w:val="234"/>
              <w:adjustRightInd w:val="0"/>
              <w:snapToGrid w:val="0"/>
              <w:spacing w:line="240" w:lineRule="auto"/>
              <w:contextualSpacing w:val="0"/>
              <w:jc w:val="center"/>
              <w:rPr>
                <w:sz w:val="21"/>
                <w:szCs w:val="21"/>
              </w:rPr>
            </w:pPr>
            <w:r>
              <w:rPr>
                <w:sz w:val="21"/>
                <w:szCs w:val="21"/>
              </w:rPr>
              <w:t>100</w:t>
            </w:r>
          </w:p>
        </w:tc>
        <w:tc>
          <w:tcPr>
            <w:tcW w:w="243" w:type="pct"/>
            <w:vAlign w:val="center"/>
          </w:tcPr>
          <w:p>
            <w:pPr>
              <w:pStyle w:val="234"/>
              <w:adjustRightInd w:val="0"/>
              <w:snapToGrid w:val="0"/>
              <w:spacing w:line="240" w:lineRule="auto"/>
              <w:contextualSpacing w:val="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6" w:hRule="atLeast"/>
          <w:jc w:val="center"/>
        </w:trPr>
        <w:tc>
          <w:tcPr>
            <w:tcW w:w="469" w:type="pct"/>
            <w:vAlign w:val="center"/>
          </w:tcPr>
          <w:p>
            <w:pPr>
              <w:spacing w:line="240" w:lineRule="auto"/>
              <w:ind w:firstLine="0" w:firstLineChars="0"/>
              <w:jc w:val="center"/>
              <w:rPr>
                <w:sz w:val="21"/>
                <w:szCs w:val="21"/>
              </w:rPr>
            </w:pPr>
            <w:r>
              <w:rPr>
                <w:sz w:val="21"/>
                <w:szCs w:val="21"/>
              </w:rPr>
              <w:t>工业场地</w:t>
            </w:r>
          </w:p>
        </w:tc>
        <w:tc>
          <w:tcPr>
            <w:tcW w:w="542" w:type="pct"/>
            <w:vAlign w:val="center"/>
          </w:tcPr>
          <w:p>
            <w:pPr>
              <w:spacing w:line="240" w:lineRule="auto"/>
              <w:ind w:firstLine="0" w:firstLineChars="0"/>
              <w:jc w:val="center"/>
              <w:rPr>
                <w:sz w:val="21"/>
                <w:szCs w:val="21"/>
              </w:rPr>
            </w:pPr>
            <w:r>
              <w:rPr>
                <w:sz w:val="21"/>
                <w:szCs w:val="21"/>
              </w:rPr>
              <w:t>装卸</w:t>
            </w:r>
          </w:p>
        </w:tc>
        <w:tc>
          <w:tcPr>
            <w:tcW w:w="304" w:type="pct"/>
            <w:vAlign w:val="center"/>
          </w:tcPr>
          <w:p>
            <w:pPr>
              <w:autoSpaceDE w:val="0"/>
              <w:autoSpaceDN w:val="0"/>
              <w:spacing w:line="240" w:lineRule="auto"/>
              <w:ind w:firstLine="0" w:firstLineChars="0"/>
              <w:jc w:val="center"/>
              <w:rPr>
                <w:sz w:val="21"/>
                <w:szCs w:val="21"/>
              </w:rPr>
            </w:pPr>
            <w:r>
              <w:rPr>
                <w:sz w:val="21"/>
                <w:szCs w:val="21"/>
              </w:rPr>
              <w:t>无组织</w:t>
            </w:r>
          </w:p>
        </w:tc>
        <w:tc>
          <w:tcPr>
            <w:tcW w:w="253" w:type="pct"/>
            <w:vAlign w:val="center"/>
          </w:tcPr>
          <w:p>
            <w:pPr>
              <w:spacing w:line="240" w:lineRule="auto"/>
              <w:ind w:firstLine="0" w:firstLineChars="0"/>
              <w:jc w:val="center"/>
              <w:rPr>
                <w:sz w:val="21"/>
                <w:szCs w:val="21"/>
              </w:rPr>
            </w:pPr>
            <w:r>
              <w:rPr>
                <w:sz w:val="21"/>
                <w:szCs w:val="21"/>
              </w:rPr>
              <w:t>/</w:t>
            </w:r>
          </w:p>
        </w:tc>
        <w:tc>
          <w:tcPr>
            <w:tcW w:w="377" w:type="pct"/>
            <w:vAlign w:val="center"/>
          </w:tcPr>
          <w:p>
            <w:pPr>
              <w:spacing w:line="240" w:lineRule="auto"/>
              <w:ind w:firstLine="0" w:firstLineChars="0"/>
              <w:jc w:val="center"/>
              <w:rPr>
                <w:sz w:val="21"/>
                <w:szCs w:val="21"/>
              </w:rPr>
            </w:pPr>
            <w:r>
              <w:rPr>
                <w:sz w:val="21"/>
                <w:szCs w:val="21"/>
              </w:rPr>
              <w:t>洒水降尘</w:t>
            </w:r>
          </w:p>
        </w:tc>
        <w:tc>
          <w:tcPr>
            <w:tcW w:w="282" w:type="pct"/>
            <w:vAlign w:val="center"/>
          </w:tcPr>
          <w:p>
            <w:pPr>
              <w:spacing w:line="240" w:lineRule="auto"/>
              <w:ind w:firstLine="0" w:firstLineChars="0"/>
              <w:jc w:val="center"/>
              <w:rPr>
                <w:sz w:val="21"/>
                <w:szCs w:val="21"/>
              </w:rPr>
            </w:pPr>
            <w:r>
              <w:rPr>
                <w:sz w:val="21"/>
                <w:szCs w:val="21"/>
              </w:rPr>
              <w:t>/</w:t>
            </w:r>
          </w:p>
        </w:tc>
        <w:tc>
          <w:tcPr>
            <w:tcW w:w="229" w:type="pct"/>
            <w:vAlign w:val="center"/>
          </w:tcPr>
          <w:p>
            <w:pPr>
              <w:pStyle w:val="234"/>
              <w:adjustRightInd w:val="0"/>
              <w:snapToGrid w:val="0"/>
              <w:spacing w:line="240" w:lineRule="auto"/>
              <w:contextualSpacing w:val="0"/>
              <w:jc w:val="center"/>
              <w:rPr>
                <w:sz w:val="21"/>
                <w:szCs w:val="21"/>
              </w:rPr>
            </w:pPr>
            <w:r>
              <w:rPr>
                <w:sz w:val="21"/>
                <w:szCs w:val="21"/>
              </w:rPr>
              <w:t>颗粒物</w:t>
            </w:r>
          </w:p>
        </w:tc>
        <w:tc>
          <w:tcPr>
            <w:tcW w:w="299" w:type="pct"/>
            <w:vAlign w:val="center"/>
          </w:tcPr>
          <w:p>
            <w:pPr>
              <w:pStyle w:val="234"/>
              <w:adjustRightInd w:val="0"/>
              <w:snapToGrid w:val="0"/>
              <w:spacing w:line="240" w:lineRule="auto"/>
              <w:contextualSpacing w:val="0"/>
              <w:jc w:val="center"/>
              <w:rPr>
                <w:sz w:val="21"/>
                <w:szCs w:val="21"/>
              </w:rPr>
            </w:pPr>
            <w:r>
              <w:rPr>
                <w:sz w:val="21"/>
                <w:szCs w:val="21"/>
              </w:rPr>
              <w:t>/</w:t>
            </w:r>
          </w:p>
        </w:tc>
        <w:tc>
          <w:tcPr>
            <w:tcW w:w="332" w:type="pct"/>
            <w:vAlign w:val="center"/>
          </w:tcPr>
          <w:p>
            <w:pPr>
              <w:spacing w:line="240" w:lineRule="auto"/>
              <w:ind w:firstLine="0" w:firstLineChars="0"/>
              <w:jc w:val="center"/>
              <w:rPr>
                <w:sz w:val="21"/>
                <w:szCs w:val="21"/>
              </w:rPr>
            </w:pPr>
            <w:r>
              <w:rPr>
                <w:sz w:val="21"/>
                <w:szCs w:val="21"/>
              </w:rPr>
              <w:t>0.095</w:t>
            </w:r>
          </w:p>
        </w:tc>
        <w:tc>
          <w:tcPr>
            <w:tcW w:w="299" w:type="pct"/>
            <w:vAlign w:val="center"/>
          </w:tcPr>
          <w:p>
            <w:pPr>
              <w:spacing w:line="240" w:lineRule="auto"/>
              <w:ind w:firstLine="0" w:firstLineChars="0"/>
              <w:jc w:val="center"/>
              <w:rPr>
                <w:sz w:val="21"/>
                <w:szCs w:val="21"/>
              </w:rPr>
            </w:pPr>
            <w:r>
              <w:rPr>
                <w:sz w:val="21"/>
                <w:szCs w:val="21"/>
              </w:rPr>
              <w:t>-</w:t>
            </w:r>
          </w:p>
        </w:tc>
        <w:tc>
          <w:tcPr>
            <w:tcW w:w="257" w:type="pct"/>
            <w:vAlign w:val="center"/>
          </w:tcPr>
          <w:p>
            <w:pPr>
              <w:spacing w:line="240" w:lineRule="auto"/>
              <w:ind w:firstLine="0" w:firstLineChars="0"/>
              <w:jc w:val="center"/>
              <w:rPr>
                <w:sz w:val="21"/>
                <w:szCs w:val="21"/>
              </w:rPr>
            </w:pPr>
            <w:r>
              <w:rPr>
                <w:sz w:val="21"/>
                <w:szCs w:val="21"/>
              </w:rPr>
              <w:t>-</w:t>
            </w:r>
          </w:p>
        </w:tc>
        <w:tc>
          <w:tcPr>
            <w:tcW w:w="328" w:type="pct"/>
            <w:vAlign w:val="center"/>
          </w:tcPr>
          <w:p>
            <w:pPr>
              <w:spacing w:line="240" w:lineRule="auto"/>
              <w:ind w:firstLine="0" w:firstLineChars="0"/>
              <w:jc w:val="center"/>
              <w:rPr>
                <w:sz w:val="21"/>
                <w:szCs w:val="21"/>
              </w:rPr>
            </w:pPr>
            <w:r>
              <w:rPr>
                <w:sz w:val="21"/>
                <w:szCs w:val="21"/>
              </w:rPr>
              <w:t>0.382</w:t>
            </w:r>
          </w:p>
        </w:tc>
        <w:tc>
          <w:tcPr>
            <w:tcW w:w="487" w:type="pct"/>
            <w:vMerge w:val="continue"/>
            <w:vAlign w:val="center"/>
          </w:tcPr>
          <w:p>
            <w:pPr>
              <w:spacing w:line="240" w:lineRule="auto"/>
              <w:ind w:firstLine="0" w:firstLineChars="0"/>
              <w:jc w:val="center"/>
              <w:rPr>
                <w:sz w:val="21"/>
                <w:szCs w:val="21"/>
              </w:rPr>
            </w:pPr>
          </w:p>
        </w:tc>
        <w:tc>
          <w:tcPr>
            <w:tcW w:w="299" w:type="pct"/>
            <w:vAlign w:val="center"/>
          </w:tcPr>
          <w:p>
            <w:pPr>
              <w:pStyle w:val="234"/>
              <w:adjustRightInd w:val="0"/>
              <w:snapToGrid w:val="0"/>
              <w:spacing w:line="240" w:lineRule="auto"/>
              <w:contextualSpacing w:val="0"/>
              <w:jc w:val="center"/>
              <w:rPr>
                <w:sz w:val="21"/>
                <w:szCs w:val="21"/>
              </w:rPr>
            </w:pPr>
            <w:r>
              <w:rPr>
                <w:sz w:val="21"/>
                <w:szCs w:val="21"/>
              </w:rPr>
              <w:t>1.0</w:t>
            </w:r>
          </w:p>
        </w:tc>
        <w:tc>
          <w:tcPr>
            <w:tcW w:w="243" w:type="pct"/>
            <w:vAlign w:val="center"/>
          </w:tcPr>
          <w:p>
            <w:pPr>
              <w:pStyle w:val="234"/>
              <w:adjustRightInd w:val="0"/>
              <w:snapToGrid w:val="0"/>
              <w:spacing w:line="240" w:lineRule="auto"/>
              <w:contextualSpacing w:val="0"/>
              <w:jc w:val="center"/>
              <w:rPr>
                <w:sz w:val="21"/>
                <w:szCs w:val="21"/>
              </w:rPr>
            </w:pPr>
            <w:r>
              <w:rPr>
                <w:sz w:val="21"/>
                <w:szCs w:val="21"/>
              </w:rPr>
              <w:t>/</w:t>
            </w:r>
          </w:p>
        </w:tc>
      </w:tr>
    </w:tbl>
    <w:p>
      <w:pPr>
        <w:ind w:left="520" w:firstLine="0" w:firstLineChars="0"/>
        <w:sectPr>
          <w:pgSz w:w="16840" w:h="11907" w:orient="landscape"/>
          <w:pgMar w:top="1418" w:right="1418" w:bottom="1418" w:left="1418" w:header="851" w:footer="992" w:gutter="0"/>
          <w:cols w:space="425" w:num="1"/>
          <w:docGrid w:linePitch="354" w:charSpace="0"/>
        </w:sectPr>
      </w:pPr>
    </w:p>
    <w:p>
      <w:pPr>
        <w:pStyle w:val="84"/>
      </w:pPr>
      <w:r>
        <w:t>表10.6-3  项目噪声排放清单</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52"/>
        <w:gridCol w:w="1573"/>
        <w:gridCol w:w="2036"/>
        <w:gridCol w:w="2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3" w:type="pct"/>
            <w:gridSpan w:val="2"/>
            <w:vMerge w:val="restar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排放标准及标准号</w:t>
            </w:r>
          </w:p>
        </w:tc>
        <w:tc>
          <w:tcPr>
            <w:tcW w:w="2187" w:type="pct"/>
            <w:gridSpan w:val="2"/>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最大允许排放值/（dB（A））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13" w:type="pct"/>
            <w:gridSpan w:val="2"/>
            <w:vMerge w:val="continue"/>
            <w:shd w:val="clear" w:color="auto" w:fill="D8D8D8" w:themeFill="background1" w:themeFillShade="D9"/>
            <w:vAlign w:val="center"/>
          </w:tcPr>
          <w:p>
            <w:pPr>
              <w:pStyle w:val="3232"/>
              <w:adjustRightInd w:val="0"/>
              <w:snapToGrid w:val="0"/>
              <w:jc w:val="center"/>
              <w:rPr>
                <w:color w:val="auto"/>
                <w:sz w:val="21"/>
                <w:szCs w:val="21"/>
              </w:rPr>
            </w:pPr>
          </w:p>
        </w:tc>
        <w:tc>
          <w:tcPr>
            <w:tcW w:w="1096" w:type="pc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昼间</w:t>
            </w:r>
          </w:p>
        </w:tc>
        <w:tc>
          <w:tcPr>
            <w:tcW w:w="1091" w:type="pc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6" w:type="pct"/>
            <w:vAlign w:val="center"/>
          </w:tcPr>
          <w:p>
            <w:pPr>
              <w:pStyle w:val="3232"/>
              <w:adjustRightInd w:val="0"/>
              <w:snapToGrid w:val="0"/>
              <w:jc w:val="center"/>
              <w:rPr>
                <w:color w:val="auto"/>
                <w:sz w:val="21"/>
                <w:szCs w:val="21"/>
              </w:rPr>
            </w:pPr>
            <w:r>
              <w:rPr>
                <w:color w:val="auto"/>
                <w:sz w:val="21"/>
                <w:szCs w:val="21"/>
              </w:rPr>
              <w:t>《工业企业厂界环境噪声排放标准》（GB12348-2008）中2类标准</w:t>
            </w:r>
          </w:p>
        </w:tc>
        <w:tc>
          <w:tcPr>
            <w:tcW w:w="847" w:type="pct"/>
            <w:vAlign w:val="center"/>
          </w:tcPr>
          <w:p>
            <w:pPr>
              <w:pStyle w:val="3232"/>
              <w:adjustRightInd w:val="0"/>
              <w:snapToGrid w:val="0"/>
              <w:jc w:val="center"/>
              <w:rPr>
                <w:color w:val="auto"/>
                <w:sz w:val="21"/>
                <w:szCs w:val="21"/>
              </w:rPr>
            </w:pPr>
            <w:r>
              <w:rPr>
                <w:color w:val="auto"/>
                <w:sz w:val="21"/>
                <w:szCs w:val="21"/>
              </w:rPr>
              <w:t>四周厂界</w:t>
            </w:r>
          </w:p>
        </w:tc>
        <w:tc>
          <w:tcPr>
            <w:tcW w:w="1096" w:type="pct"/>
            <w:vAlign w:val="center"/>
          </w:tcPr>
          <w:p>
            <w:pPr>
              <w:pStyle w:val="3232"/>
              <w:adjustRightInd w:val="0"/>
              <w:snapToGrid w:val="0"/>
              <w:jc w:val="center"/>
              <w:rPr>
                <w:color w:val="auto"/>
                <w:sz w:val="21"/>
                <w:szCs w:val="21"/>
              </w:rPr>
            </w:pPr>
            <w:r>
              <w:rPr>
                <w:color w:val="auto"/>
                <w:sz w:val="21"/>
                <w:szCs w:val="21"/>
              </w:rPr>
              <w:t>60</w:t>
            </w:r>
          </w:p>
        </w:tc>
        <w:tc>
          <w:tcPr>
            <w:tcW w:w="1091" w:type="pct"/>
            <w:vAlign w:val="center"/>
          </w:tcPr>
          <w:p>
            <w:pPr>
              <w:pStyle w:val="3232"/>
              <w:adjustRightInd w:val="0"/>
              <w:snapToGrid w:val="0"/>
              <w:jc w:val="center"/>
              <w:rPr>
                <w:color w:val="auto"/>
                <w:sz w:val="21"/>
                <w:szCs w:val="21"/>
              </w:rPr>
            </w:pPr>
            <w:r>
              <w:rPr>
                <w:color w:val="auto"/>
                <w:sz w:val="21"/>
                <w:szCs w:val="21"/>
              </w:rPr>
              <w:t>50</w:t>
            </w:r>
          </w:p>
        </w:tc>
      </w:tr>
    </w:tbl>
    <w:p>
      <w:pPr>
        <w:pStyle w:val="84"/>
      </w:pPr>
      <w:r>
        <w:t>表10.6-4  项目固废排放清单</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1133"/>
        <w:gridCol w:w="1133"/>
        <w:gridCol w:w="2268"/>
        <w:gridCol w:w="1843"/>
        <w:gridCol w:w="1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23" w:type="pct"/>
            <w:vMerge w:val="restar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固体废物名称和种类</w:t>
            </w:r>
          </w:p>
        </w:tc>
        <w:tc>
          <w:tcPr>
            <w:tcW w:w="610" w:type="pct"/>
            <w:vMerge w:val="restar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产生量（t/a）</w:t>
            </w:r>
          </w:p>
        </w:tc>
        <w:tc>
          <w:tcPr>
            <w:tcW w:w="610" w:type="pct"/>
            <w:vMerge w:val="restar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主要成分</w:t>
            </w:r>
          </w:p>
        </w:tc>
        <w:tc>
          <w:tcPr>
            <w:tcW w:w="2957" w:type="pct"/>
            <w:gridSpan w:val="3"/>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处置方式及数量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823" w:type="pct"/>
            <w:vMerge w:val="continue"/>
            <w:shd w:val="clear" w:color="auto" w:fill="D8D8D8" w:themeFill="background1" w:themeFillShade="D9"/>
            <w:vAlign w:val="center"/>
          </w:tcPr>
          <w:p>
            <w:pPr>
              <w:pStyle w:val="3232"/>
              <w:adjustRightInd w:val="0"/>
              <w:snapToGrid w:val="0"/>
              <w:jc w:val="center"/>
              <w:rPr>
                <w:b/>
                <w:bCs/>
                <w:color w:val="auto"/>
                <w:sz w:val="21"/>
                <w:szCs w:val="21"/>
              </w:rPr>
            </w:pPr>
          </w:p>
        </w:tc>
        <w:tc>
          <w:tcPr>
            <w:tcW w:w="610" w:type="pct"/>
            <w:vMerge w:val="continue"/>
            <w:shd w:val="clear" w:color="auto" w:fill="D8D8D8" w:themeFill="background1" w:themeFillShade="D9"/>
            <w:vAlign w:val="center"/>
          </w:tcPr>
          <w:p>
            <w:pPr>
              <w:pStyle w:val="3232"/>
              <w:adjustRightInd w:val="0"/>
              <w:snapToGrid w:val="0"/>
              <w:jc w:val="center"/>
              <w:rPr>
                <w:b/>
                <w:bCs/>
                <w:color w:val="auto"/>
                <w:sz w:val="21"/>
                <w:szCs w:val="21"/>
              </w:rPr>
            </w:pPr>
          </w:p>
        </w:tc>
        <w:tc>
          <w:tcPr>
            <w:tcW w:w="610" w:type="pct"/>
            <w:vMerge w:val="continue"/>
            <w:shd w:val="clear" w:color="auto" w:fill="D8D8D8" w:themeFill="background1" w:themeFillShade="D9"/>
            <w:vAlign w:val="center"/>
          </w:tcPr>
          <w:p>
            <w:pPr>
              <w:pStyle w:val="3232"/>
              <w:adjustRightInd w:val="0"/>
              <w:snapToGrid w:val="0"/>
              <w:jc w:val="center"/>
              <w:rPr>
                <w:b/>
                <w:bCs/>
                <w:color w:val="auto"/>
                <w:sz w:val="21"/>
                <w:szCs w:val="21"/>
              </w:rPr>
            </w:pPr>
          </w:p>
        </w:tc>
        <w:tc>
          <w:tcPr>
            <w:tcW w:w="1221" w:type="pc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处理方式</w:t>
            </w:r>
          </w:p>
        </w:tc>
        <w:tc>
          <w:tcPr>
            <w:tcW w:w="992" w:type="pc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数量（t/a）</w:t>
            </w:r>
          </w:p>
        </w:tc>
        <w:tc>
          <w:tcPr>
            <w:tcW w:w="744" w:type="pct"/>
            <w:shd w:val="clear" w:color="auto" w:fill="D8D8D8" w:themeFill="background1" w:themeFillShade="D9"/>
            <w:vAlign w:val="center"/>
          </w:tcPr>
          <w:p>
            <w:pPr>
              <w:pStyle w:val="3232"/>
              <w:adjustRightInd w:val="0"/>
              <w:snapToGrid w:val="0"/>
              <w:jc w:val="center"/>
              <w:rPr>
                <w:b/>
                <w:bCs/>
                <w:color w:val="auto"/>
                <w:sz w:val="21"/>
                <w:szCs w:val="21"/>
              </w:rPr>
            </w:pPr>
            <w:r>
              <w:rPr>
                <w:b/>
                <w:bCs/>
                <w:color w:val="auto"/>
                <w:sz w:val="21"/>
                <w:szCs w:val="21"/>
              </w:rPr>
              <w:t>占总量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23" w:type="pct"/>
            <w:vAlign w:val="center"/>
          </w:tcPr>
          <w:p>
            <w:pPr>
              <w:pStyle w:val="3232"/>
              <w:adjustRightInd w:val="0"/>
              <w:snapToGrid w:val="0"/>
              <w:jc w:val="center"/>
              <w:rPr>
                <w:color w:val="auto"/>
                <w:sz w:val="21"/>
                <w:szCs w:val="21"/>
              </w:rPr>
            </w:pPr>
            <w:r>
              <w:rPr>
                <w:color w:val="auto"/>
                <w:sz w:val="21"/>
                <w:szCs w:val="21"/>
              </w:rPr>
              <w:t>沉淀污泥</w:t>
            </w:r>
          </w:p>
        </w:tc>
        <w:tc>
          <w:tcPr>
            <w:tcW w:w="610" w:type="pct"/>
            <w:vAlign w:val="center"/>
          </w:tcPr>
          <w:p>
            <w:pPr>
              <w:pStyle w:val="3232"/>
              <w:adjustRightInd w:val="0"/>
              <w:snapToGrid w:val="0"/>
              <w:jc w:val="center"/>
              <w:rPr>
                <w:color w:val="auto"/>
                <w:sz w:val="21"/>
                <w:szCs w:val="21"/>
              </w:rPr>
            </w:pPr>
            <w:r>
              <w:rPr>
                <w:color w:val="auto"/>
                <w:sz w:val="21"/>
                <w:szCs w:val="21"/>
              </w:rPr>
              <w:t>10000</w:t>
            </w:r>
          </w:p>
        </w:tc>
        <w:tc>
          <w:tcPr>
            <w:tcW w:w="610" w:type="pct"/>
            <w:vAlign w:val="center"/>
          </w:tcPr>
          <w:p>
            <w:pPr>
              <w:pStyle w:val="3232"/>
              <w:adjustRightInd w:val="0"/>
              <w:snapToGrid w:val="0"/>
              <w:jc w:val="center"/>
              <w:rPr>
                <w:color w:val="auto"/>
                <w:sz w:val="21"/>
                <w:szCs w:val="21"/>
              </w:rPr>
            </w:pPr>
            <w:r>
              <w:rPr>
                <w:color w:val="auto"/>
                <w:sz w:val="21"/>
                <w:szCs w:val="21"/>
              </w:rPr>
              <w:t>污泥</w:t>
            </w:r>
          </w:p>
        </w:tc>
        <w:tc>
          <w:tcPr>
            <w:tcW w:w="1221" w:type="pct"/>
            <w:vAlign w:val="center"/>
          </w:tcPr>
          <w:p>
            <w:pPr>
              <w:pStyle w:val="3232"/>
              <w:adjustRightInd w:val="0"/>
              <w:snapToGrid w:val="0"/>
              <w:jc w:val="center"/>
              <w:rPr>
                <w:color w:val="auto"/>
                <w:sz w:val="21"/>
                <w:szCs w:val="21"/>
              </w:rPr>
            </w:pPr>
            <w:r>
              <w:rPr>
                <w:color w:val="auto"/>
                <w:sz w:val="21"/>
                <w:szCs w:val="21"/>
              </w:rPr>
              <w:t>矿区复垦绿化使用</w:t>
            </w:r>
          </w:p>
        </w:tc>
        <w:tc>
          <w:tcPr>
            <w:tcW w:w="992" w:type="pct"/>
            <w:vAlign w:val="center"/>
          </w:tcPr>
          <w:p>
            <w:pPr>
              <w:pStyle w:val="3232"/>
              <w:adjustRightInd w:val="0"/>
              <w:snapToGrid w:val="0"/>
              <w:jc w:val="center"/>
              <w:rPr>
                <w:color w:val="auto"/>
                <w:sz w:val="21"/>
                <w:szCs w:val="21"/>
              </w:rPr>
            </w:pPr>
            <w:r>
              <w:rPr>
                <w:color w:val="auto"/>
                <w:sz w:val="21"/>
                <w:szCs w:val="21"/>
              </w:rPr>
              <w:t>10000</w:t>
            </w:r>
          </w:p>
        </w:tc>
        <w:tc>
          <w:tcPr>
            <w:tcW w:w="744" w:type="pct"/>
            <w:vAlign w:val="center"/>
          </w:tcPr>
          <w:p>
            <w:pPr>
              <w:pStyle w:val="3232"/>
              <w:adjustRightInd w:val="0"/>
              <w:snapToGrid w:val="0"/>
              <w:jc w:val="center"/>
              <w:rPr>
                <w:color w:val="auto"/>
                <w:sz w:val="21"/>
                <w:szCs w:val="21"/>
              </w:rPr>
            </w:pPr>
            <w:r>
              <w:rPr>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23" w:type="pct"/>
            <w:vAlign w:val="center"/>
          </w:tcPr>
          <w:p>
            <w:pPr>
              <w:pStyle w:val="3232"/>
              <w:adjustRightInd w:val="0"/>
              <w:snapToGrid w:val="0"/>
              <w:jc w:val="center"/>
              <w:rPr>
                <w:color w:val="auto"/>
                <w:sz w:val="21"/>
                <w:szCs w:val="21"/>
              </w:rPr>
            </w:pPr>
            <w:r>
              <w:rPr>
                <w:color w:val="auto"/>
                <w:sz w:val="21"/>
                <w:szCs w:val="21"/>
              </w:rPr>
              <w:t>生活垃圾</w:t>
            </w:r>
          </w:p>
        </w:tc>
        <w:tc>
          <w:tcPr>
            <w:tcW w:w="610" w:type="pct"/>
            <w:vAlign w:val="center"/>
          </w:tcPr>
          <w:p>
            <w:pPr>
              <w:pStyle w:val="3232"/>
              <w:adjustRightInd w:val="0"/>
              <w:snapToGrid w:val="0"/>
              <w:jc w:val="center"/>
              <w:rPr>
                <w:color w:val="auto"/>
                <w:sz w:val="21"/>
                <w:szCs w:val="21"/>
              </w:rPr>
            </w:pPr>
            <w:r>
              <w:rPr>
                <w:color w:val="auto"/>
                <w:sz w:val="21"/>
                <w:szCs w:val="21"/>
              </w:rPr>
              <w:t>5.94</w:t>
            </w:r>
          </w:p>
        </w:tc>
        <w:tc>
          <w:tcPr>
            <w:tcW w:w="610" w:type="pct"/>
            <w:vAlign w:val="center"/>
          </w:tcPr>
          <w:p>
            <w:pPr>
              <w:pStyle w:val="3232"/>
              <w:adjustRightInd w:val="0"/>
              <w:snapToGrid w:val="0"/>
              <w:jc w:val="center"/>
              <w:rPr>
                <w:color w:val="auto"/>
                <w:sz w:val="21"/>
                <w:szCs w:val="21"/>
              </w:rPr>
            </w:pPr>
            <w:r>
              <w:rPr>
                <w:color w:val="auto"/>
                <w:sz w:val="21"/>
                <w:szCs w:val="21"/>
              </w:rPr>
              <w:t>生活垃圾</w:t>
            </w:r>
          </w:p>
        </w:tc>
        <w:tc>
          <w:tcPr>
            <w:tcW w:w="1221" w:type="pct"/>
            <w:vAlign w:val="center"/>
          </w:tcPr>
          <w:p>
            <w:pPr>
              <w:pStyle w:val="3232"/>
              <w:adjustRightInd w:val="0"/>
              <w:snapToGrid w:val="0"/>
              <w:jc w:val="center"/>
              <w:rPr>
                <w:color w:val="auto"/>
                <w:sz w:val="21"/>
                <w:szCs w:val="21"/>
              </w:rPr>
            </w:pPr>
            <w:r>
              <w:rPr>
                <w:color w:val="auto"/>
                <w:sz w:val="21"/>
                <w:szCs w:val="21"/>
              </w:rPr>
              <w:t>收集后交环卫部门统一处置</w:t>
            </w:r>
          </w:p>
        </w:tc>
        <w:tc>
          <w:tcPr>
            <w:tcW w:w="992" w:type="pct"/>
            <w:vAlign w:val="center"/>
          </w:tcPr>
          <w:p>
            <w:pPr>
              <w:pStyle w:val="3232"/>
              <w:adjustRightInd w:val="0"/>
              <w:snapToGrid w:val="0"/>
              <w:jc w:val="center"/>
              <w:rPr>
                <w:color w:val="auto"/>
                <w:sz w:val="21"/>
                <w:szCs w:val="21"/>
              </w:rPr>
            </w:pPr>
            <w:r>
              <w:rPr>
                <w:color w:val="auto"/>
                <w:sz w:val="21"/>
                <w:szCs w:val="21"/>
              </w:rPr>
              <w:t>5.94</w:t>
            </w:r>
          </w:p>
        </w:tc>
        <w:tc>
          <w:tcPr>
            <w:tcW w:w="744" w:type="pct"/>
            <w:vAlign w:val="center"/>
          </w:tcPr>
          <w:p>
            <w:pPr>
              <w:pStyle w:val="3232"/>
              <w:adjustRightInd w:val="0"/>
              <w:snapToGrid w:val="0"/>
              <w:jc w:val="center"/>
              <w:rPr>
                <w:color w:val="auto"/>
                <w:sz w:val="21"/>
                <w:szCs w:val="21"/>
              </w:rPr>
            </w:pPr>
            <w:r>
              <w:rPr>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23" w:type="pct"/>
            <w:vAlign w:val="center"/>
          </w:tcPr>
          <w:p>
            <w:pPr>
              <w:pStyle w:val="3232"/>
              <w:adjustRightInd w:val="0"/>
              <w:snapToGrid w:val="0"/>
              <w:jc w:val="center"/>
              <w:rPr>
                <w:color w:val="auto"/>
                <w:sz w:val="21"/>
                <w:szCs w:val="21"/>
              </w:rPr>
            </w:pPr>
            <w:r>
              <w:rPr>
                <w:color w:val="auto"/>
                <w:sz w:val="21"/>
                <w:szCs w:val="21"/>
              </w:rPr>
              <w:t>废润滑油</w:t>
            </w:r>
          </w:p>
        </w:tc>
        <w:tc>
          <w:tcPr>
            <w:tcW w:w="610" w:type="pct"/>
            <w:vAlign w:val="center"/>
          </w:tcPr>
          <w:p>
            <w:pPr>
              <w:pStyle w:val="3232"/>
              <w:adjustRightInd w:val="0"/>
              <w:snapToGrid w:val="0"/>
              <w:jc w:val="center"/>
              <w:rPr>
                <w:color w:val="auto"/>
                <w:sz w:val="21"/>
                <w:szCs w:val="21"/>
              </w:rPr>
            </w:pPr>
            <w:r>
              <w:rPr>
                <w:color w:val="auto"/>
                <w:sz w:val="21"/>
                <w:szCs w:val="21"/>
              </w:rPr>
              <w:t>0.20</w:t>
            </w:r>
          </w:p>
        </w:tc>
        <w:tc>
          <w:tcPr>
            <w:tcW w:w="610" w:type="pct"/>
            <w:vAlign w:val="center"/>
          </w:tcPr>
          <w:p>
            <w:pPr>
              <w:pStyle w:val="3232"/>
              <w:adjustRightInd w:val="0"/>
              <w:snapToGrid w:val="0"/>
              <w:jc w:val="center"/>
              <w:rPr>
                <w:color w:val="auto"/>
                <w:sz w:val="21"/>
                <w:szCs w:val="21"/>
              </w:rPr>
            </w:pPr>
            <w:r>
              <w:rPr>
                <w:color w:val="auto"/>
                <w:sz w:val="21"/>
                <w:szCs w:val="21"/>
              </w:rPr>
              <w:t>矿物油</w:t>
            </w:r>
          </w:p>
        </w:tc>
        <w:tc>
          <w:tcPr>
            <w:tcW w:w="1221" w:type="pct"/>
            <w:vAlign w:val="center"/>
          </w:tcPr>
          <w:p>
            <w:pPr>
              <w:pStyle w:val="3232"/>
              <w:adjustRightInd w:val="0"/>
              <w:snapToGrid w:val="0"/>
              <w:jc w:val="center"/>
              <w:rPr>
                <w:color w:val="auto"/>
                <w:sz w:val="21"/>
                <w:szCs w:val="21"/>
              </w:rPr>
            </w:pPr>
            <w:r>
              <w:rPr>
                <w:color w:val="auto"/>
                <w:sz w:val="21"/>
                <w:szCs w:val="21"/>
              </w:rPr>
              <w:t>收集暂存后定期交由资质单位进行处置。</w:t>
            </w:r>
          </w:p>
        </w:tc>
        <w:tc>
          <w:tcPr>
            <w:tcW w:w="992" w:type="pct"/>
            <w:vAlign w:val="center"/>
          </w:tcPr>
          <w:p>
            <w:pPr>
              <w:pStyle w:val="3232"/>
              <w:adjustRightInd w:val="0"/>
              <w:snapToGrid w:val="0"/>
              <w:jc w:val="center"/>
              <w:rPr>
                <w:color w:val="auto"/>
                <w:sz w:val="21"/>
                <w:szCs w:val="21"/>
              </w:rPr>
            </w:pPr>
            <w:r>
              <w:rPr>
                <w:color w:val="auto"/>
                <w:sz w:val="21"/>
                <w:szCs w:val="21"/>
              </w:rPr>
              <w:t>0.20</w:t>
            </w:r>
          </w:p>
        </w:tc>
        <w:tc>
          <w:tcPr>
            <w:tcW w:w="744" w:type="pct"/>
            <w:vAlign w:val="center"/>
          </w:tcPr>
          <w:p>
            <w:pPr>
              <w:pStyle w:val="3232"/>
              <w:adjustRightInd w:val="0"/>
              <w:snapToGrid w:val="0"/>
              <w:jc w:val="center"/>
              <w:rPr>
                <w:color w:val="auto"/>
                <w:sz w:val="21"/>
                <w:szCs w:val="21"/>
              </w:rPr>
            </w:pPr>
            <w:r>
              <w:rPr>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23" w:type="pct"/>
            <w:vAlign w:val="center"/>
          </w:tcPr>
          <w:p>
            <w:pPr>
              <w:pStyle w:val="3232"/>
              <w:adjustRightInd w:val="0"/>
              <w:snapToGrid w:val="0"/>
              <w:jc w:val="center"/>
              <w:rPr>
                <w:color w:val="auto"/>
                <w:sz w:val="21"/>
                <w:szCs w:val="21"/>
              </w:rPr>
            </w:pPr>
            <w:r>
              <w:rPr>
                <w:color w:val="auto"/>
                <w:sz w:val="21"/>
                <w:szCs w:val="21"/>
              </w:rPr>
              <w:t>含油棉纱手套</w:t>
            </w:r>
          </w:p>
        </w:tc>
        <w:tc>
          <w:tcPr>
            <w:tcW w:w="610" w:type="pct"/>
            <w:vAlign w:val="center"/>
          </w:tcPr>
          <w:p>
            <w:pPr>
              <w:pStyle w:val="3232"/>
              <w:adjustRightInd w:val="0"/>
              <w:snapToGrid w:val="0"/>
              <w:jc w:val="center"/>
              <w:rPr>
                <w:color w:val="auto"/>
                <w:sz w:val="21"/>
                <w:szCs w:val="21"/>
              </w:rPr>
            </w:pPr>
            <w:r>
              <w:rPr>
                <w:color w:val="auto"/>
                <w:sz w:val="21"/>
                <w:szCs w:val="21"/>
              </w:rPr>
              <w:t>0.01</w:t>
            </w:r>
          </w:p>
        </w:tc>
        <w:tc>
          <w:tcPr>
            <w:tcW w:w="610" w:type="pct"/>
            <w:vAlign w:val="center"/>
          </w:tcPr>
          <w:p>
            <w:pPr>
              <w:pStyle w:val="3232"/>
              <w:adjustRightInd w:val="0"/>
              <w:snapToGrid w:val="0"/>
              <w:jc w:val="center"/>
              <w:rPr>
                <w:color w:val="auto"/>
                <w:sz w:val="21"/>
                <w:szCs w:val="21"/>
              </w:rPr>
            </w:pPr>
            <w:r>
              <w:rPr>
                <w:color w:val="auto"/>
                <w:sz w:val="21"/>
                <w:szCs w:val="21"/>
              </w:rPr>
              <w:t>矿物油</w:t>
            </w:r>
          </w:p>
        </w:tc>
        <w:tc>
          <w:tcPr>
            <w:tcW w:w="1221" w:type="pct"/>
            <w:vAlign w:val="center"/>
          </w:tcPr>
          <w:p>
            <w:pPr>
              <w:pStyle w:val="3232"/>
              <w:adjustRightInd w:val="0"/>
              <w:snapToGrid w:val="0"/>
              <w:jc w:val="center"/>
              <w:rPr>
                <w:color w:val="auto"/>
                <w:sz w:val="21"/>
                <w:szCs w:val="21"/>
              </w:rPr>
            </w:pPr>
            <w:r>
              <w:rPr>
                <w:color w:val="auto"/>
                <w:sz w:val="21"/>
                <w:szCs w:val="21"/>
              </w:rPr>
              <w:t>收集暂存后定期交由资质单位进行处置。</w:t>
            </w:r>
          </w:p>
        </w:tc>
        <w:tc>
          <w:tcPr>
            <w:tcW w:w="992" w:type="pct"/>
            <w:vAlign w:val="center"/>
          </w:tcPr>
          <w:p>
            <w:pPr>
              <w:pStyle w:val="3232"/>
              <w:adjustRightInd w:val="0"/>
              <w:snapToGrid w:val="0"/>
              <w:jc w:val="center"/>
              <w:rPr>
                <w:color w:val="auto"/>
                <w:sz w:val="21"/>
                <w:szCs w:val="21"/>
              </w:rPr>
            </w:pPr>
            <w:r>
              <w:rPr>
                <w:color w:val="auto"/>
                <w:sz w:val="21"/>
                <w:szCs w:val="21"/>
              </w:rPr>
              <w:t>0.01</w:t>
            </w:r>
          </w:p>
        </w:tc>
        <w:tc>
          <w:tcPr>
            <w:tcW w:w="744" w:type="pct"/>
            <w:vAlign w:val="center"/>
          </w:tcPr>
          <w:p>
            <w:pPr>
              <w:pStyle w:val="3232"/>
              <w:adjustRightInd w:val="0"/>
              <w:snapToGrid w:val="0"/>
              <w:jc w:val="center"/>
              <w:rPr>
                <w:color w:val="auto"/>
                <w:sz w:val="21"/>
                <w:szCs w:val="21"/>
              </w:rPr>
            </w:pPr>
            <w:r>
              <w:rPr>
                <w:color w:val="auto"/>
                <w:sz w:val="21"/>
                <w:szCs w:val="21"/>
              </w:rPr>
              <w:t>100%</w:t>
            </w:r>
          </w:p>
        </w:tc>
      </w:tr>
    </w:tbl>
    <w:p>
      <w:pPr>
        <w:pStyle w:val="4"/>
      </w:pPr>
      <w:bookmarkStart w:id="244" w:name="_Toc161676143"/>
      <w:r>
        <w:t>10.7总量控制</w:t>
      </w:r>
      <w:bookmarkEnd w:id="244"/>
    </w:p>
    <w:p>
      <w:pPr>
        <w:pStyle w:val="3219"/>
        <w:rPr>
          <w:color w:val="auto"/>
        </w:rPr>
        <w:sectPr>
          <w:pgSz w:w="11907" w:h="16840"/>
          <w:pgMar w:top="1418" w:right="1418" w:bottom="1418" w:left="1418" w:header="851" w:footer="992" w:gutter="0"/>
          <w:cols w:space="425" w:num="1"/>
          <w:docGrid w:linePitch="354" w:charSpace="0"/>
        </w:sectPr>
      </w:pPr>
      <w:r>
        <w:rPr>
          <w:color w:val="auto"/>
        </w:rPr>
        <w:t>项目车辆冲洗废水循环利用，生活污水经化粪池收集处理后作农肥，不外排。大气污染物主要为无组织排放和有组织排放的粉尘，污染物为颗粒物，因此，本项目不需申请排污总量。本项目有组织废气排放管理指标颗粒物为0.945t/a。</w:t>
      </w:r>
    </w:p>
    <w:p>
      <w:pPr>
        <w:pStyle w:val="3"/>
        <w:numPr>
          <w:ilvl w:val="0"/>
          <w:numId w:val="0"/>
        </w:numPr>
        <w:spacing w:before="240" w:after="240"/>
      </w:pPr>
      <w:bookmarkStart w:id="245" w:name="_Toc161676144"/>
      <w:r>
        <w:t>11环境影响评价结论</w:t>
      </w:r>
      <w:bookmarkEnd w:id="245"/>
    </w:p>
    <w:p>
      <w:pPr>
        <w:pStyle w:val="4"/>
      </w:pPr>
      <w:bookmarkStart w:id="246" w:name="_Toc161676145"/>
      <w:bookmarkStart w:id="247" w:name="_Toc179897089"/>
      <w:bookmarkStart w:id="248" w:name="_Toc179897489"/>
      <w:r>
        <w:t>11.1项目概况</w:t>
      </w:r>
      <w:bookmarkEnd w:id="246"/>
      <w:bookmarkEnd w:id="247"/>
      <w:bookmarkEnd w:id="248"/>
    </w:p>
    <w:p>
      <w:pPr>
        <w:spacing w:line="460" w:lineRule="exact"/>
        <w:ind w:firstLine="480"/>
        <w:jc w:val="both"/>
      </w:pPr>
      <w:bookmarkStart w:id="249" w:name="_Hlk511140212"/>
      <w:r>
        <w:rPr>
          <w:sz w:val="24"/>
          <w:szCs w:val="24"/>
        </w:rPr>
        <w:t>重庆峰磊矿业有限公司建筑石料用灰岩矿扩建工程位于重庆市合川区盐井街道观音村。划定矿区范围由4个拐点闭合圈定，面积为0.0466km</w:t>
      </w:r>
      <w:r>
        <w:rPr>
          <w:sz w:val="24"/>
          <w:szCs w:val="24"/>
          <w:vertAlign w:val="superscript"/>
        </w:rPr>
        <w:t>2</w:t>
      </w:r>
      <w:r>
        <w:rPr>
          <w:sz w:val="24"/>
          <w:szCs w:val="24"/>
        </w:rPr>
        <w:t>，开采标高</w:t>
      </w:r>
      <w:r>
        <w:t>+380m~+251m，开采规模为100万吨/年，开采后的矿石运至1km处的工业场地，进行破碎加工，生产规模为70万吨/年，生产成石粉、碎石3种规格的产品；剩余30万吨/年原矿外售处理。</w:t>
      </w:r>
    </w:p>
    <w:p>
      <w:pPr>
        <w:spacing w:line="460" w:lineRule="exact"/>
        <w:ind w:firstLine="520"/>
        <w:jc w:val="both"/>
      </w:pPr>
      <w:r>
        <w:t>项目劳动定36人，每天工作12小时，年生产333天。项目总投资500万元，其中环保投资114万元，占总投资的22.8%。</w:t>
      </w:r>
    </w:p>
    <w:p>
      <w:pPr>
        <w:pStyle w:val="4"/>
        <w:jc w:val="both"/>
      </w:pPr>
      <w:bookmarkStart w:id="250" w:name="_Toc161676146"/>
      <w:bookmarkStart w:id="251" w:name="_Hlk50654642"/>
      <w:r>
        <w:t>11.2项目区域环境概况</w:t>
      </w:r>
      <w:bookmarkEnd w:id="250"/>
    </w:p>
    <w:bookmarkEnd w:id="251"/>
    <w:p>
      <w:pPr>
        <w:pStyle w:val="222"/>
      </w:pPr>
      <w:bookmarkStart w:id="252" w:name="_Hlk50654656"/>
      <w:r>
        <w:t>（1）环境质量现状</w:t>
      </w:r>
    </w:p>
    <w:p>
      <w:pPr>
        <w:pStyle w:val="222"/>
      </w:pPr>
      <w:r>
        <w:rPr>
          <w:szCs w:val="21"/>
        </w:rPr>
        <w:t>生态环境：</w:t>
      </w:r>
      <w:r>
        <w:t>根据《重庆市生态功能区划》（修编），项目所在地属于“渝西方山丘陵营养物质保持－水体保护生态功能区”。 项目占地范围内无自然保护区、风景名胜区、饮用水源保护区等生态敏感区，无珍稀濒危野生动植物天然集中分布区和名木古树。</w:t>
      </w:r>
      <w:r>
        <w:rPr>
          <w:bCs/>
        </w:rPr>
        <w:t>项目评价范围内涉及九峰山森林公园和生态保护红线，矿区西侧</w:t>
      </w:r>
      <w:r>
        <w:t>干沟河相隔为重庆市九峰山森林公园，</w:t>
      </w:r>
      <w:r>
        <w:rPr>
          <w:bCs/>
        </w:rPr>
        <w:t>九峰山森林公园里涉及</w:t>
      </w:r>
      <w:r>
        <w:rPr>
          <w:szCs w:val="21"/>
        </w:rPr>
        <w:t>红隼、画眉、灰胸竹鸡、杜鹃等属于国家及重庆市重点保护野生动物和甘草等属于国家重点保护野生植物；</w:t>
      </w:r>
      <w:r>
        <w:rPr>
          <w:bCs/>
        </w:rPr>
        <w:t>评价范围内除九峰山森林公园以外主要以旱地农作物、灌木林地为主，人工干预比较大，动物以鸟类、啮齿类等常见种为主，未发现重点保护野生动植物天然集中分布区和名木古树。</w:t>
      </w:r>
    </w:p>
    <w:p>
      <w:pPr>
        <w:pStyle w:val="222"/>
      </w:pPr>
      <w:r>
        <w:t>环境空气：根据</w:t>
      </w:r>
      <w:r>
        <w:rPr>
          <w:szCs w:val="22"/>
        </w:rPr>
        <w:t>《2022年重庆市生态环境状况公报》</w:t>
      </w:r>
      <w:r>
        <w:t>，合川区O</w:t>
      </w:r>
      <w:r>
        <w:rPr>
          <w:vertAlign w:val="subscript"/>
        </w:rPr>
        <w:t>3</w:t>
      </w:r>
      <w:r>
        <w:t>不满足二类环境空气功能区质量标准，项目位于不达标区，其他基本污染物浓度均满足《环境空气质量标准》（GB3095-2012）中二级标准要求；目前，合川区已发布《合川区大气环境质量达标规划》，并开展污染防治攻坚战，通过达标规划的实施，合川区整体环境质量可逐步改善达标；根据补充监测结果，监测点各监测因子满足《环境空气质量标准》（GB3095-2012）一级标准。</w:t>
      </w:r>
    </w:p>
    <w:p>
      <w:pPr>
        <w:pStyle w:val="222"/>
      </w:pPr>
      <w:r>
        <w:t>地表水环境：</w:t>
      </w:r>
      <w:r>
        <w:rPr>
          <w:szCs w:val="22"/>
        </w:rPr>
        <w:t>根据《2022年重庆市生态环境状况公报》，</w:t>
      </w:r>
      <w:r>
        <w:t>嘉陵江断面水质满足</w:t>
      </w:r>
      <w:r>
        <w:fldChar w:fldCharType="begin"/>
      </w:r>
      <w:r>
        <w:instrText xml:space="preserve"> = 4 \* ROMAN </w:instrText>
      </w:r>
      <w:r>
        <w:fldChar w:fldCharType="separate"/>
      </w:r>
      <w:r>
        <w:fldChar w:fldCharType="begin"/>
      </w:r>
      <w:r>
        <w:instrText xml:space="preserve"> = 4 \* ROMAN </w:instrText>
      </w:r>
      <w:r>
        <w:fldChar w:fldCharType="separate"/>
      </w:r>
      <w:r>
        <w:t>Ⅲ</w:t>
      </w:r>
      <w:r>
        <w:fldChar w:fldCharType="end"/>
      </w:r>
      <w:r>
        <w:fldChar w:fldCharType="end"/>
      </w:r>
      <w:r>
        <w:t>类标准；干沟河各监测断面各监测因子均满足《地表水环境质量标准》（GB3838-2002）</w:t>
      </w:r>
      <w:r>
        <w:fldChar w:fldCharType="begin"/>
      </w:r>
      <w:r>
        <w:instrText xml:space="preserve"> = 4 \* ROMAN </w:instrText>
      </w:r>
      <w:r>
        <w:fldChar w:fldCharType="separate"/>
      </w:r>
      <w:r>
        <w:fldChar w:fldCharType="begin"/>
      </w:r>
      <w:r>
        <w:instrText xml:space="preserve"> = 4 \* ROMAN </w:instrText>
      </w:r>
      <w:r>
        <w:fldChar w:fldCharType="separate"/>
      </w:r>
      <w:r>
        <w:t>Ⅲ</w:t>
      </w:r>
      <w:r>
        <w:fldChar w:fldCharType="end"/>
      </w:r>
      <w:r>
        <w:fldChar w:fldCharType="end"/>
      </w:r>
      <w:r>
        <w:t>类标准，地表水环境质量良好。</w:t>
      </w:r>
    </w:p>
    <w:p>
      <w:pPr>
        <w:pStyle w:val="222"/>
      </w:pPr>
      <w:r>
        <w:t>声环境：项目所在区域昼间、夜间噪声满足《声环境质量标准》（GB3096-2008）中2类标准要求，项目所在区域声环境质量较好。</w:t>
      </w:r>
    </w:p>
    <w:p>
      <w:pPr>
        <w:pStyle w:val="222"/>
      </w:pPr>
      <w:r>
        <w:t>（2）环境敏感点调查</w:t>
      </w:r>
    </w:p>
    <w:p>
      <w:pPr>
        <w:pStyle w:val="222"/>
        <w:rPr>
          <w:szCs w:val="21"/>
        </w:rPr>
      </w:pPr>
      <w:r>
        <w:t>项目位于合川区盐井街道观音村，项目占地范围内不涉及自然保护区、风景名胜区及文物保护单位等特殊敏感区域，不在合川区划定的生态保护红线范围内，也不在合川区城镇规划范围内。项目占地范围内不涉及基本农田。</w:t>
      </w:r>
      <w:r>
        <w:rPr>
          <w:szCs w:val="21"/>
        </w:rPr>
        <w:t>不在国道、省道、高速公路两侧直观可视范围内。</w:t>
      </w:r>
    </w:p>
    <w:p>
      <w:pPr>
        <w:pStyle w:val="222"/>
      </w:pPr>
      <w:r>
        <w:t>本项目处于九峰山森林公园南侧山脚，项目占地范围不涉及九峰山森林公园范围、生态保护红线。矿区内无河流、水库等地表水体，西侧有一季节冲沟，北侧紧邻干沟河，干沟河自西南向东北汇入嘉陵江。项目评价范围内无饮用水源保护区、饮用水取水口、鱼类三场等水环境保护目标。</w:t>
      </w:r>
    </w:p>
    <w:p>
      <w:pPr>
        <w:pStyle w:val="222"/>
      </w:pPr>
      <w:r>
        <w:t>声环境保护目标主要为开采区和工业场地外200m区域范围的居民点，</w:t>
      </w:r>
      <w:r>
        <w:rPr>
          <w:bCs/>
          <w:szCs w:val="21"/>
        </w:rPr>
        <w:t>本项目</w:t>
      </w:r>
      <w:r>
        <w:rPr>
          <w:bCs/>
        </w:rPr>
        <w:t>矿区外东侧1处，</w:t>
      </w:r>
      <w:r>
        <w:t>工业场地外北侧</w:t>
      </w:r>
      <w:r>
        <w:rPr>
          <w:bCs/>
          <w:szCs w:val="21"/>
        </w:rPr>
        <w:t>2处。</w:t>
      </w:r>
    </w:p>
    <w:bookmarkEnd w:id="252"/>
    <w:p>
      <w:pPr>
        <w:pStyle w:val="4"/>
        <w:jc w:val="both"/>
      </w:pPr>
      <w:bookmarkStart w:id="253" w:name="_Toc161676147"/>
      <w:r>
        <w:t>11.3项目相关政策、规划符合性</w:t>
      </w:r>
      <w:bookmarkEnd w:id="253"/>
    </w:p>
    <w:p>
      <w:pPr>
        <w:pStyle w:val="222"/>
        <w:rPr>
          <w:bCs/>
        </w:rPr>
      </w:pPr>
      <w:r>
        <w:t>本项目不属于《产业结构调整指导目录（2024年本）》中的限制类、淘汰类项目，也不属于《关于印发重庆市产业投资准入工作手册的通知》（渝发改投资〔2022〕1436号）不予准入、限制准入类产业，符合国家及重庆市产业政策。本项目符合《重庆市矿产资源总体规划（2021-2025）》及其规划环评、《重庆市合川区矿产资源总体规划（2021-2025）》及其规划环评的相关要求；同时也满足《矿山生态环境保护与污染防治技术政策》（环发〔2005〕109号）、《矿山生态环境保护与恢复治理技术规范（试行）》（HJ651-2013）等矿山环保政策的相关要求</w:t>
      </w:r>
      <w:r>
        <w:rPr>
          <w:bCs/>
        </w:rPr>
        <w:t>。</w:t>
      </w:r>
    </w:p>
    <w:p>
      <w:pPr>
        <w:pStyle w:val="222"/>
      </w:pPr>
      <w:r>
        <w:rPr>
          <w:bCs/>
        </w:rPr>
        <w:t>项目占地不在合川区生态保护红线内，</w:t>
      </w:r>
      <w:r>
        <w:t>满足重庆市及合川区“三线一单”生态环境分区管控要求。</w:t>
      </w:r>
    </w:p>
    <w:p>
      <w:pPr>
        <w:pStyle w:val="4"/>
        <w:jc w:val="both"/>
      </w:pPr>
      <w:bookmarkStart w:id="254" w:name="_Toc161676148"/>
      <w:r>
        <w:t>11.4项目选址合理性</w:t>
      </w:r>
      <w:bookmarkEnd w:id="254"/>
    </w:p>
    <w:p>
      <w:pPr>
        <w:pStyle w:val="222"/>
      </w:pPr>
      <w:r>
        <w:t>本项目矿山为合川区矿产资源规划矿山，在合川区矿产资源总体规划划定的集中开采区内。矿山开采范围、排土场选址符合相关规划及标准要求等规范，工业场地利用现有场地，不新增用地。因此，项目选址合理。</w:t>
      </w:r>
    </w:p>
    <w:p>
      <w:pPr>
        <w:pStyle w:val="4"/>
      </w:pPr>
      <w:bookmarkStart w:id="255" w:name="_Toc161676149"/>
      <w:r>
        <w:t>11.5环境影响及环境保护措施</w:t>
      </w:r>
      <w:bookmarkEnd w:id="255"/>
    </w:p>
    <w:p>
      <w:pPr>
        <w:pStyle w:val="5"/>
        <w:rPr>
          <w:color w:val="auto"/>
        </w:rPr>
      </w:pPr>
      <w:bookmarkStart w:id="256" w:name="_Hlk50654717"/>
      <w:r>
        <w:rPr>
          <w:color w:val="auto"/>
        </w:rPr>
        <w:t>11.5.1建设期</w:t>
      </w:r>
    </w:p>
    <w:bookmarkEnd w:id="256"/>
    <w:p>
      <w:pPr>
        <w:pStyle w:val="222"/>
      </w:pPr>
      <w:bookmarkStart w:id="257" w:name="_Hlk50654728"/>
      <w:r>
        <w:t>（1）大气环境影响及环境保护措施</w:t>
      </w:r>
    </w:p>
    <w:p>
      <w:pPr>
        <w:pStyle w:val="222"/>
      </w:pPr>
      <w:r>
        <w:t>项目建设期废气主要施工扬尘和施工机具尾气。施工过程中对施工场地、运输道路等采取洒水抑尘；土石方运输车辆的车斗应进行覆盖，避免沿途洒落；项目建设期短，施工强度不大，施工过程所使用机械的尾气污染物排放量很小。本项目建设工程量较小，建设期较短，建设期扬尘、施工机具尾气产生量小，对区域大气环境影响较小。</w:t>
      </w:r>
    </w:p>
    <w:p>
      <w:pPr>
        <w:pStyle w:val="222"/>
      </w:pPr>
      <w:r>
        <w:t>（2）水环境影响及环境保护措施</w:t>
      </w:r>
    </w:p>
    <w:p>
      <w:pPr>
        <w:pStyle w:val="222"/>
      </w:pPr>
      <w:r>
        <w:t>建设期的污废水主要包括施工人员产生的生活污水、施工废水。项目施工人员产生的生活污水利用化粪池收集处理后用作农肥，不外排。施工废水经沉砂池沉淀处理后回用于场地抑尘洒水，严禁污废水排入附近冲沟和地表水体，对地表水环境影响小。</w:t>
      </w:r>
    </w:p>
    <w:p>
      <w:pPr>
        <w:pStyle w:val="222"/>
      </w:pPr>
      <w:r>
        <w:t>（3）声环境影响及噪声防治措施</w:t>
      </w:r>
    </w:p>
    <w:p>
      <w:pPr>
        <w:pStyle w:val="222"/>
      </w:pPr>
      <w:r>
        <w:t>建设期的噪声源主要包括挖掘机、铲车、运载汽车等施工机具产生的噪声。 项目应合理安排施工时段，应避免施工场地夜间施工；在满足施工需要的前提下，尽可能选择低噪声的先进设备，加强设备的维护保养，避免由于设备性能差而使机械噪声增大的现象发生；建设期运输车辆经过路线两侧居民点时，应积极采取缓速、禁鸣等措施减小影响；建设期材料、渣土运输车辆应避开夜间及午间时间运输，尽量降低车辆运输噪声对沿线居民的影响。</w:t>
      </w:r>
    </w:p>
    <w:p>
      <w:pPr>
        <w:pStyle w:val="222"/>
      </w:pPr>
      <w:r>
        <w:t>项目建设期较短、工程量较小，施工结束后施工噪声的影响亦随之消失。采取以上措施后，项目建设期对周边敏感点的噪声影响可接受。</w:t>
      </w:r>
    </w:p>
    <w:p>
      <w:pPr>
        <w:pStyle w:val="222"/>
      </w:pPr>
      <w:r>
        <w:t>（4）固体废物影响及处置措施</w:t>
      </w:r>
    </w:p>
    <w:p>
      <w:pPr>
        <w:pStyle w:val="222"/>
      </w:pPr>
      <w:r>
        <w:t>项目建设期的固体废物包括建筑垃圾和生活垃圾。建设建构筑物产生的建筑垃圾，可利用的建筑材料尽量回收利用，不能利用售卖给资源回收公司。生活垃圾采用垃圾桶收集后定期交由当地环卫部门处置，对环境影响较小。</w:t>
      </w:r>
    </w:p>
    <w:p>
      <w:pPr>
        <w:pStyle w:val="222"/>
      </w:pPr>
      <w:r>
        <w:t xml:space="preserve"> 在采取以上措施后，预计本项目建设期固体废物对区域环境的影响较小。</w:t>
      </w:r>
    </w:p>
    <w:bookmarkEnd w:id="257"/>
    <w:p>
      <w:pPr>
        <w:pStyle w:val="5"/>
        <w:rPr>
          <w:color w:val="auto"/>
        </w:rPr>
      </w:pPr>
      <w:r>
        <w:rPr>
          <w:color w:val="auto"/>
        </w:rPr>
        <w:t>11.5.2开采期</w:t>
      </w:r>
    </w:p>
    <w:p>
      <w:pPr>
        <w:pStyle w:val="222"/>
      </w:pPr>
      <w:r>
        <w:t>（1）大气环境影响及环境保护措施</w:t>
      </w:r>
    </w:p>
    <w:p>
      <w:pPr>
        <w:pStyle w:val="222"/>
      </w:pPr>
      <w:r>
        <w:t>项目开采期废气主要为钻孔、爆破、挖掘、装卸、破碎筛分及运输等产生的粉尘。</w:t>
      </w:r>
    </w:p>
    <w:p>
      <w:pPr>
        <w:pStyle w:val="222"/>
        <w:rPr>
          <w:bCs/>
          <w:kern w:val="0"/>
        </w:rPr>
      </w:pPr>
      <w:r>
        <w:t>采区采用自带除尘装置的潜孔钻进行钻孔；爆破采取微差爆破，粉尘产生量少，爆破后及时洒水降尘。采区布置多台雾炮机，对采区内采掘工作面、矿区道路、铲装等产尘点喷雾洒水。采用雾炮机对矿区公路进行洒水降尘，在工业场地北侧出口处设置车辆冲洗设施，同时对运输车加装篷布实现密闭运输。</w:t>
      </w:r>
      <w:r>
        <w:rPr>
          <w:bCs/>
          <w:kern w:val="0"/>
        </w:rPr>
        <w:t>排土场进行分层碾压堆放，采用洒水车定期洒水。</w:t>
      </w:r>
    </w:p>
    <w:p>
      <w:pPr>
        <w:pStyle w:val="222"/>
      </w:pPr>
      <w:r>
        <w:t>工业场地破碎筛分生产线布置于封闭车间内，给料机进料口设三面围挡和高压喷雾洒水降尘。一级破碎、二级破碎、筛分上方设置集气罩（集气罩将全部盖住），并设置配套的布袋除尘器，将粉尘引至布袋除尘器处理后经15m排气筒排放；项目共配置3套除尘器和3根排气筒。在产品仓顶部分别设置盖板及过滤网。产品仓底部落料皮带设置防尘罩，碎石装车点设喷雾装置降尘。</w:t>
      </w:r>
      <w:r>
        <w:rPr>
          <w:szCs w:val="21"/>
        </w:rPr>
        <w:t>产品堆场设置在厂房内，进行封闭储存，并采取篷布遮盖物料，防止风力起尘，装车时降低物料高度，避免扬尘逸散。</w:t>
      </w:r>
    </w:p>
    <w:p>
      <w:pPr>
        <w:pStyle w:val="222"/>
      </w:pPr>
      <w:r>
        <w:t>项目在采取以上废气治理措施后，各污染物排放量少，对区域大气环境贡献值很小，对大气环境影响小。</w:t>
      </w:r>
    </w:p>
    <w:p>
      <w:pPr>
        <w:pStyle w:val="222"/>
      </w:pPr>
      <w:r>
        <w:t>（2）水环境影响及环境保护措施</w:t>
      </w:r>
    </w:p>
    <w:p>
      <w:pPr>
        <w:pStyle w:val="222"/>
      </w:pPr>
      <w:r>
        <w:t>开采期项目生产废水为运输车辆冲洗水，排入沉淀池处理后循环使用，不外排。生活污水利用办公生活区化粪池处理后用作农肥，不外排。</w:t>
      </w:r>
    </w:p>
    <w:p>
      <w:pPr>
        <w:pStyle w:val="222"/>
      </w:pPr>
      <w:r>
        <w:t>采区东侧、南侧、西侧设置排水沟，东北侧沟尾端设置1个沉砂池，初期雨水收集后经沉淀处理后外排；排土场四周均设置截排水沟，初期雨水经沉淀处理后汇入周边现有排洪沟排出。</w:t>
      </w:r>
    </w:p>
    <w:p>
      <w:pPr>
        <w:pStyle w:val="222"/>
      </w:pPr>
      <w:r>
        <w:t>综上所述，本项目生产废水和生活污水均不外排，对地表水影响很小。</w:t>
      </w:r>
    </w:p>
    <w:p>
      <w:pPr>
        <w:pStyle w:val="222"/>
      </w:pPr>
      <w:r>
        <w:t>（3）声环境影响及噪声防治措施</w:t>
      </w:r>
    </w:p>
    <w:p>
      <w:pPr>
        <w:pStyle w:val="222"/>
      </w:pPr>
      <w:r>
        <w:t>项目开采期主要噪声源来自开采工作面、工业场地生产设备及运输设备，其噪声源强在70~90dB（A）之间。经预测，采区所有设备同时运行时，采区昼间噪声达到《工业企业厂界环境噪声排放标准》（GB12348-2008）中的2类标准；工业场地内生产设备经采取建筑隔声、基础减振等措施后，厂界昼间、夜间噪声均能够满足《工业企业厂界环境噪声排放标准》（GB12348-2008）中2类标准；评价范围内各环境保护目标处噪声满足《声环境质量标准》（GB3096-2008）2类标准，对环境保护目标影响小。</w:t>
      </w:r>
    </w:p>
    <w:p>
      <w:pPr>
        <w:pStyle w:val="222"/>
      </w:pPr>
      <w:r>
        <w:t>项目通过合理安排爆破时间，避开居民休息时间，可以减少爆破对居民影响。尽量选用了低噪声设备，合理布置高噪声设备，加工生产线采用彩钢厂房密闭，对破碎机、筛分机等加工设备采取基础减震、密闭隔声措施；合理安排运输时间，加强运输车辆管，禁止鸣笛，控制车速，加强运输道路的日常维护。</w:t>
      </w:r>
    </w:p>
    <w:p>
      <w:pPr>
        <w:pStyle w:val="222"/>
      </w:pPr>
      <w:r>
        <w:t>在落实相应噪声污染防治措施后，本项目噪声对周围环境的影响较小。</w:t>
      </w:r>
    </w:p>
    <w:p>
      <w:pPr>
        <w:pStyle w:val="222"/>
      </w:pPr>
      <w:r>
        <w:t>（4）固体废物影响及处置措施</w:t>
      </w:r>
    </w:p>
    <w:p>
      <w:pPr>
        <w:pStyle w:val="222"/>
      </w:pPr>
      <w:r>
        <w:t>项目开采期矿山剥离物和沉淀污泥，用于后期生态恢复和复垦；布袋除尘器收集粉尘作为产品与石粉一起出售；生活垃圾交由当地环卫部门处理。</w:t>
      </w:r>
    </w:p>
    <w:p>
      <w:pPr>
        <w:pStyle w:val="222"/>
      </w:pPr>
      <w:r>
        <w:t>依托现有危险废物贮存间，少量机修废油、含油棉纱等采用专用带盖的收集桶收集，定期交有资质单位处置。危险废物在危险废物贮存间临时存储不超过1年，危险废物贮存间按《危险废物贮存污染物控制标准》（GB18597-2023）要求建设，应做到“四防”措施（防风、防雨、防晒、防渗漏）。</w:t>
      </w:r>
    </w:p>
    <w:p>
      <w:pPr>
        <w:pStyle w:val="222"/>
      </w:pPr>
      <w:r>
        <w:t>本项目产生的固体废物经过妥善处置、综合利用后对环境的影响小。</w:t>
      </w:r>
    </w:p>
    <w:p>
      <w:pPr>
        <w:pStyle w:val="222"/>
      </w:pPr>
      <w:r>
        <w:t>（5）环境风险</w:t>
      </w:r>
    </w:p>
    <w:p>
      <w:pPr>
        <w:pStyle w:val="222"/>
      </w:pPr>
      <w:r>
        <w:t>项目涉及的危险物质主要有柴油、废润滑油，储存量小，为降低项目环境风险事故影响，必须严格落实风险防范措施，加强营运期风险管理。严格设计和施工，确保危险物质储存的正常运行，防止泄漏、火灾、爆炸等事故发生，将事故风险降到最低限度。在采取完善有效的风险防范措施后，本项目环境风险影响程度是可以接受的。</w:t>
      </w:r>
    </w:p>
    <w:p>
      <w:pPr>
        <w:pStyle w:val="222"/>
      </w:pPr>
      <w:r>
        <w:t>（6）闭矿期环境影响</w:t>
      </w:r>
    </w:p>
    <w:p>
      <w:pPr>
        <w:pStyle w:val="222"/>
      </w:pPr>
      <w:r>
        <w:t>闭矿期对矿区内开采区、工业场地进行全面生态恢复，拆除工业场地和办公生活区的建构筑物和生产设施，清理平整，按照已编制的土地复垦方案对矿区、工业场地进行土地复垦和植被恢复。</w:t>
      </w:r>
    </w:p>
    <w:p>
      <w:pPr>
        <w:pStyle w:val="222"/>
      </w:pPr>
      <w:r>
        <w:t>矿山闭矿后各项生产活动已经停止，与灰岩开采活动相关的废气、生活污废水、生活垃圾、设备噪声等各种产污活动也相应消失，区域环境质量有所好转。对地面设施拆除及迹地清理过程中会产生少量的粉尘和固体废物，在采取洒水抑尘和分类处理固体废物，本项目矿山闭矿后，采取生态恢复措施后，矿山对自然环境各要素的影响趋于减缓甚至消失。采取恢复措施后闭坑期的环境影响可以接受。</w:t>
      </w:r>
    </w:p>
    <w:p>
      <w:pPr>
        <w:pStyle w:val="222"/>
      </w:pPr>
      <w:r>
        <w:t>（7）生态环境影响</w:t>
      </w:r>
    </w:p>
    <w:p>
      <w:pPr>
        <w:pStyle w:val="222"/>
      </w:pPr>
      <w:r>
        <w:t>项目矿区占地主要以耕地、林地为主，工业场地利用原有工业加工区，对区域土地利用现状格局改变甚小。项目矿区采取边开采边生态恢复方式，利用暂存表土对占用土地进行复垦，尽量恢复成林地或者旱地，届时土地利用性质和地表植被将逐渐恢复。</w:t>
      </w:r>
    </w:p>
    <w:p>
      <w:pPr>
        <w:pStyle w:val="222"/>
        <w:rPr>
          <w:bCs/>
        </w:rPr>
      </w:pPr>
      <w:r>
        <w:rPr>
          <w:szCs w:val="21"/>
        </w:rPr>
        <w:t>项目评价范围内涉及</w:t>
      </w:r>
      <w:r>
        <w:rPr>
          <w:bCs/>
          <w:szCs w:val="21"/>
          <w:lang w:bidi="en-US"/>
        </w:rPr>
        <w:t>九峰山森林公园，根据森林公园规划，公园</w:t>
      </w:r>
      <w:r>
        <w:rPr>
          <w:szCs w:val="21"/>
        </w:rPr>
        <w:t>里有红隼、画眉、灰胸竹鸡、杜鹃等属于国家及重庆市重点保护野生动物和甘草等属于国家重点保护野生植物；</w:t>
      </w:r>
      <w:r>
        <w:rPr>
          <w:bCs/>
        </w:rPr>
        <w:t>评价范围内除九峰山森林公园以外主要以旱地农作物、灌木林地为主，人工干预比较大，人类活动比较频繁，动物以鸟类、啮齿类等常见种为主，未发现重点保护野生动植物天然集中分布区和名木古树。</w:t>
      </w:r>
    </w:p>
    <w:p>
      <w:pPr>
        <w:pStyle w:val="222"/>
        <w:rPr>
          <w:szCs w:val="21"/>
        </w:rPr>
      </w:pPr>
      <w:r>
        <w:t>项目占地范围内植被类型主要以农作物和灌木林为主，无国家及重庆市重点保护野生植物分布；占地范围内受人类活动频繁，</w:t>
      </w:r>
      <w:r>
        <w:rPr>
          <w:bCs/>
          <w:szCs w:val="21"/>
          <w:lang w:bidi="en-US"/>
        </w:rPr>
        <w:t>未分布有野生保护动物的集中栖息地，</w:t>
      </w:r>
      <w:r>
        <w:t>未发现有国家及重庆市重点保护野生动物，</w:t>
      </w:r>
      <w:r>
        <w:rPr>
          <w:szCs w:val="21"/>
        </w:rPr>
        <w:t>矿山开采和破碎设备产生的噪声必然使周边一定距离范围内的动物受到惊扰，迫使对惊扰胁迫敏感的动物远离矿区，但矿区周边所在区域类似生境分布较广，动物通过近距离迁徙即可找到生存之地。本项目闭矿后对占地进行生态恢复，逐步恢复地表植被群落。因此本项目实施对生态环境影响可接受。项目对陆生动物的影响主要集中在矿山开采期噪声影响，但动物会通过迁移来避免项目矿山开采对其造成的影响，在周边找到替代生境。因此，矿山开采对陆生动物的影响较小。</w:t>
      </w:r>
    </w:p>
    <w:p>
      <w:pPr>
        <w:pStyle w:val="222"/>
      </w:pPr>
      <w:r>
        <w:t>项目建设期、开采期无废水、固废外排，对九峰山森林公园影响主要为粉尘影响，通过本环评提出的相关污染防治措施和生态保护、恢复措施，对九峰山森林公园生物多样性等功能影响很小。项目对九峰山森林公园影响是可以接受的。</w:t>
      </w:r>
    </w:p>
    <w:p>
      <w:pPr>
        <w:spacing w:line="360" w:lineRule="auto"/>
        <w:ind w:firstLine="520"/>
        <w:jc w:val="both"/>
      </w:pPr>
      <w:r>
        <w:t>（8）风险评价</w:t>
      </w:r>
    </w:p>
    <w:p>
      <w:pPr>
        <w:spacing w:line="360" w:lineRule="auto"/>
        <w:ind w:firstLine="480"/>
        <w:jc w:val="both"/>
      </w:pPr>
      <w:r>
        <w:rPr>
          <w:rStyle w:val="198"/>
          <w:rFonts w:hint="default" w:ascii="Times New Roman" w:hAnsi="Times New Roman"/>
          <w:color w:val="auto"/>
        </w:rPr>
        <w:t>本项目发生环境风险的几率很小，风险影响小，通过按行业规范要求和环评要</w:t>
      </w:r>
      <w:r>
        <w:t>求进行风险防范和制定应急措施，环境风险可接受。</w:t>
      </w:r>
    </w:p>
    <w:p>
      <w:pPr>
        <w:pStyle w:val="4"/>
      </w:pPr>
      <w:bookmarkStart w:id="258" w:name="_Toc161676150"/>
      <w:r>
        <w:t>11.6总量控制</w:t>
      </w:r>
      <w:bookmarkEnd w:id="258"/>
    </w:p>
    <w:p>
      <w:pPr>
        <w:pStyle w:val="3219"/>
        <w:rPr>
          <w:color w:val="auto"/>
        </w:rPr>
      </w:pPr>
      <w:bookmarkStart w:id="259" w:name="_Hlk50654755"/>
      <w:r>
        <w:rPr>
          <w:color w:val="auto"/>
        </w:rPr>
        <w:t>项目生产废水循环利用，生活污水经化粪池收集处理后作农肥，不外排。大气污染物主要为无组织排放和有组织排放的粉尘，污染物为颗粒物；因此，本项目不需申请排污总量。本项目有组织废气排放管理指标颗粒物为0.945t/a。</w:t>
      </w:r>
    </w:p>
    <w:p>
      <w:pPr>
        <w:pStyle w:val="4"/>
      </w:pPr>
      <w:bookmarkStart w:id="260" w:name="_Toc161676151"/>
      <w:r>
        <w:t>11.7环境影响经济损益分析</w:t>
      </w:r>
      <w:bookmarkEnd w:id="260"/>
    </w:p>
    <w:p>
      <w:pPr>
        <w:spacing w:line="460" w:lineRule="exact"/>
        <w:ind w:firstLine="480"/>
        <w:jc w:val="both"/>
        <w:rPr>
          <w:bCs/>
          <w:sz w:val="24"/>
          <w:szCs w:val="24"/>
        </w:rPr>
      </w:pPr>
      <w:r>
        <w:rPr>
          <w:bCs/>
          <w:sz w:val="24"/>
          <w:szCs w:val="24"/>
        </w:rPr>
        <w:t>本项目的建设将会带动当地就业、对当地人口结构和经济结构产生积极影响，具有较好的社会效益；项目建成投产后，可将当地的矿产资源优势转变为经济优势，将实现较好的经济效益；为了保护环境，减轻工程建设和运营对环境的影响，本项目将投入一定的环境保护费用，将使得污染物得到有效治理，将取得显著的环境效益。总体而言，本项目具有较好的社会效益、经济效益和环境效益。</w:t>
      </w:r>
    </w:p>
    <w:p>
      <w:pPr>
        <w:pStyle w:val="4"/>
      </w:pPr>
      <w:bookmarkStart w:id="261" w:name="_Toc161676152"/>
      <w:r>
        <w:t>11.8环境管理与监测计划</w:t>
      </w:r>
      <w:bookmarkEnd w:id="261"/>
    </w:p>
    <w:p>
      <w:pPr>
        <w:spacing w:line="460" w:lineRule="exact"/>
        <w:ind w:firstLine="480"/>
        <w:jc w:val="both"/>
        <w:rPr>
          <w:bCs/>
          <w:sz w:val="24"/>
          <w:szCs w:val="24"/>
        </w:rPr>
      </w:pPr>
      <w:r>
        <w:rPr>
          <w:bCs/>
          <w:sz w:val="24"/>
          <w:szCs w:val="24"/>
        </w:rPr>
        <w:t>建设单位应加强该项目环境保护管理工作，设置专门的环保机构，配备专业的环保管理人员，负责项目建设和运营过程中的环境管理工作及监测计划；并根据环境影响报告中提出的环保措施，结合在施工和开采期间实际造成的环境影响，详细制定建设期和开采期环境保护规章制度。除此之外，建设单位需委托有资质单位对各污染源的排污达标情况等进行监测。</w:t>
      </w:r>
    </w:p>
    <w:bookmarkEnd w:id="259"/>
    <w:p>
      <w:pPr>
        <w:pStyle w:val="4"/>
      </w:pPr>
      <w:bookmarkStart w:id="262" w:name="_Toc161676153"/>
      <w:r>
        <w:t>11.9公众意见采纳情况</w:t>
      </w:r>
      <w:bookmarkEnd w:id="262"/>
    </w:p>
    <w:bookmarkEnd w:id="249"/>
    <w:p>
      <w:pPr>
        <w:pStyle w:val="215"/>
        <w:spacing w:line="460" w:lineRule="exact"/>
        <w:ind w:firstLine="480"/>
        <w:rPr>
          <w:sz w:val="24"/>
          <w:szCs w:val="24"/>
        </w:rPr>
      </w:pPr>
      <w:bookmarkStart w:id="263" w:name="_Toc179897494"/>
      <w:bookmarkStart w:id="264" w:name="_Toc179897105"/>
      <w:bookmarkStart w:id="265" w:name="_Toc179897094"/>
      <w:bookmarkStart w:id="266" w:name="_Toc179897505"/>
      <w:r>
        <w:rPr>
          <w:sz w:val="24"/>
          <w:szCs w:val="24"/>
        </w:rPr>
        <w:t>重庆峰磊矿业有限公司已按照《环境影响评价公众参与办法》（生态环境部令第4号）和《生态环境部关于发布〈环境影响评价公众参与办法〉配套文件的公告》（生态环境部公告2018年第48号）的要求，在“重庆峰磊矿业有限公司建筑石料用灰岩矿扩建工程”环境影响报告书编制阶段开展了公众参与工作，在公示期间未收到任何形式的意见反馈。已编制《重庆峰磊矿业有限公司建筑石料用灰岩矿扩建工程环境影响评价公众参与说明》。</w:t>
      </w:r>
    </w:p>
    <w:p>
      <w:pPr>
        <w:pStyle w:val="4"/>
      </w:pPr>
      <w:bookmarkStart w:id="267" w:name="_Toc161676154"/>
      <w:r>
        <w:t>11.10综合结论</w:t>
      </w:r>
      <w:bookmarkEnd w:id="267"/>
    </w:p>
    <w:p>
      <w:pPr>
        <w:pStyle w:val="222"/>
      </w:pPr>
      <w:r>
        <w:t>本项目依法取得了采矿许可证，本项目的建设符合相关产业政策、环境保护政策，符合重庆市及合川区矿产资源总体规划</w:t>
      </w:r>
      <w:r>
        <w:rPr>
          <w:bCs/>
        </w:rPr>
        <w:t>及其规划环评要求</w:t>
      </w:r>
      <w:r>
        <w:t>。通过落实评价提出的污染防治措施和生态保护、恢复治理措施后，污染物可以实现达标排放，不改变区域的环境功能，对生态环境影响较小。因此，从环境保护的角度分析，本项目建设可行。</w:t>
      </w:r>
    </w:p>
    <w:bookmarkEnd w:id="263"/>
    <w:bookmarkEnd w:id="264"/>
    <w:bookmarkEnd w:id="265"/>
    <w:bookmarkEnd w:id="266"/>
    <w:p>
      <w:pPr>
        <w:pStyle w:val="4"/>
      </w:pPr>
      <w:bookmarkStart w:id="268" w:name="_Toc161676155"/>
      <w:r>
        <w:t>11.11建议</w:t>
      </w:r>
      <w:bookmarkEnd w:id="268"/>
    </w:p>
    <w:p>
      <w:pPr>
        <w:spacing w:line="460" w:lineRule="exact"/>
        <w:ind w:firstLine="480"/>
        <w:jc w:val="both"/>
        <w:rPr>
          <w:sz w:val="24"/>
          <w:szCs w:val="24"/>
        </w:rPr>
      </w:pPr>
      <w:r>
        <w:rPr>
          <w:sz w:val="24"/>
          <w:szCs w:val="24"/>
        </w:rPr>
        <w:t>（1）该矿山严格按设计和环境恢复治理方案要求放坡、分阶开采，加强边坡的变形巡视工作。采石场开采完后，为避免周边生态地质环境恶化，应采取防治措施，并作好复耕及绿化工作。</w:t>
      </w:r>
    </w:p>
    <w:p>
      <w:pPr>
        <w:spacing w:line="460" w:lineRule="exact"/>
        <w:ind w:firstLine="480"/>
        <w:jc w:val="both"/>
      </w:pPr>
      <w:r>
        <w:rPr>
          <w:sz w:val="24"/>
          <w:szCs w:val="24"/>
        </w:rPr>
        <w:t>（2）对员工进行环保知识的培训和教育，提高员工的环保意识，具备及时处理异常事故发生。</w:t>
      </w:r>
    </w:p>
    <w:sectPr>
      <w:pgSz w:w="11907" w:h="16840"/>
      <w:pgMar w:top="1588" w:right="1418" w:bottom="1366" w:left="1418" w:header="1191" w:footer="1134" w:gutter="0"/>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20"/>
      </w:pPr>
      <w:r>
        <w:separator/>
      </w:r>
    </w:p>
  </w:endnote>
  <w:endnote w:type="continuationSeparator" w:id="1">
    <w:p>
      <w:pPr>
        <w:spacing w:line="240" w:lineRule="auto"/>
        <w:ind w:firstLine="5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Cambria">
    <w:altName w:val="Noto Sans Syriac Eastern"/>
    <w:panose1 w:val="02040503050406030204"/>
    <w:charset w:val="00"/>
    <w:family w:val="roman"/>
    <w:pitch w:val="default"/>
    <w:sig w:usb0="00000000" w:usb1="00000000" w:usb2="02000000" w:usb3="00000000" w:csb0="0000019F" w:csb1="00000000"/>
  </w:font>
  <w:font w:name="Courier New">
    <w:altName w:val="DejaVu Sans"/>
    <w:panose1 w:val="02070309020205020404"/>
    <w:charset w:val="00"/>
    <w:family w:val="modern"/>
    <w:pitch w:val="default"/>
    <w:sig w:usb0="00000000" w:usb1="00000000" w:usb2="00000009" w:usb3="00000000" w:csb0="000001FF" w:csb1="00000000"/>
  </w:font>
  <w:font w:name="Arial Narrow">
    <w:altName w:val="DejaVu Sans"/>
    <w:panose1 w:val="020B0606020202030204"/>
    <w:charset w:val="00"/>
    <w:family w:val="swiss"/>
    <w:pitch w:val="default"/>
    <w:sig w:usb0="00000000" w:usb1="00000000" w:usb2="00000000" w:usb3="00000000" w:csb0="0000009F" w:csb1="00000000"/>
  </w:font>
  <w:font w:name="仿宋_GB2312">
    <w:altName w:val="方正仿宋_GBK"/>
    <w:panose1 w:val="00000000000000000000"/>
    <w:charset w:val="86"/>
    <w:family w:val="modern"/>
    <w:pitch w:val="default"/>
    <w:sig w:usb0="00000000" w:usb1="00000000" w:usb2="00000010" w:usb3="00000000" w:csb0="00040000" w:csb1="00000000"/>
  </w:font>
  <w:font w:name="Arial">
    <w:altName w:val="DejaVu Sans"/>
    <w:panose1 w:val="020B0604020202020204"/>
    <w:charset w:val="00"/>
    <w:family w:val="swiss"/>
    <w:pitch w:val="default"/>
    <w:sig w:usb0="00000000" w:usb1="00000000" w:usb2="00000009" w:usb3="00000000" w:csb0="000001FF" w:csb1="00000000"/>
  </w:font>
  <w:font w:name="Verdana">
    <w:altName w:val="DejaVu Sans"/>
    <w:panose1 w:val="020B0604030504040204"/>
    <w:charset w:val="00"/>
    <w:family w:val="swiss"/>
    <w:pitch w:val="default"/>
    <w:sig w:usb0="00000000" w:usb1="00000000" w:usb2="00000010" w:usb3="00000000" w:csb0="0000019F" w:csb1="00000000"/>
  </w:font>
  <w:font w:name="新宋体">
    <w:altName w:val="方正书宋_GBK"/>
    <w:panose1 w:val="02010609030101010101"/>
    <w:charset w:val="86"/>
    <w:family w:val="modern"/>
    <w:pitch w:val="default"/>
    <w:sig w:usb0="00000000" w:usb1="00000000" w:usb2="00000016" w:usb3="00000000" w:csb0="00040001" w:csb1="00000000"/>
  </w:font>
  <w:font w:name="楷体_GB2312">
    <w:altName w:val="方正楷体_GBK"/>
    <w:panose1 w:val="00000000000000000000"/>
    <w:charset w:val="86"/>
    <w:family w:val="modern"/>
    <w:pitch w:val="default"/>
    <w:sig w:usb0="00000000" w:usb1="00000000" w:usb2="00000010" w:usb3="00000000" w:csb0="00040000" w:csb1="00000000"/>
  </w:font>
  <w:font w:name="”“Times New Roman”“">
    <w:altName w:val="DejaVu Sans"/>
    <w:panose1 w:val="00000000000000000000"/>
    <w:charset w:val="86"/>
    <w:family w:val="roman"/>
    <w:pitch w:val="default"/>
    <w:sig w:usb0="00000000" w:usb1="00000000" w:usb2="00000010" w:usb3="00000000" w:csb0="00040000" w:csb1="00000000"/>
  </w:font>
  <w:font w:name="Arial Unicode MS">
    <w:altName w:val="DejaVu Sans"/>
    <w:panose1 w:val="020B0604020202020204"/>
    <w:charset w:val="86"/>
    <w:family w:val="swiss"/>
    <w:pitch w:val="default"/>
    <w:sig w:usb0="00000000" w:usb1="00000000" w:usb2="0000003F" w:usb3="00000000" w:csb0="003F01FF" w:csb1="00000000"/>
  </w:font>
  <w:font w:name="幼圆">
    <w:altName w:val="汉仪中圆B5"/>
    <w:panose1 w:val="02010509060101010101"/>
    <w:charset w:val="86"/>
    <w:family w:val="modern"/>
    <w:pitch w:val="default"/>
    <w:sig w:usb0="00000000" w:usb1="00000000" w:usb2="00000010" w:usb3="00000000" w:csb0="00040000" w:csb1="00000000"/>
  </w:font>
  <w:font w:name="Garamond">
    <w:altName w:val="Noto Serif Bengali"/>
    <w:panose1 w:val="02020404030301010803"/>
    <w:charset w:val="00"/>
    <w:family w:val="roman"/>
    <w:pitch w:val="default"/>
    <w:sig w:usb0="00000000" w:usb1="00000000" w:usb2="00000000" w:usb3="00000000" w:csb0="0000009F" w:csb1="00000000"/>
  </w:font>
  <w:font w:name="Tahoma">
    <w:altName w:val="DejaVu Sans"/>
    <w:panose1 w:val="020B0604030504040204"/>
    <w:charset w:val="00"/>
    <w:family w:val="swiss"/>
    <w:pitch w:val="default"/>
    <w:sig w:usb0="00000000" w:usb1="00000000" w:usb2="00000029" w:usb3="00000000" w:csb0="000101FF" w:csb1="00000000"/>
  </w:font>
  <w:font w:name="华文中宋">
    <w:altName w:val="汉仪中宋简"/>
    <w:panose1 w:val="02010600040101010101"/>
    <w:charset w:val="86"/>
    <w:family w:val="auto"/>
    <w:pitch w:val="default"/>
    <w:sig w:usb0="00000000" w:usb1="00000000" w:usb2="00000010" w:usb3="00000000" w:csb0="0004009F" w:csb1="00000000"/>
  </w:font>
  <w:font w:name="仿宋体">
    <w:altName w:val="方正仿宋_GBK"/>
    <w:panose1 w:val="00000000000000000000"/>
    <w:charset w:val="86"/>
    <w:family w:val="roman"/>
    <w:pitch w:val="default"/>
    <w:sig w:usb0="00000000" w:usb1="00000000" w:usb2="00000010" w:usb3="00000000" w:csb0="00040000" w:csb1="00000000"/>
  </w:font>
  <w:font w:name="华文宋体">
    <w:altName w:val="方正书宋_GBK"/>
    <w:panose1 w:val="02010600040101010101"/>
    <w:charset w:val="86"/>
    <w:family w:val="auto"/>
    <w:pitch w:val="default"/>
    <w:sig w:usb0="00000000" w:usb1="00000000" w:usb2="00000010" w:usb3="00000000" w:csb0="0004009F" w:csb1="00000000"/>
  </w:font>
  <w:font w:name="宋体繁体">
    <w:altName w:val="方正书宋_GBK"/>
    <w:panose1 w:val="00000000000000000000"/>
    <w:charset w:val="86"/>
    <w:family w:val="roman"/>
    <w:pitch w:val="default"/>
    <w:sig w:usb0="00000000" w:usb1="00000000" w:usb2="00000010" w:usb3="00000000" w:csb0="00040000" w:csb1="00000000"/>
  </w:font>
  <w:font w:name="Book Antiqua">
    <w:altName w:val="Noto Sans Syriac Eastern"/>
    <w:panose1 w:val="02040602050305030304"/>
    <w:charset w:val="00"/>
    <w:family w:val="roman"/>
    <w:pitch w:val="default"/>
    <w:sig w:usb0="00000000" w:usb1="00000000" w:usb2="00000000" w:usb3="00000000" w:csb0="0000009F" w:csb1="00000000"/>
  </w:font>
  <w:font w:name="五">
    <w:altName w:val="汉仪仿宋S"/>
    <w:panose1 w:val="00000000000000000000"/>
    <w:charset w:val="86"/>
    <w:family w:val="auto"/>
    <w:pitch w:val="default"/>
    <w:sig w:usb0="00000000" w:usb1="00000000" w:usb2="00000010" w:usb3="00000000" w:csb0="00040000" w:csb1="00000000"/>
  </w:font>
  <w:font w:name="汉鼎简书宋">
    <w:altName w:val="方正书宋_GBK"/>
    <w:panose1 w:val="00000000000000000000"/>
    <w:charset w:val="86"/>
    <w:family w:val="modern"/>
    <w:pitch w:val="default"/>
    <w:sig w:usb0="00000000" w:usb1="00000000" w:usb2="00000010" w:usb3="00000000" w:csb0="00040000" w:csb1="00000000"/>
  </w:font>
  <w:font w:name="Batang">
    <w:altName w:val="方正书宋_GBK"/>
    <w:panose1 w:val="02030600000101010101"/>
    <w:charset w:val="81"/>
    <w:family w:val="roman"/>
    <w:pitch w:val="default"/>
    <w:sig w:usb0="00000000" w:usb1="00000000" w:usb2="00000030" w:usb3="00000000" w:csb0="0008009F" w:csb1="00000000"/>
  </w:font>
  <w:font w:name="Symusic">
    <w:altName w:val="汉仪中秀体简"/>
    <w:panose1 w:val="00000400000000000000"/>
    <w:charset w:val="00"/>
    <w:family w:val="auto"/>
    <w:pitch w:val="default"/>
    <w:sig w:usb0="00000000" w:usb1="00000000" w:usb2="00000000" w:usb3="00000000" w:csb0="000001FF" w:csb1="00000000"/>
  </w:font>
  <w:font w:name="华文行楷">
    <w:altName w:val="汉仪行楷简"/>
    <w:panose1 w:val="02010800040101010101"/>
    <w:charset w:val="86"/>
    <w:family w:val="auto"/>
    <w:pitch w:val="default"/>
    <w:sig w:usb0="00000000" w:usb1="00000000" w:usb2="00000010" w:usb3="00000000" w:csb0="00040000" w:csb1="00000000"/>
  </w:font>
  <w:font w:name="TimesNewRomanPSMT">
    <w:altName w:val="DejaVu Sans"/>
    <w:panose1 w:val="00000000000000000000"/>
    <w:charset w:val="86"/>
    <w:family w:val="auto"/>
    <w:pitch w:val="default"/>
    <w:sig w:usb0="00000000" w:usb1="00000000" w:usb2="00000010" w:usb3="00000000" w:csb0="00040000" w:csb1="00000000"/>
  </w:font>
  <w:font w:name="隶书">
    <w:altName w:val="方正隶书_GBK"/>
    <w:panose1 w:val="02010509060101010101"/>
    <w:charset w:val="86"/>
    <w:family w:val="modern"/>
    <w:pitch w:val="default"/>
    <w:sig w:usb0="00000000" w:usb1="00000000" w:usb2="00000010" w:usb3="00000000" w:csb0="00040000" w:csb1="00000000"/>
  </w:font>
  <w:font w:name="Times">
    <w:altName w:val="DejaVu Sans"/>
    <w:panose1 w:val="02020603050405020304"/>
    <w:charset w:val="00"/>
    <w:family w:val="roman"/>
    <w:pitch w:val="default"/>
    <w:sig w:usb0="00000000" w:usb1="00000000" w:usb2="00000009" w:usb3="00000000" w:csb0="000001FF" w:csb1="00000000"/>
  </w:font>
  <w:font w:name="Arial Black">
    <w:altName w:val="DejaVu Sans"/>
    <w:panose1 w:val="020B0A04020102020204"/>
    <w:charset w:val="00"/>
    <w:family w:val="swiss"/>
    <w:pitch w:val="default"/>
    <w:sig w:usb0="00000000" w:usb1="00000000" w:usb2="00000000" w:usb3="00000000" w:csb0="0000009F" w:csb1="00000000"/>
  </w:font>
  <w:font w:name="ˎ̥">
    <w:altName w:val="汉仪新人文宋简"/>
    <w:panose1 w:val="00000000000000000000"/>
    <w:charset w:val="00"/>
    <w:family w:val="auto"/>
    <w:pitch w:val="default"/>
    <w:sig w:usb0="00000000" w:usb1="00000000" w:usb2="00000000" w:usb3="00000000" w:csb0="00040001" w:csb1="00000000"/>
  </w:font>
  <w:font w:name="Tms Rmn">
    <w:altName w:val="Noto Serif Bengali"/>
    <w:panose1 w:val="02020603040505020304"/>
    <w:charset w:val="00"/>
    <w:family w:val="roman"/>
    <w:pitch w:val="default"/>
    <w:sig w:usb0="00000000" w:usb1="00000000" w:usb2="00000000" w:usb3="00000000" w:csb0="00000001" w:csb1="00000000"/>
  </w:font>
  <w:font w:name="@宋体">
    <w:altName w:val="方正书宋_GBK"/>
    <w:panose1 w:val="02010600030101010101"/>
    <w:charset w:val="86"/>
    <w:family w:val="auto"/>
    <w:pitch w:val="default"/>
    <w:sig w:usb0="00000000" w:usb1="00000000" w:usb2="00000016" w:usb3="00000000" w:csb0="00040001" w:csb1="00000000"/>
  </w:font>
  <w:font w:name="华文细黑">
    <w:altName w:val="汉仪中等线简"/>
    <w:panose1 w:val="02010600040101010101"/>
    <w:charset w:val="86"/>
    <w:family w:val="auto"/>
    <w:pitch w:val="default"/>
    <w:sig w:usb0="00000000" w:usb1="00000000" w:usb2="00000010" w:usb3="00000000" w:csb0="0004009F" w:csb1="00000000"/>
  </w:font>
  <w:font w:name="MS Mincho">
    <w:altName w:val="方正书宋_GBK"/>
    <w:panose1 w:val="02020609040205080304"/>
    <w:charset w:val="80"/>
    <w:family w:val="modern"/>
    <w:pitch w:val="default"/>
    <w:sig w:usb0="00000000" w:usb1="00000000" w:usb2="00000010" w:usb3="00000000" w:csb0="0002009F" w:csb1="00000000"/>
  </w:font>
  <w:font w:name="华文仿宋">
    <w:altName w:val="汉仪仿宋简"/>
    <w:panose1 w:val="02010600040101010101"/>
    <w:charset w:val="86"/>
    <w:family w:val="auto"/>
    <w:pitch w:val="default"/>
    <w:sig w:usb0="00000000" w:usb1="00000000" w:usb2="00000010" w:usb3="00000000" w:csb0="0004009F" w:csb1="00000000"/>
  </w:font>
  <w:font w:name="华文新魏">
    <w:altName w:val="方正魏碑_GBK"/>
    <w:panose1 w:val="02010800040101010101"/>
    <w:charset w:val="86"/>
    <w:family w:val="auto"/>
    <w:pitch w:val="default"/>
    <w:sig w:usb0="00000000" w:usb1="00000000" w:usb2="00000010" w:usb3="00000000" w:csb0="00040000" w:csb1="00000000"/>
  </w:font>
  <w:font w:name="CG Times (W1)">
    <w:altName w:val="DejaVu Sans"/>
    <w:panose1 w:val="00000000000000000000"/>
    <w:charset w:val="01"/>
    <w:family w:val="roman"/>
    <w:pitch w:val="default"/>
    <w:sig w:usb0="00000000" w:usb1="00000000" w:usb2="00000000" w:usb3="00000000" w:csb0="00000001" w:csb1="00000000"/>
  </w:font>
  <w:font w:name="_GB2312">
    <w:altName w:val="汉仪仿宋S"/>
    <w:panose1 w:val="00000000000000000000"/>
    <w:charset w:val="00"/>
    <w:family w:val="roman"/>
    <w:pitch w:val="default"/>
    <w:sig w:usb0="00000000" w:usb1="00000000" w:usb2="00000000" w:usb3="00000000" w:csb0="00000000" w:csb1="00000000"/>
  </w:font>
  <w:font w:name="TimesNewRoman">
    <w:altName w:val="DejaVu Sans"/>
    <w:panose1 w:val="00000000000000000000"/>
    <w:charset w:val="00"/>
    <w:family w:val="roman"/>
    <w:pitch w:val="default"/>
    <w:sig w:usb0="00000000" w:usb1="00000000" w:usb2="00000000" w:usb3="00000000" w:csb0="00000001" w:csb1="00000000"/>
  </w:font>
  <w:font w:name="微软雅黑">
    <w:altName w:val="方正黑体_GBK"/>
    <w:panose1 w:val="020B0503020204020204"/>
    <w:charset w:val="86"/>
    <w:family w:val="swiss"/>
    <w:pitch w:val="default"/>
    <w:sig w:usb0="00000000" w:usb1="00000000" w:usb2="00000016" w:usb3="00000000" w:csb0="0004001F" w:csb1="00000000"/>
  </w:font>
  <w:font w:name="仿宋">
    <w:altName w:val="方正仿宋_GBK"/>
    <w:panose1 w:val="02010609060101010101"/>
    <w:charset w:val="86"/>
    <w:family w:val="modern"/>
    <w:pitch w:val="default"/>
    <w:sig w:usb0="00000000" w:usb1="00000000" w:usb2="00000016" w:usb3="00000000" w:csb0="00040001" w:csb1="00000000"/>
  </w:font>
  <w:font w:name="Microsoft YaHei UI">
    <w:altName w:val="汉仪中圆B5"/>
    <w:panose1 w:val="020B0503020204020204"/>
    <w:charset w:val="86"/>
    <w:family w:val="swiss"/>
    <w:pitch w:val="default"/>
    <w:sig w:usb0="00000000" w:usb1="00000000" w:usb2="00000016" w:usb3="00000000" w:csb0="0004001F" w:csb1="00000000"/>
  </w:font>
  <w:font w:name="Angsana New">
    <w:altName w:val="Noto Serif Thai"/>
    <w:panose1 w:val="02020603050405020304"/>
    <w:charset w:val="DE"/>
    <w:family w:val="roman"/>
    <w:pitch w:val="default"/>
    <w:sig w:usb0="00000000" w:usb1="00000000" w:usb2="00000000" w:usb3="00000000" w:csb0="00010001" w:csb1="00000000"/>
  </w:font>
  <w:font w:name="方正楷体简体">
    <w:altName w:val="方正楷体_GBK"/>
    <w:panose1 w:val="00000000000000000000"/>
    <w:charset w:val="86"/>
    <w:family w:val="auto"/>
    <w:pitch w:val="default"/>
    <w:sig w:usb0="00000000" w:usb1="00000000" w:usb2="00000010" w:usb3="00000000" w:csb0="00040000" w:csb1="00000000"/>
  </w:font>
  <w:font w:name="方正魏碑简体">
    <w:altName w:val="方正魏碑_GBK"/>
    <w:panose1 w:val="00000000000000000000"/>
    <w:charset w:val="86"/>
    <w:family w:val="auto"/>
    <w:pitch w:val="default"/>
    <w:sig w:usb0="00000000" w:usb1="00000000" w:usb2="00000010" w:usb3="00000000" w:csb0="00040000" w:csb1="00000000"/>
  </w:font>
  <w:font w:name="Century">
    <w:altName w:val="DejaVu Serif"/>
    <w:panose1 w:val="02040604050505020304"/>
    <w:charset w:val="00"/>
    <w:family w:val="roman"/>
    <w:pitch w:val="default"/>
    <w:sig w:usb0="00000000" w:usb1="00000000" w:usb2="00000000" w:usb3="00000000" w:csb0="0000009F" w:csb1="00000000"/>
  </w:font>
  <w:font w:name="Arial Rounded MT Bold">
    <w:altName w:val="DejaVu Sans"/>
    <w:panose1 w:val="020F0704030504030204"/>
    <w:charset w:val="00"/>
    <w:family w:val="swiss"/>
    <w:pitch w:val="default"/>
    <w:sig w:usb0="00000000" w:usb1="00000000" w:usb2="00000000" w:usb3="00000000" w:csb0="00000001" w:csb1="00000000"/>
  </w:font>
  <w:font w:name="Century Schoolbook">
    <w:altName w:val="DejaVu Serif"/>
    <w:panose1 w:val="02040604050505020304"/>
    <w:charset w:val="00"/>
    <w:family w:val="roman"/>
    <w:pitch w:val="default"/>
    <w:sig w:usb0="00000000" w:usb1="00000000" w:usb2="00000000" w:usb3="00000000" w:csb0="0000009F" w:csb1="00000000"/>
  </w:font>
  <w:font w:name="Kai Titling">
    <w:altName w:val="汉仪仿宋S"/>
    <w:panose1 w:val="00000000000000000000"/>
    <w:charset w:val="86"/>
    <w:family w:val="auto"/>
    <w:pitch w:val="default"/>
    <w:sig w:usb0="00000000" w:usb1="00000000" w:usb2="00000010" w:usb3="00000000" w:csb0="00040000" w:csb1="00000000"/>
  </w:font>
  <w:font w:name="ӗԲ">
    <w:altName w:val="汉仪新人文宋简"/>
    <w:panose1 w:val="00000000000000000000"/>
    <w:charset w:val="00"/>
    <w:family w:val="auto"/>
    <w:pitch w:val="default"/>
    <w:sig w:usb0="00000000" w:usb1="00000000" w:usb2="00000000" w:usb3="00000000" w:csb0="00040001" w:csb1="00000000"/>
  </w:font>
  <w:font w:name="򌘺ڢ,  ڌ墬 ˎ̥">
    <w:altName w:val="汉仪仿宋S"/>
    <w:panose1 w:val="00000000000000000000"/>
    <w:charset w:val="86"/>
    <w:family w:val="auto"/>
    <w:pitch w:val="default"/>
    <w:sig w:usb0="00000000" w:usb1="00000000" w:usb2="00000010" w:usb3="00000000" w:csb0="00040000" w:csb1="00000000"/>
  </w:font>
  <w:font w:name="Cambria Math">
    <w:altName w:val="DejaVu Math TeX Gyre"/>
    <w:panose1 w:val="02040503050406030204"/>
    <w:charset w:val="00"/>
    <w:family w:val="roman"/>
    <w:pitch w:val="default"/>
    <w:sig w:usb0="00000000" w:usb1="00000000" w:usb2="02000000" w:usb3="00000000" w:csb0="0000019F"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oto Sans Syriac Eastern">
    <w:panose1 w:val="02040503050306020203"/>
    <w:charset w:val="86"/>
    <w:family w:val="auto"/>
    <w:pitch w:val="default"/>
    <w:sig w:usb0="00000000" w:usb1="00000000" w:usb2="00000080" w:usb3="00000000" w:csb0="203E0161" w:csb1="D7FF0000"/>
  </w:font>
  <w:font w:name="方正宋体S-超大字符集">
    <w:panose1 w:val="02000000000000000000"/>
    <w:charset w:val="86"/>
    <w:family w:val="auto"/>
    <w:pitch w:val="default"/>
    <w:sig w:usb0="00000001" w:usb1="08000000" w:usb2="00000000" w:usb3="00000000" w:csb0="00040000" w:csb1="00000000"/>
  </w:font>
  <w:font w:name="Noto Sans CJK JP Bold">
    <w:panose1 w:val="020B0800000000000000"/>
    <w:charset w:val="86"/>
    <w:family w:val="auto"/>
    <w:pitch w:val="default"/>
    <w:sig w:usb0="30000003" w:usb1="2BDF3C10" w:usb2="00000016" w:usb3="00000000" w:csb0="602E0107" w:csb1="00000000"/>
  </w:font>
  <w:font w:name="方正黑体_GBK">
    <w:panose1 w:val="02000000000000000000"/>
    <w:charset w:val="86"/>
    <w:family w:val="auto"/>
    <w:pitch w:val="default"/>
    <w:sig w:usb0="00000001" w:usb1="08000000" w:usb2="00000000" w:usb3="00000000" w:csb0="00040000" w:csb1="00000000"/>
  </w:font>
  <w:font w:name="DejaVu Math TeX Gyre">
    <w:panose1 w:val="02000503000000000000"/>
    <w:charset w:val="00"/>
    <w:family w:val="auto"/>
    <w:pitch w:val="default"/>
    <w:sig w:usb0="A10000EF" w:usb1="4201F9EE" w:usb2="02000000" w:usb3="00000000" w:csb0="60000193" w:csb1="0DD40000"/>
  </w:font>
  <w:font w:name="方正仿宋_GBK">
    <w:panose1 w:val="02000000000000000000"/>
    <w:charset w:val="86"/>
    <w:family w:val="script"/>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pPr>
    <w:r>
      <w:fldChar w:fldCharType="begin"/>
    </w:r>
    <w:r>
      <w:instrText xml:space="preserve">PAGE   \* MERGEFORMAT</w:instrText>
    </w:r>
    <w:r>
      <w:fldChar w:fldCharType="separate"/>
    </w:r>
    <w:r>
      <w:rPr>
        <w:lang w:val="zh-CN"/>
      </w:rPr>
      <w:t>229</w:t>
    </w:r>
    <w:r>
      <w:rPr>
        <w:lang w:val="zh-CN"/>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pPr>
    <w:r>
      <w:fldChar w:fldCharType="begin"/>
    </w:r>
    <w:r>
      <w:instrText xml:space="preserve">PAGE   \* MERGEFORMAT</w:instrText>
    </w:r>
    <w:r>
      <w:fldChar w:fldCharType="separate"/>
    </w:r>
    <w:r>
      <w:rPr>
        <w:lang w:val="zh-CN"/>
      </w:rPr>
      <w:t>110</w:t>
    </w:r>
    <w:r>
      <w:rPr>
        <w:lang w:val="zh-CN"/>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20"/>
    </w:pPr>
    <w:r>
      <w:cr/>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8315886"/>
    </w:sdtPr>
    <w:sdtContent>
      <w:p>
        <w:pPr>
          <w:pStyle w:val="55"/>
        </w:pPr>
        <w:r>
          <w:fldChar w:fldCharType="begin"/>
        </w:r>
        <w:r>
          <w:instrText xml:space="preserve">PAGE   \* MERGEFORMAT</w:instrText>
        </w:r>
        <w:r>
          <w:fldChar w:fldCharType="separate"/>
        </w:r>
        <w:r>
          <w:rPr>
            <w:lang w:val="zh-CN"/>
          </w:rPr>
          <w:t>148</w:t>
        </w:r>
        <w:r>
          <w:rPr>
            <w:lang w:val="zh-CN"/>
          </w:rPr>
          <w:fldChar w:fldCharType="end"/>
        </w:r>
        <w:r>
          <w:rPr>
            <w:rFonts w:hint="eastAsia"/>
          </w:rPr>
          <w:t xml:space="preserve">                  </w:t>
        </w:r>
      </w:p>
    </w:sdtContent>
  </w:sdt>
  <w:p>
    <w:pPr>
      <w:pStyle w:val="5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14775514"/>
    </w:sdtPr>
    <w:sdtContent>
      <w:p>
        <w:pPr>
          <w:pStyle w:val="55"/>
        </w:pPr>
        <w:r>
          <w:fldChar w:fldCharType="begin"/>
        </w:r>
        <w:r>
          <w:instrText xml:space="preserve">PAGE   \* MERGEFORMAT</w:instrText>
        </w:r>
        <w:r>
          <w:fldChar w:fldCharType="separate"/>
        </w:r>
        <w:r>
          <w:rPr>
            <w:lang w:val="zh-CN"/>
          </w:rPr>
          <w:t>182</w:t>
        </w:r>
        <w:r>
          <w:rPr>
            <w:lang w:val="zh-CN"/>
          </w:rPr>
          <w:fldChar w:fldCharType="end"/>
        </w:r>
        <w:r>
          <w:rPr>
            <w:rFonts w:hint="eastAsia"/>
          </w:rPr>
          <w:t xml:space="preserve">                  </w:t>
        </w:r>
      </w:p>
    </w:sdtContent>
  </w:sdt>
  <w:p>
    <w:pPr>
      <w:pStyle w:val="5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80249607"/>
    </w:sdtPr>
    <w:sdtContent>
      <w:p>
        <w:pPr>
          <w:pStyle w:val="55"/>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pPr>
    <w:r>
      <w:fldChar w:fldCharType="begin"/>
    </w:r>
    <w:r>
      <w:instrText xml:space="preserve">PAGE   \* MERGEFORMAT</w:instrText>
    </w:r>
    <w:r>
      <w:fldChar w:fldCharType="separate"/>
    </w:r>
    <w:r>
      <w:rPr>
        <w:lang w:val="zh-CN"/>
      </w:rPr>
      <w:t>14</w:t>
    </w:r>
    <w:r>
      <w:rPr>
        <w:lang w:val="zh-C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65490439"/>
    </w:sdtPr>
    <w:sdtContent>
      <w:p>
        <w:pPr>
          <w:pStyle w:val="55"/>
        </w:pPr>
        <w:r>
          <w:fldChar w:fldCharType="begin"/>
        </w:r>
        <w:r>
          <w:instrText xml:space="preserve">PAGE   \* MERGEFORMAT</w:instrText>
        </w:r>
        <w:r>
          <w:fldChar w:fldCharType="separate"/>
        </w:r>
        <w:r>
          <w:rPr>
            <w:lang w:val="zh-CN"/>
          </w:rPr>
          <w:t>66</w:t>
        </w:r>
        <w:r>
          <w:rPr>
            <w:lang w:val="zh-CN"/>
          </w:rPr>
          <w:fldChar w:fldCharType="end"/>
        </w:r>
        <w:r>
          <w:rPr>
            <w:rFonts w:hint="eastAsia"/>
          </w:rPr>
          <w:t xml:space="preserve">               </w: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27050279"/>
    </w:sdtPr>
    <w:sdtContent>
      <w:p>
        <w:pPr>
          <w:pStyle w:val="55"/>
        </w:pPr>
        <w:r>
          <w:fldChar w:fldCharType="begin"/>
        </w:r>
        <w:r>
          <w:instrText xml:space="preserve">PAGE   \* MERGEFORMAT</w:instrText>
        </w:r>
        <w:r>
          <w:fldChar w:fldCharType="separate"/>
        </w:r>
        <w:r>
          <w:rPr>
            <w:lang w:val="zh-CN"/>
          </w:rPr>
          <w:t>66</w:t>
        </w:r>
        <w:r>
          <w:rPr>
            <w:lang w:val="zh-CN"/>
          </w:rPr>
          <w:fldChar w:fldCharType="end"/>
        </w:r>
        <w:r>
          <w:rPr>
            <w:rFonts w:hint="eastAsia"/>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20"/>
      </w:pPr>
      <w:r>
        <w:separator/>
      </w:r>
    </w:p>
  </w:footnote>
  <w:footnote w:type="continuationSeparator" w:id="1">
    <w:p>
      <w:pPr>
        <w:spacing w:line="240" w:lineRule="auto"/>
        <w:ind w:firstLine="5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rPr>
        <w:rFonts w:hint="eastAsia"/>
      </w:rPr>
      <w:t>南川区城镇污泥无害化协同处置技改项目环境影响报告书</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t>重庆宏锦年产</w:t>
    </w:r>
    <w:r>
      <w:rPr>
        <w:rFonts w:hint="eastAsia"/>
      </w:rPr>
      <w:t>2万吨锰合金生产线</w:t>
    </w:r>
    <w:r>
      <w:t>项目环境影响报告书</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2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rPr>
        <w:rFonts w:hint="eastAsia"/>
      </w:rPr>
      <w:t>南川区城镇污泥无害化协同处置技改项目环境影响报告书</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rPr>
        <w:rFonts w:hint="eastAsia"/>
      </w:rPr>
      <w:t>南川区城镇污泥无害化协同处置技改项目环境影响报告书</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rPr>
        <w:rFonts w:hint="eastAsia"/>
      </w:rPr>
      <w:t>重庆峰磊矿业有限公司建筑石料用灰岩矿扩建工程</w:t>
    </w:r>
    <w:r>
      <w:t xml:space="preserve">                                                     </w:t>
    </w:r>
    <w:r>
      <w:rPr>
        <w:rFonts w:hint="eastAsia"/>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rPr>
        <w:rFonts w:hint="eastAsia"/>
      </w:rPr>
      <w:t>重庆峰磊矿业有限公司建筑石料用灰岩矿扩建工程</w:t>
    </w:r>
    <w:r>
      <w:t xml:space="preserve">                                                 </w:t>
    </w:r>
    <w:r>
      <w:rPr>
        <w:rFonts w:hint="eastAsia"/>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t>重庆宏锦年产2万吨锰合金生产线项目环境影响报告书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r>
      <w:rPr>
        <w:rFonts w:hint="eastAsia"/>
      </w:rPr>
      <w:t>南川区城镇污泥无害化协同处置技改项目环境影响报告书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83DFF8"/>
    <w:multiLevelType w:val="singleLevel"/>
    <w:tmpl w:val="9D83DFF8"/>
    <w:lvl w:ilvl="0" w:tentative="0">
      <w:start w:val="4"/>
      <w:numFmt w:val="decimal"/>
      <w:suff w:val="nothing"/>
      <w:lvlText w:val="（%1）"/>
      <w:lvlJc w:val="left"/>
    </w:lvl>
  </w:abstractNum>
  <w:abstractNum w:abstractNumId="1">
    <w:nsid w:val="D43C3501"/>
    <w:multiLevelType w:val="singleLevel"/>
    <w:tmpl w:val="D43C3501"/>
    <w:lvl w:ilvl="0" w:tentative="0">
      <w:start w:val="2"/>
      <w:numFmt w:val="decimal"/>
      <w:suff w:val="nothing"/>
      <w:lvlText w:val="（%1）"/>
      <w:lvlJc w:val="left"/>
    </w:lvl>
  </w:abstractNum>
  <w:abstractNum w:abstractNumId="2">
    <w:nsid w:val="DD2EEAB6"/>
    <w:multiLevelType w:val="singleLevel"/>
    <w:tmpl w:val="DD2EEAB6"/>
    <w:lvl w:ilvl="0" w:tentative="0">
      <w:start w:val="1"/>
      <w:numFmt w:val="decimal"/>
      <w:suff w:val="nothing"/>
      <w:lvlText w:val="（%1）"/>
      <w:lvlJc w:val="left"/>
    </w:lvl>
  </w:abstractNum>
  <w:abstractNum w:abstractNumId="3">
    <w:nsid w:val="FFFFFF7F"/>
    <w:multiLevelType w:val="singleLevel"/>
    <w:tmpl w:val="FFFFFF7F"/>
    <w:lvl w:ilvl="0" w:tentative="0">
      <w:start w:val="1"/>
      <w:numFmt w:val="decimal"/>
      <w:pStyle w:val="14"/>
      <w:lvlText w:val="1.%1"/>
      <w:lvlJc w:val="left"/>
      <w:pPr>
        <w:ind w:left="751" w:hanging="420"/>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abstractNum>
  <w:abstractNum w:abstractNumId="4">
    <w:nsid w:val="FFFFFF88"/>
    <w:multiLevelType w:val="singleLevel"/>
    <w:tmpl w:val="FFFFFF88"/>
    <w:lvl w:ilvl="0" w:tentative="0">
      <w:start w:val="1"/>
      <w:numFmt w:val="decimal"/>
      <w:pStyle w:val="15"/>
      <w:lvlText w:val="%1."/>
      <w:lvlJc w:val="left"/>
      <w:pPr>
        <w:tabs>
          <w:tab w:val="left" w:pos="360"/>
        </w:tabs>
        <w:ind w:left="360" w:hanging="360" w:hangingChars="200"/>
      </w:pPr>
    </w:lvl>
  </w:abstractNum>
  <w:abstractNum w:abstractNumId="5">
    <w:nsid w:val="065476A7"/>
    <w:multiLevelType w:val="multilevel"/>
    <w:tmpl w:val="065476A7"/>
    <w:lvl w:ilvl="0" w:tentative="0">
      <w:start w:val="1"/>
      <w:numFmt w:val="decimal"/>
      <w:pStyle w:val="3"/>
      <w:lvlText w:val="%1"/>
      <w:lvlJc w:val="left"/>
      <w:pPr>
        <w:ind w:left="0" w:firstLine="0"/>
      </w:pPr>
      <w:rPr>
        <w:rFonts w:hint="eastAsia"/>
      </w:rPr>
    </w:lvl>
    <w:lvl w:ilvl="1" w:tentative="0">
      <w:start w:val="1"/>
      <w:numFmt w:val="decimal"/>
      <w:suff w:val="space"/>
      <w:lvlText w:val="%1.%2"/>
      <w:lvlJc w:val="left"/>
      <w:pPr>
        <w:ind w:left="0" w:firstLine="0"/>
      </w:pPr>
      <w:rPr>
        <w:rFonts w:hint="eastAsia"/>
        <w:color w:val="auto"/>
      </w:rPr>
    </w:lvl>
    <w:lvl w:ilvl="2" w:tentative="0">
      <w:start w:val="1"/>
      <w:numFmt w:val="decimal"/>
      <w:suff w:val="space"/>
      <w:lvlText w:val="%1.%2.%3"/>
      <w:lvlJc w:val="left"/>
      <w:pPr>
        <w:ind w:left="0" w:firstLine="0"/>
      </w:pPr>
      <w:rPr>
        <w:b/>
        <w:bCs w:val="0"/>
        <w:i w:val="0"/>
        <w:iCs w:val="0"/>
        <w:caps w:val="0"/>
        <w:smallCaps w:val="0"/>
        <w:strike w:val="0"/>
        <w:dstrike w:val="0"/>
        <w:vanish w:val="0"/>
        <w:color w:val="000000"/>
        <w:spacing w:val="0"/>
        <w:position w:val="0"/>
        <w:u w:val="none"/>
        <w:vertAlign w:val="baseline"/>
      </w:rPr>
    </w:lvl>
    <w:lvl w:ilvl="3" w:tentative="0">
      <w:start w:val="1"/>
      <w:numFmt w:val="decimal"/>
      <w:pStyle w:val="6"/>
      <w:suff w:val="space"/>
      <w:lvlText w:val="%1.%2.%3.%4"/>
      <w:lvlJc w:val="left"/>
      <w:pPr>
        <w:ind w:left="0" w:firstLine="0"/>
      </w:pPr>
      <w:rPr>
        <w:rFonts w:hint="eastAsia"/>
      </w:rPr>
    </w:lvl>
    <w:lvl w:ilvl="4" w:tentative="0">
      <w:start w:val="1"/>
      <w:numFmt w:val="decimal"/>
      <w:lvlRestart w:val="2"/>
      <w:suff w:val="space"/>
      <w:lvlText w:val="表%1.%2-%5"/>
      <w:lvlJc w:val="center"/>
      <w:pPr>
        <w:ind w:left="0" w:firstLine="0"/>
      </w:pPr>
      <w:rPr>
        <w:rFonts w:ascii="Times New Roman" w:hAnsi="Times New Roman" w:cs="Times New Roman"/>
        <w:b w:val="0"/>
        <w:bCs w:val="0"/>
        <w:i w:val="0"/>
        <w:iCs w:val="0"/>
        <w:caps w:val="0"/>
        <w:smallCaps w:val="0"/>
        <w:strike w:val="0"/>
        <w:dstrike w:val="0"/>
        <w:vanish w:val="0"/>
        <w:color w:val="000000"/>
        <w:spacing w:val="0"/>
        <w:position w:val="0"/>
        <w:sz w:val="26"/>
        <w:szCs w:val="26"/>
        <w:u w:val="none"/>
        <w:vertAlign w:val="baseline"/>
        <w:lang w:val="ru-RU"/>
      </w:rPr>
    </w:lvl>
    <w:lvl w:ilvl="5" w:tentative="0">
      <w:start w:val="1"/>
      <w:numFmt w:val="decimal"/>
      <w:pStyle w:val="8"/>
      <w:lvlText w:val="%1.%2.%3.%4.%5.%6"/>
      <w:lvlJc w:val="left"/>
      <w:pPr>
        <w:ind w:left="0" w:firstLine="0"/>
      </w:pPr>
      <w:rPr>
        <w:rFonts w:hint="eastAsia"/>
      </w:rPr>
    </w:lvl>
    <w:lvl w:ilvl="6" w:tentative="0">
      <w:start w:val="1"/>
      <w:numFmt w:val="decimal"/>
      <w:pStyle w:val="9"/>
      <w:lvlText w:val="%1.%2.%3.%4.%5.%6.%7"/>
      <w:lvlJc w:val="left"/>
      <w:pPr>
        <w:ind w:left="0" w:firstLine="0"/>
      </w:pPr>
      <w:rPr>
        <w:rFonts w:hint="eastAsia"/>
      </w:rPr>
    </w:lvl>
    <w:lvl w:ilvl="7" w:tentative="0">
      <w:start w:val="1"/>
      <w:numFmt w:val="decimal"/>
      <w:pStyle w:val="10"/>
      <w:lvlText w:val="%1.%2.%3.%4.%5.%6.%7.%8"/>
      <w:lvlJc w:val="left"/>
      <w:pPr>
        <w:ind w:left="0" w:firstLine="0"/>
      </w:pPr>
      <w:rPr>
        <w:rFonts w:hint="eastAsia"/>
      </w:rPr>
    </w:lvl>
    <w:lvl w:ilvl="8" w:tentative="0">
      <w:start w:val="1"/>
      <w:numFmt w:val="decimal"/>
      <w:pStyle w:val="11"/>
      <w:lvlText w:val="%1.%2.%3.%4.%5.%6.%7.%8.%9"/>
      <w:lvlJc w:val="left"/>
      <w:pPr>
        <w:ind w:left="0" w:firstLine="0"/>
      </w:pPr>
      <w:rPr>
        <w:rFonts w:hint="eastAsia"/>
      </w:rPr>
    </w:lvl>
  </w:abstractNum>
  <w:abstractNum w:abstractNumId="6">
    <w:nsid w:val="0BCF2CD0"/>
    <w:multiLevelType w:val="multilevel"/>
    <w:tmpl w:val="0BCF2CD0"/>
    <w:lvl w:ilvl="0" w:tentative="0">
      <w:start w:val="1"/>
      <w:numFmt w:val="decimal"/>
      <w:pStyle w:val="1155"/>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28381E74"/>
    <w:multiLevelType w:val="multilevel"/>
    <w:tmpl w:val="28381E7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AB17636"/>
    <w:multiLevelType w:val="multilevel"/>
    <w:tmpl w:val="2AB17636"/>
    <w:lvl w:ilvl="0" w:tentative="0">
      <w:start w:val="1"/>
      <w:numFmt w:val="decimal"/>
      <w:pStyle w:val="452"/>
      <w:lvlText w:val="（%1）"/>
      <w:lvlJc w:val="left"/>
      <w:pPr>
        <w:tabs>
          <w:tab w:val="left" w:pos="1416"/>
        </w:tabs>
        <w:ind w:left="1416" w:hanging="720"/>
      </w:pPr>
      <w:rPr>
        <w:rFonts w:hint="eastAsia"/>
      </w:rPr>
    </w:lvl>
    <w:lvl w:ilvl="1" w:tentative="0">
      <w:start w:val="1"/>
      <w:numFmt w:val="lowerLetter"/>
      <w:lvlText w:val="%2)"/>
      <w:lvlJc w:val="left"/>
      <w:pPr>
        <w:tabs>
          <w:tab w:val="left" w:pos="420"/>
        </w:tabs>
        <w:ind w:left="420" w:hanging="420"/>
      </w:pPr>
    </w:lvl>
    <w:lvl w:ilvl="2" w:tentative="0">
      <w:start w:val="1"/>
      <w:numFmt w:val="lowerRoman"/>
      <w:lvlText w:val="%3."/>
      <w:lvlJc w:val="right"/>
      <w:pPr>
        <w:tabs>
          <w:tab w:val="left" w:pos="840"/>
        </w:tabs>
        <w:ind w:left="840" w:hanging="420"/>
      </w:pPr>
    </w:lvl>
    <w:lvl w:ilvl="3" w:tentative="0">
      <w:start w:val="1"/>
      <w:numFmt w:val="decimal"/>
      <w:lvlText w:val="%4."/>
      <w:lvlJc w:val="left"/>
      <w:pPr>
        <w:tabs>
          <w:tab w:val="left" w:pos="1260"/>
        </w:tabs>
        <w:ind w:left="1260" w:hanging="420"/>
      </w:pPr>
    </w:lvl>
    <w:lvl w:ilvl="4" w:tentative="0">
      <w:start w:val="1"/>
      <w:numFmt w:val="lowerLetter"/>
      <w:lvlText w:val="%5)"/>
      <w:lvlJc w:val="left"/>
      <w:pPr>
        <w:tabs>
          <w:tab w:val="left" w:pos="1680"/>
        </w:tabs>
        <w:ind w:left="1680" w:hanging="420"/>
      </w:pPr>
    </w:lvl>
    <w:lvl w:ilvl="5" w:tentative="0">
      <w:start w:val="1"/>
      <w:numFmt w:val="lowerRoman"/>
      <w:lvlText w:val="%6."/>
      <w:lvlJc w:val="right"/>
      <w:pPr>
        <w:tabs>
          <w:tab w:val="left" w:pos="2100"/>
        </w:tabs>
        <w:ind w:left="2100" w:hanging="420"/>
      </w:pPr>
    </w:lvl>
    <w:lvl w:ilvl="6" w:tentative="0">
      <w:start w:val="1"/>
      <w:numFmt w:val="decimal"/>
      <w:lvlText w:val="%7."/>
      <w:lvlJc w:val="left"/>
      <w:pPr>
        <w:tabs>
          <w:tab w:val="left" w:pos="2520"/>
        </w:tabs>
        <w:ind w:left="2520" w:hanging="420"/>
      </w:pPr>
    </w:lvl>
    <w:lvl w:ilvl="7" w:tentative="0">
      <w:start w:val="1"/>
      <w:numFmt w:val="lowerLetter"/>
      <w:lvlText w:val="%8)"/>
      <w:lvlJc w:val="left"/>
      <w:pPr>
        <w:tabs>
          <w:tab w:val="left" w:pos="2940"/>
        </w:tabs>
        <w:ind w:left="2940" w:hanging="420"/>
      </w:pPr>
    </w:lvl>
    <w:lvl w:ilvl="8" w:tentative="0">
      <w:start w:val="1"/>
      <w:numFmt w:val="lowerRoman"/>
      <w:lvlText w:val="%9."/>
      <w:lvlJc w:val="right"/>
      <w:pPr>
        <w:tabs>
          <w:tab w:val="left" w:pos="3360"/>
        </w:tabs>
        <w:ind w:left="3360" w:hanging="420"/>
      </w:pPr>
    </w:lvl>
  </w:abstractNum>
  <w:abstractNum w:abstractNumId="9">
    <w:nsid w:val="2B3F3991"/>
    <w:multiLevelType w:val="multilevel"/>
    <w:tmpl w:val="2B3F3991"/>
    <w:lvl w:ilvl="0" w:tentative="0">
      <w:start w:val="1"/>
      <w:numFmt w:val="decimal"/>
      <w:pStyle w:val="761"/>
      <w:lvlText w:val="第%1章"/>
      <w:lvlJc w:val="center"/>
      <w:pPr>
        <w:tabs>
          <w:tab w:val="left" w:pos="680"/>
        </w:tabs>
        <w:ind w:left="851" w:hanging="851"/>
      </w:pPr>
      <w:rPr>
        <w:rFonts w:hint="default" w:ascii="Arial" w:hAnsi="Arial" w:cs="Times New Roman"/>
      </w:rPr>
    </w:lvl>
    <w:lvl w:ilvl="1" w:tentative="0">
      <w:start w:val="1"/>
      <w:numFmt w:val="decimal"/>
      <w:lvlText w:val="%1.%2"/>
      <w:lvlJc w:val="left"/>
      <w:pPr>
        <w:tabs>
          <w:tab w:val="left" w:pos="567"/>
        </w:tabs>
        <w:ind w:left="0" w:firstLine="0"/>
      </w:pPr>
      <w:rPr>
        <w:rFonts w:hint="default" w:ascii="Arial" w:hAnsi="Arial" w:cs="Times New Roman"/>
      </w:rPr>
    </w:lvl>
    <w:lvl w:ilvl="2" w:tentative="0">
      <w:start w:val="1"/>
      <w:numFmt w:val="decimal"/>
      <w:isLgl/>
      <w:lvlText w:val="%1.%2.%3"/>
      <w:lvlJc w:val="left"/>
      <w:pPr>
        <w:tabs>
          <w:tab w:val="left" w:pos="680"/>
        </w:tabs>
        <w:ind w:left="0" w:firstLine="0"/>
      </w:pPr>
      <w:rPr>
        <w:rFonts w:hint="default" w:ascii="Arial" w:hAnsi="Arial" w:cs="Times New Roman"/>
        <w:b w:val="0"/>
        <w:i w:val="0"/>
      </w:rPr>
    </w:lvl>
    <w:lvl w:ilvl="3" w:tentative="0">
      <w:start w:val="1"/>
      <w:numFmt w:val="decimal"/>
      <w:lvlText w:val="%1.%2.%3.%4"/>
      <w:lvlJc w:val="left"/>
      <w:pPr>
        <w:tabs>
          <w:tab w:val="left" w:pos="1080"/>
        </w:tabs>
        <w:ind w:left="1080" w:hanging="1080"/>
      </w:pPr>
      <w:rPr>
        <w:rFonts w:hint="default"/>
      </w:rPr>
    </w:lvl>
    <w:lvl w:ilvl="4" w:tentative="0">
      <w:start w:val="1"/>
      <w:numFmt w:val="decimal"/>
      <w:lvlText w:val="%1.%2.%3.%4.%5"/>
      <w:lvlJc w:val="left"/>
      <w:pPr>
        <w:tabs>
          <w:tab w:val="left" w:pos="1440"/>
        </w:tabs>
        <w:ind w:left="1440" w:hanging="1440"/>
      </w:pPr>
      <w:rPr>
        <w:rFonts w:hint="default"/>
      </w:rPr>
    </w:lvl>
    <w:lvl w:ilvl="5" w:tentative="0">
      <w:start w:val="1"/>
      <w:numFmt w:val="decimal"/>
      <w:lvlText w:val="%1.%2.%3.%4.%5.%6"/>
      <w:lvlJc w:val="left"/>
      <w:pPr>
        <w:tabs>
          <w:tab w:val="left" w:pos="1800"/>
        </w:tabs>
        <w:ind w:left="1800" w:hanging="1800"/>
      </w:pPr>
      <w:rPr>
        <w:rFonts w:hint="default"/>
      </w:rPr>
    </w:lvl>
    <w:lvl w:ilvl="6" w:tentative="0">
      <w:start w:val="1"/>
      <w:numFmt w:val="decimal"/>
      <w:lvlText w:val="%1.%2.%3.%4.%5.%6.%7"/>
      <w:lvlJc w:val="left"/>
      <w:pPr>
        <w:tabs>
          <w:tab w:val="left" w:pos="2160"/>
        </w:tabs>
        <w:ind w:left="2160" w:hanging="2160"/>
      </w:pPr>
      <w:rPr>
        <w:rFonts w:hint="default"/>
      </w:rPr>
    </w:lvl>
    <w:lvl w:ilvl="7" w:tentative="0">
      <w:start w:val="1"/>
      <w:numFmt w:val="decimal"/>
      <w:lvlText w:val="%1.%2.%3.%4.%5.%6.%7.%8"/>
      <w:lvlJc w:val="left"/>
      <w:pPr>
        <w:tabs>
          <w:tab w:val="left" w:pos="2160"/>
        </w:tabs>
        <w:ind w:left="2160" w:hanging="2160"/>
      </w:pPr>
      <w:rPr>
        <w:rFonts w:hint="default"/>
      </w:rPr>
    </w:lvl>
    <w:lvl w:ilvl="8" w:tentative="0">
      <w:start w:val="1"/>
      <w:numFmt w:val="decimal"/>
      <w:lvlText w:val="%1.%2.%3.%4.%5.%6.%7.%8.%9"/>
      <w:lvlJc w:val="left"/>
      <w:pPr>
        <w:tabs>
          <w:tab w:val="left" w:pos="2520"/>
        </w:tabs>
        <w:ind w:left="2520" w:hanging="2520"/>
      </w:pPr>
      <w:rPr>
        <w:rFonts w:hint="default"/>
      </w:rPr>
    </w:lvl>
  </w:abstractNum>
  <w:abstractNum w:abstractNumId="10">
    <w:nsid w:val="2FE153A5"/>
    <w:multiLevelType w:val="singleLevel"/>
    <w:tmpl w:val="2FE153A5"/>
    <w:lvl w:ilvl="0" w:tentative="0">
      <w:start w:val="2"/>
      <w:numFmt w:val="decimal"/>
      <w:suff w:val="nothing"/>
      <w:lvlText w:val="（%1）"/>
      <w:lvlJc w:val="left"/>
    </w:lvl>
  </w:abstractNum>
  <w:abstractNum w:abstractNumId="11">
    <w:nsid w:val="37EB5FDF"/>
    <w:multiLevelType w:val="multilevel"/>
    <w:tmpl w:val="37EB5FDF"/>
    <w:lvl w:ilvl="0" w:tentative="0">
      <w:start w:val="1"/>
      <w:numFmt w:val="decimal"/>
      <w:pStyle w:val="1159"/>
      <w:lvlText w:val="2.%1、"/>
      <w:lvlJc w:val="left"/>
      <w:pPr>
        <w:tabs>
          <w:tab w:val="left" w:pos="420"/>
        </w:tabs>
        <w:ind w:left="420" w:hanging="420"/>
      </w:pPr>
      <w:rPr>
        <w:rFonts w:hint="eastAsia"/>
      </w:rPr>
    </w:lvl>
    <w:lvl w:ilvl="1" w:tentative="0">
      <w:start w:val="1"/>
      <w:numFmt w:val="decimal"/>
      <w:lvlText w:val="（%2）"/>
      <w:lvlJc w:val="left"/>
      <w:pPr>
        <w:tabs>
          <w:tab w:val="left" w:pos="1140"/>
        </w:tabs>
        <w:ind w:left="1140" w:hanging="720"/>
      </w:pPr>
      <w:rPr>
        <w:rFonts w:hint="default"/>
      </w:rPr>
    </w:lvl>
    <w:lvl w:ilvl="2" w:tentative="0">
      <w:start w:val="1"/>
      <w:numFmt w:val="decimal"/>
      <w:lvlText w:val="（%3)"/>
      <w:lvlJc w:val="left"/>
      <w:pPr>
        <w:tabs>
          <w:tab w:val="left" w:pos="1200"/>
        </w:tabs>
        <w:ind w:left="1200" w:hanging="360"/>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39B771D5"/>
    <w:multiLevelType w:val="multilevel"/>
    <w:tmpl w:val="39B771D5"/>
    <w:lvl w:ilvl="0" w:tentative="0">
      <w:start w:val="1"/>
      <w:numFmt w:val="decimal"/>
      <w:pStyle w:val="572"/>
      <w:lvlText w:val="%1"/>
      <w:lvlJc w:val="left"/>
      <w:pPr>
        <w:tabs>
          <w:tab w:val="left" w:pos="0"/>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3">
    <w:nsid w:val="45DA014B"/>
    <w:multiLevelType w:val="multilevel"/>
    <w:tmpl w:val="45DA014B"/>
    <w:lvl w:ilvl="0" w:tentative="0">
      <w:start w:val="1"/>
      <w:numFmt w:val="decimal"/>
      <w:pStyle w:val="175"/>
      <w:lvlText w:val="（%1）"/>
      <w:lvlJc w:val="left"/>
      <w:pPr>
        <w:ind w:left="620" w:hanging="420"/>
      </w:pPr>
      <w:rPr>
        <w:rFonts w:hint="eastAsia"/>
        <w:snapToGrid w:val="0"/>
        <w:position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536B6F1D"/>
    <w:multiLevelType w:val="singleLevel"/>
    <w:tmpl w:val="536B6F1D"/>
    <w:lvl w:ilvl="0" w:tentative="0">
      <w:start w:val="1"/>
      <w:numFmt w:val="bullet"/>
      <w:pStyle w:val="593"/>
      <w:lvlText w:val=""/>
      <w:lvlJc w:val="left"/>
      <w:pPr>
        <w:tabs>
          <w:tab w:val="left" w:pos="425"/>
        </w:tabs>
        <w:ind w:left="425" w:hanging="425"/>
      </w:pPr>
      <w:rPr>
        <w:rFonts w:hint="default" w:ascii="Wingdings" w:hAnsi="Wingdings"/>
        <w:sz w:val="21"/>
      </w:rPr>
    </w:lvl>
  </w:abstractNum>
  <w:abstractNum w:abstractNumId="15">
    <w:nsid w:val="5510521F"/>
    <w:multiLevelType w:val="singleLevel"/>
    <w:tmpl w:val="5510521F"/>
    <w:lvl w:ilvl="0" w:tentative="0">
      <w:start w:val="1"/>
      <w:numFmt w:val="decimal"/>
      <w:pStyle w:val="3184"/>
      <w:suff w:val="nothing"/>
      <w:lvlText w:val="（%1）"/>
      <w:lvlJc w:val="left"/>
      <w:pPr>
        <w:ind w:left="5104" w:hanging="284"/>
      </w:pPr>
      <w:rPr>
        <w:rFonts w:hint="eastAsia"/>
        <w:b w:val="0"/>
        <w:color w:val="auto"/>
      </w:rPr>
    </w:lvl>
  </w:abstractNum>
  <w:abstractNum w:abstractNumId="16">
    <w:nsid w:val="5746A6EE"/>
    <w:multiLevelType w:val="singleLevel"/>
    <w:tmpl w:val="5746A6EE"/>
    <w:lvl w:ilvl="0" w:tentative="0">
      <w:start w:val="1"/>
      <w:numFmt w:val="decimal"/>
      <w:pStyle w:val="1206"/>
      <w:suff w:val="nothing"/>
      <w:lvlText w:val="%1."/>
      <w:lvlJc w:val="left"/>
    </w:lvl>
  </w:abstractNum>
  <w:abstractNum w:abstractNumId="17">
    <w:nsid w:val="5A326EAA"/>
    <w:multiLevelType w:val="multilevel"/>
    <w:tmpl w:val="5A326EAA"/>
    <w:lvl w:ilvl="0" w:tentative="0">
      <w:start w:val="1"/>
      <w:numFmt w:val="decimal"/>
      <w:pStyle w:val="278"/>
      <w:lvlText w:val="第%1条 "/>
      <w:lvlJc w:val="left"/>
      <w:pPr>
        <w:ind w:left="987" w:hanging="420"/>
      </w:pPr>
      <w:rPr>
        <w:rFonts w:hint="eastAsia" w:ascii="宋体" w:hAnsi="宋体" w:eastAsia="宋体"/>
        <w:b/>
        <w:i w:val="0"/>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67B30F5B"/>
    <w:multiLevelType w:val="multilevel"/>
    <w:tmpl w:val="67B30F5B"/>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color w:val="auto"/>
      </w:rPr>
    </w:lvl>
    <w:lvl w:ilvl="3" w:tentative="0">
      <w:start w:val="1"/>
      <w:numFmt w:val="decimal"/>
      <w:pStyle w:val="224"/>
      <w:lvlText w:val="%1.%2.%3.%4."/>
      <w:lvlJc w:val="left"/>
      <w:pPr>
        <w:tabs>
          <w:tab w:val="left" w:pos="1751"/>
        </w:tabs>
        <w:ind w:left="17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9">
    <w:nsid w:val="693909AF"/>
    <w:multiLevelType w:val="multilevel"/>
    <w:tmpl w:val="693909AF"/>
    <w:lvl w:ilvl="0" w:tentative="0">
      <w:start w:val="1"/>
      <w:numFmt w:val="decimalEnclosedCircle"/>
      <w:lvlText w:val="%1"/>
      <w:lvlJc w:val="left"/>
      <w:pPr>
        <w:ind w:left="360" w:hanging="360"/>
      </w:pPr>
      <w:rPr>
        <w:rFonts w:hint="default" w:ascii="宋体" w:hAnsi="宋体"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78B04D5B"/>
    <w:multiLevelType w:val="singleLevel"/>
    <w:tmpl w:val="78B04D5B"/>
    <w:lvl w:ilvl="0" w:tentative="0">
      <w:start w:val="1"/>
      <w:numFmt w:val="bullet"/>
      <w:pStyle w:val="592"/>
      <w:lvlText w:val=""/>
      <w:lvlJc w:val="left"/>
      <w:pPr>
        <w:tabs>
          <w:tab w:val="left" w:pos="425"/>
        </w:tabs>
        <w:ind w:left="425" w:hanging="425"/>
      </w:pPr>
      <w:rPr>
        <w:rFonts w:hint="default" w:ascii="Wingdings" w:hAnsi="Wingdings"/>
      </w:rPr>
    </w:lvl>
  </w:abstractNum>
  <w:abstractNum w:abstractNumId="21">
    <w:nsid w:val="7FBE034A"/>
    <w:multiLevelType w:val="multilevel"/>
    <w:tmpl w:val="7FBE034A"/>
    <w:lvl w:ilvl="0" w:tentative="0">
      <w:start w:val="1"/>
      <w:numFmt w:val="decimal"/>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720" w:hanging="720"/>
      </w:pPr>
    </w:lvl>
    <w:lvl w:ilvl="3" w:tentative="0">
      <w:start w:val="1"/>
      <w:numFmt w:val="decimal"/>
      <w:lvlText w:val="%1.%2.%3.%4"/>
      <w:lvlJc w:val="left"/>
      <w:pPr>
        <w:ind w:left="864" w:hanging="864"/>
      </w:pPr>
    </w:lvl>
    <w:lvl w:ilvl="4" w:tentative="0">
      <w:start w:val="1"/>
      <w:numFmt w:val="decimal"/>
      <w:pStyle w:val="7"/>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num w:numId="1">
    <w:abstractNumId w:val="5"/>
  </w:num>
  <w:num w:numId="2">
    <w:abstractNumId w:val="21"/>
  </w:num>
  <w:num w:numId="3">
    <w:abstractNumId w:val="3"/>
  </w:num>
  <w:num w:numId="4">
    <w:abstractNumId w:val="4"/>
  </w:num>
  <w:num w:numId="5">
    <w:abstractNumId w:val="13"/>
  </w:num>
  <w:num w:numId="6">
    <w:abstractNumId w:val="18"/>
  </w:num>
  <w:num w:numId="7">
    <w:abstractNumId w:val="17"/>
  </w:num>
  <w:num w:numId="8">
    <w:abstractNumId w:val="8"/>
  </w:num>
  <w:num w:numId="9">
    <w:abstractNumId w:val="12"/>
  </w:num>
  <w:num w:numId="10">
    <w:abstractNumId w:val="20"/>
  </w:num>
  <w:num w:numId="11">
    <w:abstractNumId w:val="14"/>
  </w:num>
  <w:num w:numId="12">
    <w:abstractNumId w:val="9"/>
  </w:num>
  <w:num w:numId="13">
    <w:abstractNumId w:val="6"/>
  </w:num>
  <w:num w:numId="14">
    <w:abstractNumId w:val="11"/>
  </w:num>
  <w:num w:numId="15">
    <w:abstractNumId w:val="16"/>
  </w:num>
  <w:num w:numId="16">
    <w:abstractNumId w:val="15"/>
  </w:num>
  <w:num w:numId="17">
    <w:abstractNumId w:val="15"/>
    <w:lvlOverride w:ilvl="0">
      <w:startOverride w:val="1"/>
    </w:lvlOverride>
  </w:num>
  <w:num w:numId="18">
    <w:abstractNumId w:val="15"/>
    <w:lvlOverride w:ilvl="0">
      <w:startOverride w:val="1"/>
    </w:lvlOverride>
  </w:num>
  <w:num w:numId="19">
    <w:abstractNumId w:val="15"/>
    <w:lvlOverride w:ilvl="0">
      <w:startOverride w:val="1"/>
    </w:lvlOverride>
  </w:num>
  <w:num w:numId="20">
    <w:abstractNumId w:val="15"/>
    <w:lvlOverride w:ilvl="0">
      <w:startOverride w:val="1"/>
    </w:lvlOverride>
  </w:num>
  <w:num w:numId="21">
    <w:abstractNumId w:val="10"/>
  </w:num>
  <w:num w:numId="22">
    <w:abstractNumId w:val="2"/>
  </w:num>
  <w:num w:numId="23">
    <w:abstractNumId w:val="7"/>
  </w:num>
  <w:num w:numId="24">
    <w:abstractNumId w:val="0"/>
  </w:num>
  <w:num w:numId="25">
    <w:abstractNumId w:val="1"/>
  </w:num>
  <w:num w:numId="26">
    <w:abstractNumId w:val="15"/>
    <w:lvlOverride w:ilvl="0">
      <w:startOverride w:val="1"/>
    </w:lvlOverride>
  </w:num>
  <w:num w:numId="27">
    <w:abstractNumId w:val="15"/>
    <w:lvlOverride w:ilvl="0">
      <w:startOverride w:val="1"/>
    </w:lvlOverride>
  </w:num>
  <w:num w:numId="2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4"/>
  <w:bordersDoNotSurroundHeader w:val="true"/>
  <w:bordersDoNotSurroundFooter w:val="true"/>
  <w:hideSpellingErrors/>
  <w:documentProtection w:enforcement="0"/>
  <w:defaultTabStop w:val="420"/>
  <w:noPunctuationKerning w:val="true"/>
  <w:characterSpacingControl w:val="doNotCompress"/>
  <w:footnotePr>
    <w:footnote w:id="0"/>
    <w:footnote w:id="1"/>
  </w:footnotePr>
  <w:endnotePr>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c2MzA2YTYxMDUzOTgwYzIyNWE1NDAzNmEyNGY3OTEifQ=="/>
  </w:docVars>
  <w:rsids>
    <w:rsidRoot w:val="00DD2C54"/>
    <w:rsid w:val="0000001A"/>
    <w:rsid w:val="00000046"/>
    <w:rsid w:val="00000219"/>
    <w:rsid w:val="00000260"/>
    <w:rsid w:val="00000664"/>
    <w:rsid w:val="00000724"/>
    <w:rsid w:val="00000954"/>
    <w:rsid w:val="00000BE5"/>
    <w:rsid w:val="00000DBB"/>
    <w:rsid w:val="0000100C"/>
    <w:rsid w:val="00001059"/>
    <w:rsid w:val="00001661"/>
    <w:rsid w:val="0000167B"/>
    <w:rsid w:val="00001736"/>
    <w:rsid w:val="000017B9"/>
    <w:rsid w:val="000017F9"/>
    <w:rsid w:val="000019AD"/>
    <w:rsid w:val="00001B82"/>
    <w:rsid w:val="00001D15"/>
    <w:rsid w:val="00001DD8"/>
    <w:rsid w:val="00001E72"/>
    <w:rsid w:val="00001F16"/>
    <w:rsid w:val="000023D7"/>
    <w:rsid w:val="0000240A"/>
    <w:rsid w:val="00002413"/>
    <w:rsid w:val="000024DF"/>
    <w:rsid w:val="000024FD"/>
    <w:rsid w:val="000025BE"/>
    <w:rsid w:val="0000267B"/>
    <w:rsid w:val="00002990"/>
    <w:rsid w:val="00002C14"/>
    <w:rsid w:val="00002DB9"/>
    <w:rsid w:val="00002ED6"/>
    <w:rsid w:val="000033F2"/>
    <w:rsid w:val="000035C7"/>
    <w:rsid w:val="000035CF"/>
    <w:rsid w:val="0000369C"/>
    <w:rsid w:val="000036B6"/>
    <w:rsid w:val="0000377D"/>
    <w:rsid w:val="0000387B"/>
    <w:rsid w:val="00003ABC"/>
    <w:rsid w:val="00003E07"/>
    <w:rsid w:val="00004714"/>
    <w:rsid w:val="00004BD1"/>
    <w:rsid w:val="00004C5A"/>
    <w:rsid w:val="00004D42"/>
    <w:rsid w:val="00004EE3"/>
    <w:rsid w:val="00004FE4"/>
    <w:rsid w:val="0000539C"/>
    <w:rsid w:val="000055FE"/>
    <w:rsid w:val="000057A4"/>
    <w:rsid w:val="0000588E"/>
    <w:rsid w:val="00006601"/>
    <w:rsid w:val="000066A8"/>
    <w:rsid w:val="000067A7"/>
    <w:rsid w:val="00006817"/>
    <w:rsid w:val="00006C86"/>
    <w:rsid w:val="00006CE9"/>
    <w:rsid w:val="00006F85"/>
    <w:rsid w:val="00007102"/>
    <w:rsid w:val="0000721D"/>
    <w:rsid w:val="000074F0"/>
    <w:rsid w:val="00007618"/>
    <w:rsid w:val="00007653"/>
    <w:rsid w:val="000079AE"/>
    <w:rsid w:val="00007B99"/>
    <w:rsid w:val="00007C79"/>
    <w:rsid w:val="0001024A"/>
    <w:rsid w:val="0001040D"/>
    <w:rsid w:val="00010545"/>
    <w:rsid w:val="00010642"/>
    <w:rsid w:val="00010A6A"/>
    <w:rsid w:val="00010BDF"/>
    <w:rsid w:val="00010F28"/>
    <w:rsid w:val="000110B7"/>
    <w:rsid w:val="0001125E"/>
    <w:rsid w:val="00011333"/>
    <w:rsid w:val="000114ED"/>
    <w:rsid w:val="00011615"/>
    <w:rsid w:val="00011641"/>
    <w:rsid w:val="0001174A"/>
    <w:rsid w:val="0001184D"/>
    <w:rsid w:val="000118EA"/>
    <w:rsid w:val="00011A31"/>
    <w:rsid w:val="00011C2B"/>
    <w:rsid w:val="00011E1A"/>
    <w:rsid w:val="00011F89"/>
    <w:rsid w:val="00012118"/>
    <w:rsid w:val="00012271"/>
    <w:rsid w:val="00012651"/>
    <w:rsid w:val="00012BE4"/>
    <w:rsid w:val="000134E2"/>
    <w:rsid w:val="000139B5"/>
    <w:rsid w:val="00013B6B"/>
    <w:rsid w:val="00013B87"/>
    <w:rsid w:val="00013C3C"/>
    <w:rsid w:val="00013E04"/>
    <w:rsid w:val="00013F12"/>
    <w:rsid w:val="000147A0"/>
    <w:rsid w:val="0001480E"/>
    <w:rsid w:val="00014947"/>
    <w:rsid w:val="000149BE"/>
    <w:rsid w:val="00014A5D"/>
    <w:rsid w:val="00014C5F"/>
    <w:rsid w:val="00014C92"/>
    <w:rsid w:val="00014DB0"/>
    <w:rsid w:val="00014E8A"/>
    <w:rsid w:val="00015227"/>
    <w:rsid w:val="00015316"/>
    <w:rsid w:val="00015336"/>
    <w:rsid w:val="00015653"/>
    <w:rsid w:val="000157BA"/>
    <w:rsid w:val="000157D2"/>
    <w:rsid w:val="0001597A"/>
    <w:rsid w:val="00015A8B"/>
    <w:rsid w:val="00015C93"/>
    <w:rsid w:val="00015E82"/>
    <w:rsid w:val="00015EA7"/>
    <w:rsid w:val="00015F6E"/>
    <w:rsid w:val="00015FF4"/>
    <w:rsid w:val="0001613D"/>
    <w:rsid w:val="000161DF"/>
    <w:rsid w:val="00016456"/>
    <w:rsid w:val="00016610"/>
    <w:rsid w:val="00016686"/>
    <w:rsid w:val="00016C21"/>
    <w:rsid w:val="00016DE3"/>
    <w:rsid w:val="00016ECA"/>
    <w:rsid w:val="00016EF0"/>
    <w:rsid w:val="00017003"/>
    <w:rsid w:val="0001732F"/>
    <w:rsid w:val="000178BE"/>
    <w:rsid w:val="000178D6"/>
    <w:rsid w:val="00017AD0"/>
    <w:rsid w:val="00017DC9"/>
    <w:rsid w:val="00020036"/>
    <w:rsid w:val="00020298"/>
    <w:rsid w:val="00020326"/>
    <w:rsid w:val="000204C4"/>
    <w:rsid w:val="0002073D"/>
    <w:rsid w:val="000208DD"/>
    <w:rsid w:val="00020BE6"/>
    <w:rsid w:val="00020C56"/>
    <w:rsid w:val="00020D93"/>
    <w:rsid w:val="00020F84"/>
    <w:rsid w:val="00021130"/>
    <w:rsid w:val="0002118A"/>
    <w:rsid w:val="0002124D"/>
    <w:rsid w:val="00021274"/>
    <w:rsid w:val="000212A7"/>
    <w:rsid w:val="00021610"/>
    <w:rsid w:val="0002239D"/>
    <w:rsid w:val="000226FB"/>
    <w:rsid w:val="00022AA9"/>
    <w:rsid w:val="00022C4B"/>
    <w:rsid w:val="00022DCC"/>
    <w:rsid w:val="00022E08"/>
    <w:rsid w:val="00023471"/>
    <w:rsid w:val="000238E9"/>
    <w:rsid w:val="00023AC2"/>
    <w:rsid w:val="00023E0A"/>
    <w:rsid w:val="00023E5A"/>
    <w:rsid w:val="00023ECD"/>
    <w:rsid w:val="00024258"/>
    <w:rsid w:val="000243CE"/>
    <w:rsid w:val="00024866"/>
    <w:rsid w:val="00024B95"/>
    <w:rsid w:val="00024C2E"/>
    <w:rsid w:val="00024DA8"/>
    <w:rsid w:val="00024DFB"/>
    <w:rsid w:val="00024E3C"/>
    <w:rsid w:val="0002561A"/>
    <w:rsid w:val="000256A7"/>
    <w:rsid w:val="000258A2"/>
    <w:rsid w:val="00025C17"/>
    <w:rsid w:val="00025E0A"/>
    <w:rsid w:val="0002611E"/>
    <w:rsid w:val="00026274"/>
    <w:rsid w:val="0002649E"/>
    <w:rsid w:val="00026520"/>
    <w:rsid w:val="00026718"/>
    <w:rsid w:val="0002690C"/>
    <w:rsid w:val="000269DA"/>
    <w:rsid w:val="00026A3E"/>
    <w:rsid w:val="00026ADC"/>
    <w:rsid w:val="00026F8B"/>
    <w:rsid w:val="0002712A"/>
    <w:rsid w:val="000272B2"/>
    <w:rsid w:val="0002760D"/>
    <w:rsid w:val="00027965"/>
    <w:rsid w:val="00027A2C"/>
    <w:rsid w:val="00027B19"/>
    <w:rsid w:val="00027D21"/>
    <w:rsid w:val="00027D42"/>
    <w:rsid w:val="00027F32"/>
    <w:rsid w:val="00027FA0"/>
    <w:rsid w:val="000302D5"/>
    <w:rsid w:val="000305CA"/>
    <w:rsid w:val="000309BB"/>
    <w:rsid w:val="00030C8B"/>
    <w:rsid w:val="00030E49"/>
    <w:rsid w:val="00030EF7"/>
    <w:rsid w:val="00030F49"/>
    <w:rsid w:val="000310E9"/>
    <w:rsid w:val="00031356"/>
    <w:rsid w:val="0003168A"/>
    <w:rsid w:val="00031745"/>
    <w:rsid w:val="0003175A"/>
    <w:rsid w:val="00031B67"/>
    <w:rsid w:val="00031C84"/>
    <w:rsid w:val="000321DC"/>
    <w:rsid w:val="000322E9"/>
    <w:rsid w:val="000326FC"/>
    <w:rsid w:val="000327EB"/>
    <w:rsid w:val="00032D1B"/>
    <w:rsid w:val="00032E6E"/>
    <w:rsid w:val="00032FD7"/>
    <w:rsid w:val="00033034"/>
    <w:rsid w:val="000330C0"/>
    <w:rsid w:val="00033278"/>
    <w:rsid w:val="000334DB"/>
    <w:rsid w:val="000335A7"/>
    <w:rsid w:val="0003394D"/>
    <w:rsid w:val="000339F7"/>
    <w:rsid w:val="00033B95"/>
    <w:rsid w:val="000340D8"/>
    <w:rsid w:val="0003438A"/>
    <w:rsid w:val="00034AAF"/>
    <w:rsid w:val="00034BE2"/>
    <w:rsid w:val="00034F19"/>
    <w:rsid w:val="00035042"/>
    <w:rsid w:val="000350AA"/>
    <w:rsid w:val="0003513C"/>
    <w:rsid w:val="00035232"/>
    <w:rsid w:val="000353D6"/>
    <w:rsid w:val="0003544B"/>
    <w:rsid w:val="000359A7"/>
    <w:rsid w:val="00035C0F"/>
    <w:rsid w:val="00035F7D"/>
    <w:rsid w:val="00036491"/>
    <w:rsid w:val="00036CD0"/>
    <w:rsid w:val="00036DBA"/>
    <w:rsid w:val="00036E82"/>
    <w:rsid w:val="0003704C"/>
    <w:rsid w:val="0003748F"/>
    <w:rsid w:val="00037CD3"/>
    <w:rsid w:val="00037E9C"/>
    <w:rsid w:val="00037FF3"/>
    <w:rsid w:val="00040570"/>
    <w:rsid w:val="00040617"/>
    <w:rsid w:val="000408F8"/>
    <w:rsid w:val="00040973"/>
    <w:rsid w:val="0004098F"/>
    <w:rsid w:val="00040A9B"/>
    <w:rsid w:val="00040D8A"/>
    <w:rsid w:val="00040E56"/>
    <w:rsid w:val="0004129B"/>
    <w:rsid w:val="00041320"/>
    <w:rsid w:val="00041555"/>
    <w:rsid w:val="000415A4"/>
    <w:rsid w:val="000415AA"/>
    <w:rsid w:val="00041687"/>
    <w:rsid w:val="0004182B"/>
    <w:rsid w:val="00041860"/>
    <w:rsid w:val="00041A65"/>
    <w:rsid w:val="00041B68"/>
    <w:rsid w:val="00041BF3"/>
    <w:rsid w:val="00041D6B"/>
    <w:rsid w:val="00041ECF"/>
    <w:rsid w:val="00041F8D"/>
    <w:rsid w:val="00042683"/>
    <w:rsid w:val="00042B4E"/>
    <w:rsid w:val="00042BC9"/>
    <w:rsid w:val="00042BD6"/>
    <w:rsid w:val="00042E42"/>
    <w:rsid w:val="00043067"/>
    <w:rsid w:val="00043109"/>
    <w:rsid w:val="00043173"/>
    <w:rsid w:val="0004319F"/>
    <w:rsid w:val="000431BF"/>
    <w:rsid w:val="00043348"/>
    <w:rsid w:val="000433FC"/>
    <w:rsid w:val="000439E0"/>
    <w:rsid w:val="00043CEF"/>
    <w:rsid w:val="00043DF2"/>
    <w:rsid w:val="0004407A"/>
    <w:rsid w:val="0004413C"/>
    <w:rsid w:val="000441B4"/>
    <w:rsid w:val="000442A0"/>
    <w:rsid w:val="000443EF"/>
    <w:rsid w:val="000449ED"/>
    <w:rsid w:val="00044E0D"/>
    <w:rsid w:val="0004521B"/>
    <w:rsid w:val="000454BB"/>
    <w:rsid w:val="000455F8"/>
    <w:rsid w:val="000458D0"/>
    <w:rsid w:val="00045925"/>
    <w:rsid w:val="00045C20"/>
    <w:rsid w:val="00045C6D"/>
    <w:rsid w:val="00045E46"/>
    <w:rsid w:val="00045F2B"/>
    <w:rsid w:val="00046119"/>
    <w:rsid w:val="00046147"/>
    <w:rsid w:val="000462E3"/>
    <w:rsid w:val="00046311"/>
    <w:rsid w:val="0004637A"/>
    <w:rsid w:val="000464D9"/>
    <w:rsid w:val="00046684"/>
    <w:rsid w:val="00046C2B"/>
    <w:rsid w:val="00046C53"/>
    <w:rsid w:val="00046CB0"/>
    <w:rsid w:val="00046CBA"/>
    <w:rsid w:val="00046EC2"/>
    <w:rsid w:val="000473C0"/>
    <w:rsid w:val="000476C7"/>
    <w:rsid w:val="000479C8"/>
    <w:rsid w:val="00050088"/>
    <w:rsid w:val="0005036C"/>
    <w:rsid w:val="0005061A"/>
    <w:rsid w:val="00050748"/>
    <w:rsid w:val="000507D4"/>
    <w:rsid w:val="00050A47"/>
    <w:rsid w:val="00050B26"/>
    <w:rsid w:val="00050C64"/>
    <w:rsid w:val="00051002"/>
    <w:rsid w:val="000514B1"/>
    <w:rsid w:val="00051756"/>
    <w:rsid w:val="00051ABA"/>
    <w:rsid w:val="00052009"/>
    <w:rsid w:val="000522F5"/>
    <w:rsid w:val="000524E8"/>
    <w:rsid w:val="00052595"/>
    <w:rsid w:val="00052610"/>
    <w:rsid w:val="00052EE8"/>
    <w:rsid w:val="000531C9"/>
    <w:rsid w:val="00053280"/>
    <w:rsid w:val="0005331E"/>
    <w:rsid w:val="000533AC"/>
    <w:rsid w:val="00053417"/>
    <w:rsid w:val="00053441"/>
    <w:rsid w:val="00053579"/>
    <w:rsid w:val="00053A9F"/>
    <w:rsid w:val="00053E86"/>
    <w:rsid w:val="00053F9E"/>
    <w:rsid w:val="00054114"/>
    <w:rsid w:val="00054315"/>
    <w:rsid w:val="000543F4"/>
    <w:rsid w:val="00054640"/>
    <w:rsid w:val="000548C7"/>
    <w:rsid w:val="0005492B"/>
    <w:rsid w:val="00054AD8"/>
    <w:rsid w:val="00054B63"/>
    <w:rsid w:val="00055438"/>
    <w:rsid w:val="0005559E"/>
    <w:rsid w:val="000556EC"/>
    <w:rsid w:val="00055797"/>
    <w:rsid w:val="00055ABF"/>
    <w:rsid w:val="00055D2C"/>
    <w:rsid w:val="00055EE2"/>
    <w:rsid w:val="00056050"/>
    <w:rsid w:val="000562B3"/>
    <w:rsid w:val="0005644B"/>
    <w:rsid w:val="0005660D"/>
    <w:rsid w:val="0005692F"/>
    <w:rsid w:val="000569D3"/>
    <w:rsid w:val="00056B2B"/>
    <w:rsid w:val="000575E4"/>
    <w:rsid w:val="00057816"/>
    <w:rsid w:val="000578F3"/>
    <w:rsid w:val="00057AA0"/>
    <w:rsid w:val="00057ACE"/>
    <w:rsid w:val="00057AF9"/>
    <w:rsid w:val="00057B23"/>
    <w:rsid w:val="00057B2E"/>
    <w:rsid w:val="00057C79"/>
    <w:rsid w:val="00057D3E"/>
    <w:rsid w:val="00057E7C"/>
    <w:rsid w:val="00060951"/>
    <w:rsid w:val="00060BE3"/>
    <w:rsid w:val="00060EC9"/>
    <w:rsid w:val="00060FBE"/>
    <w:rsid w:val="000610B3"/>
    <w:rsid w:val="0006118A"/>
    <w:rsid w:val="000628A6"/>
    <w:rsid w:val="00062928"/>
    <w:rsid w:val="00062A71"/>
    <w:rsid w:val="00062A91"/>
    <w:rsid w:val="00062B51"/>
    <w:rsid w:val="00062C6C"/>
    <w:rsid w:val="0006325C"/>
    <w:rsid w:val="000634BE"/>
    <w:rsid w:val="00063576"/>
    <w:rsid w:val="00063614"/>
    <w:rsid w:val="000638E8"/>
    <w:rsid w:val="00063C12"/>
    <w:rsid w:val="00063D30"/>
    <w:rsid w:val="00064154"/>
    <w:rsid w:val="000641FE"/>
    <w:rsid w:val="0006436C"/>
    <w:rsid w:val="0006436F"/>
    <w:rsid w:val="000647E8"/>
    <w:rsid w:val="00064B97"/>
    <w:rsid w:val="00064BA8"/>
    <w:rsid w:val="00064C7D"/>
    <w:rsid w:val="00064D40"/>
    <w:rsid w:val="00064E7E"/>
    <w:rsid w:val="00065024"/>
    <w:rsid w:val="00065208"/>
    <w:rsid w:val="00065538"/>
    <w:rsid w:val="000655B7"/>
    <w:rsid w:val="00065748"/>
    <w:rsid w:val="00065837"/>
    <w:rsid w:val="000658A3"/>
    <w:rsid w:val="00065914"/>
    <w:rsid w:val="00065C7E"/>
    <w:rsid w:val="00065CD9"/>
    <w:rsid w:val="00065CDB"/>
    <w:rsid w:val="00065EAB"/>
    <w:rsid w:val="00065FC4"/>
    <w:rsid w:val="0006620F"/>
    <w:rsid w:val="00066761"/>
    <w:rsid w:val="00066D26"/>
    <w:rsid w:val="00066D49"/>
    <w:rsid w:val="00066D6B"/>
    <w:rsid w:val="00067A64"/>
    <w:rsid w:val="00067BA0"/>
    <w:rsid w:val="00067F2C"/>
    <w:rsid w:val="0007051A"/>
    <w:rsid w:val="00070536"/>
    <w:rsid w:val="0007059E"/>
    <w:rsid w:val="000707AE"/>
    <w:rsid w:val="00070CA7"/>
    <w:rsid w:val="00070E31"/>
    <w:rsid w:val="00070E3F"/>
    <w:rsid w:val="00070E68"/>
    <w:rsid w:val="00070FFA"/>
    <w:rsid w:val="00071070"/>
    <w:rsid w:val="00071302"/>
    <w:rsid w:val="00071AB0"/>
    <w:rsid w:val="00071B69"/>
    <w:rsid w:val="00071F9F"/>
    <w:rsid w:val="0007235A"/>
    <w:rsid w:val="000723C1"/>
    <w:rsid w:val="000723F8"/>
    <w:rsid w:val="00072560"/>
    <w:rsid w:val="000725F4"/>
    <w:rsid w:val="000728F6"/>
    <w:rsid w:val="00072A4F"/>
    <w:rsid w:val="00072DD8"/>
    <w:rsid w:val="000730BC"/>
    <w:rsid w:val="000736CE"/>
    <w:rsid w:val="0007376D"/>
    <w:rsid w:val="00073ABD"/>
    <w:rsid w:val="00073CE9"/>
    <w:rsid w:val="00073D54"/>
    <w:rsid w:val="00074412"/>
    <w:rsid w:val="00074800"/>
    <w:rsid w:val="00074937"/>
    <w:rsid w:val="00074C42"/>
    <w:rsid w:val="00074DD5"/>
    <w:rsid w:val="00074F7B"/>
    <w:rsid w:val="00075610"/>
    <w:rsid w:val="00075D6C"/>
    <w:rsid w:val="00075FAD"/>
    <w:rsid w:val="000760C4"/>
    <w:rsid w:val="000760E1"/>
    <w:rsid w:val="000764E6"/>
    <w:rsid w:val="0007670F"/>
    <w:rsid w:val="000769AF"/>
    <w:rsid w:val="00076BCB"/>
    <w:rsid w:val="00076C87"/>
    <w:rsid w:val="00076DF4"/>
    <w:rsid w:val="00076E38"/>
    <w:rsid w:val="00076E9B"/>
    <w:rsid w:val="00076F44"/>
    <w:rsid w:val="000770AA"/>
    <w:rsid w:val="0007715D"/>
    <w:rsid w:val="0007749A"/>
    <w:rsid w:val="00077782"/>
    <w:rsid w:val="00077AA9"/>
    <w:rsid w:val="00077AF0"/>
    <w:rsid w:val="00077CA8"/>
    <w:rsid w:val="00077E96"/>
    <w:rsid w:val="000800BA"/>
    <w:rsid w:val="0008038A"/>
    <w:rsid w:val="00080471"/>
    <w:rsid w:val="000806D7"/>
    <w:rsid w:val="0008070C"/>
    <w:rsid w:val="0008096C"/>
    <w:rsid w:val="00080C28"/>
    <w:rsid w:val="00080DDC"/>
    <w:rsid w:val="00080E90"/>
    <w:rsid w:val="00080ED0"/>
    <w:rsid w:val="00081239"/>
    <w:rsid w:val="00081667"/>
    <w:rsid w:val="00081C4E"/>
    <w:rsid w:val="00081ED6"/>
    <w:rsid w:val="000822CF"/>
    <w:rsid w:val="000822E0"/>
    <w:rsid w:val="000823A3"/>
    <w:rsid w:val="0008270A"/>
    <w:rsid w:val="00082CF9"/>
    <w:rsid w:val="00082E76"/>
    <w:rsid w:val="000831BE"/>
    <w:rsid w:val="000835AD"/>
    <w:rsid w:val="000836FD"/>
    <w:rsid w:val="000837F6"/>
    <w:rsid w:val="000837FA"/>
    <w:rsid w:val="00083813"/>
    <w:rsid w:val="00083B1A"/>
    <w:rsid w:val="00083BBB"/>
    <w:rsid w:val="00083E1F"/>
    <w:rsid w:val="00083E30"/>
    <w:rsid w:val="00083E56"/>
    <w:rsid w:val="000840C3"/>
    <w:rsid w:val="000840E3"/>
    <w:rsid w:val="0008419D"/>
    <w:rsid w:val="000844FC"/>
    <w:rsid w:val="000846DD"/>
    <w:rsid w:val="000849A4"/>
    <w:rsid w:val="00084E45"/>
    <w:rsid w:val="00085174"/>
    <w:rsid w:val="0008520D"/>
    <w:rsid w:val="00085317"/>
    <w:rsid w:val="00085729"/>
    <w:rsid w:val="000857C1"/>
    <w:rsid w:val="00085BC6"/>
    <w:rsid w:val="00085D54"/>
    <w:rsid w:val="00085EE2"/>
    <w:rsid w:val="00085FE4"/>
    <w:rsid w:val="000863B3"/>
    <w:rsid w:val="000864EF"/>
    <w:rsid w:val="00086969"/>
    <w:rsid w:val="00086ACD"/>
    <w:rsid w:val="00086C65"/>
    <w:rsid w:val="00086D1C"/>
    <w:rsid w:val="00086EE6"/>
    <w:rsid w:val="0008758A"/>
    <w:rsid w:val="00087782"/>
    <w:rsid w:val="000879C6"/>
    <w:rsid w:val="00087AE2"/>
    <w:rsid w:val="00087B96"/>
    <w:rsid w:val="00087DE7"/>
    <w:rsid w:val="00087E71"/>
    <w:rsid w:val="00087EA3"/>
    <w:rsid w:val="00090241"/>
    <w:rsid w:val="00090355"/>
    <w:rsid w:val="000904D8"/>
    <w:rsid w:val="000908FD"/>
    <w:rsid w:val="0009095F"/>
    <w:rsid w:val="00090A28"/>
    <w:rsid w:val="00090A6E"/>
    <w:rsid w:val="00090E27"/>
    <w:rsid w:val="00090E42"/>
    <w:rsid w:val="000915BF"/>
    <w:rsid w:val="000915EE"/>
    <w:rsid w:val="000916F4"/>
    <w:rsid w:val="0009172D"/>
    <w:rsid w:val="000918B7"/>
    <w:rsid w:val="00091B5A"/>
    <w:rsid w:val="00091F2B"/>
    <w:rsid w:val="00091FD6"/>
    <w:rsid w:val="0009213D"/>
    <w:rsid w:val="00092154"/>
    <w:rsid w:val="000928D4"/>
    <w:rsid w:val="00092EBB"/>
    <w:rsid w:val="000930DC"/>
    <w:rsid w:val="00093535"/>
    <w:rsid w:val="00093C34"/>
    <w:rsid w:val="00093CF7"/>
    <w:rsid w:val="000940BB"/>
    <w:rsid w:val="00094411"/>
    <w:rsid w:val="0009463C"/>
    <w:rsid w:val="0009545E"/>
    <w:rsid w:val="000956B4"/>
    <w:rsid w:val="00095721"/>
    <w:rsid w:val="00095FC3"/>
    <w:rsid w:val="00096535"/>
    <w:rsid w:val="00096674"/>
    <w:rsid w:val="000966B3"/>
    <w:rsid w:val="000969FD"/>
    <w:rsid w:val="00096A06"/>
    <w:rsid w:val="00096A59"/>
    <w:rsid w:val="00096B00"/>
    <w:rsid w:val="000973D0"/>
    <w:rsid w:val="00097411"/>
    <w:rsid w:val="00097B14"/>
    <w:rsid w:val="00097BE2"/>
    <w:rsid w:val="00097D7C"/>
    <w:rsid w:val="00097D9B"/>
    <w:rsid w:val="000A038A"/>
    <w:rsid w:val="000A0C04"/>
    <w:rsid w:val="000A0D6F"/>
    <w:rsid w:val="000A158E"/>
    <w:rsid w:val="000A15DE"/>
    <w:rsid w:val="000A1732"/>
    <w:rsid w:val="000A179E"/>
    <w:rsid w:val="000A1A63"/>
    <w:rsid w:val="000A1D21"/>
    <w:rsid w:val="000A1F77"/>
    <w:rsid w:val="000A222F"/>
    <w:rsid w:val="000A2645"/>
    <w:rsid w:val="000A2A7E"/>
    <w:rsid w:val="000A2A86"/>
    <w:rsid w:val="000A2CB4"/>
    <w:rsid w:val="000A2FE7"/>
    <w:rsid w:val="000A30BD"/>
    <w:rsid w:val="000A32D0"/>
    <w:rsid w:val="000A3A4A"/>
    <w:rsid w:val="000A3E2D"/>
    <w:rsid w:val="000A3E63"/>
    <w:rsid w:val="000A3EAE"/>
    <w:rsid w:val="000A401B"/>
    <w:rsid w:val="000A43D3"/>
    <w:rsid w:val="000A44DE"/>
    <w:rsid w:val="000A4566"/>
    <w:rsid w:val="000A4569"/>
    <w:rsid w:val="000A4677"/>
    <w:rsid w:val="000A47DB"/>
    <w:rsid w:val="000A4CA2"/>
    <w:rsid w:val="000A567C"/>
    <w:rsid w:val="000A591F"/>
    <w:rsid w:val="000A5A5D"/>
    <w:rsid w:val="000A5C66"/>
    <w:rsid w:val="000A5CC4"/>
    <w:rsid w:val="000A63DA"/>
    <w:rsid w:val="000A6493"/>
    <w:rsid w:val="000A6542"/>
    <w:rsid w:val="000A6CA5"/>
    <w:rsid w:val="000A6D53"/>
    <w:rsid w:val="000A6EA7"/>
    <w:rsid w:val="000A6F76"/>
    <w:rsid w:val="000A6FD8"/>
    <w:rsid w:val="000A71CC"/>
    <w:rsid w:val="000A71D2"/>
    <w:rsid w:val="000A725A"/>
    <w:rsid w:val="000A7509"/>
    <w:rsid w:val="000A779F"/>
    <w:rsid w:val="000A79B2"/>
    <w:rsid w:val="000A7C84"/>
    <w:rsid w:val="000B0637"/>
    <w:rsid w:val="000B0C98"/>
    <w:rsid w:val="000B0D8C"/>
    <w:rsid w:val="000B0EBD"/>
    <w:rsid w:val="000B0F4F"/>
    <w:rsid w:val="000B130B"/>
    <w:rsid w:val="000B1475"/>
    <w:rsid w:val="000B1684"/>
    <w:rsid w:val="000B1759"/>
    <w:rsid w:val="000B1B50"/>
    <w:rsid w:val="000B1BA0"/>
    <w:rsid w:val="000B1DA6"/>
    <w:rsid w:val="000B1E67"/>
    <w:rsid w:val="000B1E94"/>
    <w:rsid w:val="000B1F50"/>
    <w:rsid w:val="000B201C"/>
    <w:rsid w:val="000B2170"/>
    <w:rsid w:val="000B2530"/>
    <w:rsid w:val="000B263B"/>
    <w:rsid w:val="000B284A"/>
    <w:rsid w:val="000B29CA"/>
    <w:rsid w:val="000B2A66"/>
    <w:rsid w:val="000B3108"/>
    <w:rsid w:val="000B31C5"/>
    <w:rsid w:val="000B35BE"/>
    <w:rsid w:val="000B387C"/>
    <w:rsid w:val="000B3969"/>
    <w:rsid w:val="000B39E5"/>
    <w:rsid w:val="000B3DF4"/>
    <w:rsid w:val="000B4076"/>
    <w:rsid w:val="000B42FE"/>
    <w:rsid w:val="000B4A15"/>
    <w:rsid w:val="000B4AC6"/>
    <w:rsid w:val="000B4B0C"/>
    <w:rsid w:val="000B4D4A"/>
    <w:rsid w:val="000B55EB"/>
    <w:rsid w:val="000B57A0"/>
    <w:rsid w:val="000B5DA5"/>
    <w:rsid w:val="000B61FA"/>
    <w:rsid w:val="000B63D2"/>
    <w:rsid w:val="000B66F5"/>
    <w:rsid w:val="000B67B6"/>
    <w:rsid w:val="000B6818"/>
    <w:rsid w:val="000B6909"/>
    <w:rsid w:val="000B6D22"/>
    <w:rsid w:val="000B6D94"/>
    <w:rsid w:val="000B705D"/>
    <w:rsid w:val="000B7384"/>
    <w:rsid w:val="000B73CE"/>
    <w:rsid w:val="000B7596"/>
    <w:rsid w:val="000B7CCB"/>
    <w:rsid w:val="000B7E41"/>
    <w:rsid w:val="000B7F72"/>
    <w:rsid w:val="000C0209"/>
    <w:rsid w:val="000C0263"/>
    <w:rsid w:val="000C043D"/>
    <w:rsid w:val="000C0622"/>
    <w:rsid w:val="000C0C92"/>
    <w:rsid w:val="000C0CA8"/>
    <w:rsid w:val="000C0D2F"/>
    <w:rsid w:val="000C0F1E"/>
    <w:rsid w:val="000C10CD"/>
    <w:rsid w:val="000C1427"/>
    <w:rsid w:val="000C152F"/>
    <w:rsid w:val="000C17C7"/>
    <w:rsid w:val="000C18DD"/>
    <w:rsid w:val="000C1D34"/>
    <w:rsid w:val="000C2026"/>
    <w:rsid w:val="000C20A5"/>
    <w:rsid w:val="000C20EE"/>
    <w:rsid w:val="000C2ECA"/>
    <w:rsid w:val="000C2F5F"/>
    <w:rsid w:val="000C3166"/>
    <w:rsid w:val="000C31A3"/>
    <w:rsid w:val="000C32BF"/>
    <w:rsid w:val="000C33E0"/>
    <w:rsid w:val="000C364C"/>
    <w:rsid w:val="000C3CEE"/>
    <w:rsid w:val="000C4053"/>
    <w:rsid w:val="000C40DE"/>
    <w:rsid w:val="000C4194"/>
    <w:rsid w:val="000C4786"/>
    <w:rsid w:val="000C48BE"/>
    <w:rsid w:val="000C4B78"/>
    <w:rsid w:val="000C4DAB"/>
    <w:rsid w:val="000C5354"/>
    <w:rsid w:val="000C5658"/>
    <w:rsid w:val="000C5794"/>
    <w:rsid w:val="000C5D4C"/>
    <w:rsid w:val="000C5E05"/>
    <w:rsid w:val="000C5E51"/>
    <w:rsid w:val="000C603A"/>
    <w:rsid w:val="000C6132"/>
    <w:rsid w:val="000C64F0"/>
    <w:rsid w:val="000C6B16"/>
    <w:rsid w:val="000C6B39"/>
    <w:rsid w:val="000C73A3"/>
    <w:rsid w:val="000C7861"/>
    <w:rsid w:val="000C7A23"/>
    <w:rsid w:val="000C7CB8"/>
    <w:rsid w:val="000C7DD3"/>
    <w:rsid w:val="000D0194"/>
    <w:rsid w:val="000D0779"/>
    <w:rsid w:val="000D07D3"/>
    <w:rsid w:val="000D0870"/>
    <w:rsid w:val="000D0B05"/>
    <w:rsid w:val="000D0C38"/>
    <w:rsid w:val="000D0F1B"/>
    <w:rsid w:val="000D1054"/>
    <w:rsid w:val="000D1079"/>
    <w:rsid w:val="000D1161"/>
    <w:rsid w:val="000D1167"/>
    <w:rsid w:val="000D1257"/>
    <w:rsid w:val="000D137D"/>
    <w:rsid w:val="000D17D1"/>
    <w:rsid w:val="000D1902"/>
    <w:rsid w:val="000D1D71"/>
    <w:rsid w:val="000D2253"/>
    <w:rsid w:val="000D22BF"/>
    <w:rsid w:val="000D2665"/>
    <w:rsid w:val="000D2807"/>
    <w:rsid w:val="000D280C"/>
    <w:rsid w:val="000D289D"/>
    <w:rsid w:val="000D2990"/>
    <w:rsid w:val="000D2A8C"/>
    <w:rsid w:val="000D320E"/>
    <w:rsid w:val="000D333B"/>
    <w:rsid w:val="000D3819"/>
    <w:rsid w:val="000D38F2"/>
    <w:rsid w:val="000D4134"/>
    <w:rsid w:val="000D4755"/>
    <w:rsid w:val="000D4862"/>
    <w:rsid w:val="000D4D86"/>
    <w:rsid w:val="000D4E69"/>
    <w:rsid w:val="000D53B7"/>
    <w:rsid w:val="000D5501"/>
    <w:rsid w:val="000D5623"/>
    <w:rsid w:val="000D59BA"/>
    <w:rsid w:val="000D5A9C"/>
    <w:rsid w:val="000D5F9D"/>
    <w:rsid w:val="000D602E"/>
    <w:rsid w:val="000D61F3"/>
    <w:rsid w:val="000D62EC"/>
    <w:rsid w:val="000D6477"/>
    <w:rsid w:val="000D6606"/>
    <w:rsid w:val="000D67C5"/>
    <w:rsid w:val="000D6829"/>
    <w:rsid w:val="000D68FA"/>
    <w:rsid w:val="000D6B72"/>
    <w:rsid w:val="000D6D65"/>
    <w:rsid w:val="000D6F64"/>
    <w:rsid w:val="000D6FB0"/>
    <w:rsid w:val="000D750D"/>
    <w:rsid w:val="000D7DFB"/>
    <w:rsid w:val="000D7EAB"/>
    <w:rsid w:val="000E00D4"/>
    <w:rsid w:val="000E00DC"/>
    <w:rsid w:val="000E02EC"/>
    <w:rsid w:val="000E04BD"/>
    <w:rsid w:val="000E0772"/>
    <w:rsid w:val="000E088E"/>
    <w:rsid w:val="000E0A27"/>
    <w:rsid w:val="000E0CA5"/>
    <w:rsid w:val="000E0EE7"/>
    <w:rsid w:val="000E12AE"/>
    <w:rsid w:val="000E12C0"/>
    <w:rsid w:val="000E1424"/>
    <w:rsid w:val="000E15A6"/>
    <w:rsid w:val="000E1E60"/>
    <w:rsid w:val="000E2146"/>
    <w:rsid w:val="000E2466"/>
    <w:rsid w:val="000E257F"/>
    <w:rsid w:val="000E2778"/>
    <w:rsid w:val="000E2C7E"/>
    <w:rsid w:val="000E2CDE"/>
    <w:rsid w:val="000E2F50"/>
    <w:rsid w:val="000E312B"/>
    <w:rsid w:val="000E33AB"/>
    <w:rsid w:val="000E3486"/>
    <w:rsid w:val="000E36A9"/>
    <w:rsid w:val="000E3A93"/>
    <w:rsid w:val="000E3B2E"/>
    <w:rsid w:val="000E3DFD"/>
    <w:rsid w:val="000E43DE"/>
    <w:rsid w:val="000E443B"/>
    <w:rsid w:val="000E45DF"/>
    <w:rsid w:val="000E49E3"/>
    <w:rsid w:val="000E4A0F"/>
    <w:rsid w:val="000E4B83"/>
    <w:rsid w:val="000E4DA2"/>
    <w:rsid w:val="000E5390"/>
    <w:rsid w:val="000E53AC"/>
    <w:rsid w:val="000E5535"/>
    <w:rsid w:val="000E553A"/>
    <w:rsid w:val="000E565C"/>
    <w:rsid w:val="000E567F"/>
    <w:rsid w:val="000E57AB"/>
    <w:rsid w:val="000E594B"/>
    <w:rsid w:val="000E5AAE"/>
    <w:rsid w:val="000E60D8"/>
    <w:rsid w:val="000E6483"/>
    <w:rsid w:val="000E65AE"/>
    <w:rsid w:val="000E6B48"/>
    <w:rsid w:val="000E6D35"/>
    <w:rsid w:val="000E7103"/>
    <w:rsid w:val="000E7195"/>
    <w:rsid w:val="000E71FA"/>
    <w:rsid w:val="000E7437"/>
    <w:rsid w:val="000E748B"/>
    <w:rsid w:val="000E7C47"/>
    <w:rsid w:val="000F030A"/>
    <w:rsid w:val="000F03D3"/>
    <w:rsid w:val="000F059A"/>
    <w:rsid w:val="000F05B8"/>
    <w:rsid w:val="000F0944"/>
    <w:rsid w:val="000F0A57"/>
    <w:rsid w:val="000F0A58"/>
    <w:rsid w:val="000F0B52"/>
    <w:rsid w:val="000F0BDA"/>
    <w:rsid w:val="000F10D1"/>
    <w:rsid w:val="000F116E"/>
    <w:rsid w:val="000F11D0"/>
    <w:rsid w:val="000F152F"/>
    <w:rsid w:val="000F18FC"/>
    <w:rsid w:val="000F19D1"/>
    <w:rsid w:val="000F1C14"/>
    <w:rsid w:val="000F1E6E"/>
    <w:rsid w:val="000F254F"/>
    <w:rsid w:val="000F2652"/>
    <w:rsid w:val="000F2A41"/>
    <w:rsid w:val="000F2BE8"/>
    <w:rsid w:val="000F2C95"/>
    <w:rsid w:val="000F2D13"/>
    <w:rsid w:val="000F2F44"/>
    <w:rsid w:val="000F3144"/>
    <w:rsid w:val="000F323E"/>
    <w:rsid w:val="000F353F"/>
    <w:rsid w:val="000F367A"/>
    <w:rsid w:val="000F3AA8"/>
    <w:rsid w:val="000F3BFD"/>
    <w:rsid w:val="000F3EA8"/>
    <w:rsid w:val="000F3F30"/>
    <w:rsid w:val="000F439B"/>
    <w:rsid w:val="000F492F"/>
    <w:rsid w:val="000F4AD4"/>
    <w:rsid w:val="000F52AA"/>
    <w:rsid w:val="000F5302"/>
    <w:rsid w:val="000F53D1"/>
    <w:rsid w:val="000F55BD"/>
    <w:rsid w:val="000F57A6"/>
    <w:rsid w:val="000F5A8E"/>
    <w:rsid w:val="000F5C52"/>
    <w:rsid w:val="000F6442"/>
    <w:rsid w:val="000F6675"/>
    <w:rsid w:val="000F6F9C"/>
    <w:rsid w:val="000F71BB"/>
    <w:rsid w:val="000F74B8"/>
    <w:rsid w:val="000F755B"/>
    <w:rsid w:val="000F764B"/>
    <w:rsid w:val="000F77BF"/>
    <w:rsid w:val="000F788E"/>
    <w:rsid w:val="000F7C9C"/>
    <w:rsid w:val="000F7DEC"/>
    <w:rsid w:val="0010001B"/>
    <w:rsid w:val="00100193"/>
    <w:rsid w:val="00100274"/>
    <w:rsid w:val="00100B03"/>
    <w:rsid w:val="00100CCF"/>
    <w:rsid w:val="00100E21"/>
    <w:rsid w:val="00100F90"/>
    <w:rsid w:val="001011F1"/>
    <w:rsid w:val="0010127D"/>
    <w:rsid w:val="0010147D"/>
    <w:rsid w:val="00101651"/>
    <w:rsid w:val="00101961"/>
    <w:rsid w:val="00101D73"/>
    <w:rsid w:val="00101DC0"/>
    <w:rsid w:val="00101DFF"/>
    <w:rsid w:val="00101E83"/>
    <w:rsid w:val="001022F7"/>
    <w:rsid w:val="0010242B"/>
    <w:rsid w:val="001024FB"/>
    <w:rsid w:val="0010250A"/>
    <w:rsid w:val="00102603"/>
    <w:rsid w:val="001029EE"/>
    <w:rsid w:val="00102A87"/>
    <w:rsid w:val="00102AD4"/>
    <w:rsid w:val="00102CBA"/>
    <w:rsid w:val="0010306B"/>
    <w:rsid w:val="00103721"/>
    <w:rsid w:val="00103925"/>
    <w:rsid w:val="0010398A"/>
    <w:rsid w:val="00103A13"/>
    <w:rsid w:val="00103B67"/>
    <w:rsid w:val="00104190"/>
    <w:rsid w:val="00104275"/>
    <w:rsid w:val="0010492D"/>
    <w:rsid w:val="001049F3"/>
    <w:rsid w:val="00104A97"/>
    <w:rsid w:val="00104B3C"/>
    <w:rsid w:val="00104BBE"/>
    <w:rsid w:val="00104C08"/>
    <w:rsid w:val="00104DBD"/>
    <w:rsid w:val="00105019"/>
    <w:rsid w:val="00105098"/>
    <w:rsid w:val="0010544C"/>
    <w:rsid w:val="00105474"/>
    <w:rsid w:val="00105695"/>
    <w:rsid w:val="001056A1"/>
    <w:rsid w:val="001056C9"/>
    <w:rsid w:val="00105E62"/>
    <w:rsid w:val="00105F65"/>
    <w:rsid w:val="00106026"/>
    <w:rsid w:val="00106131"/>
    <w:rsid w:val="00106569"/>
    <w:rsid w:val="001067A1"/>
    <w:rsid w:val="00106830"/>
    <w:rsid w:val="0010692B"/>
    <w:rsid w:val="00106CD3"/>
    <w:rsid w:val="00106CEF"/>
    <w:rsid w:val="00106DE3"/>
    <w:rsid w:val="00106E56"/>
    <w:rsid w:val="00106F5D"/>
    <w:rsid w:val="001072B5"/>
    <w:rsid w:val="001074BC"/>
    <w:rsid w:val="00107786"/>
    <w:rsid w:val="00107EA7"/>
    <w:rsid w:val="00110043"/>
    <w:rsid w:val="0011039E"/>
    <w:rsid w:val="001104E5"/>
    <w:rsid w:val="001104ED"/>
    <w:rsid w:val="0011065C"/>
    <w:rsid w:val="001106F2"/>
    <w:rsid w:val="0011081F"/>
    <w:rsid w:val="00110908"/>
    <w:rsid w:val="00110AB7"/>
    <w:rsid w:val="00110E8E"/>
    <w:rsid w:val="00110EA1"/>
    <w:rsid w:val="00111049"/>
    <w:rsid w:val="0011134F"/>
    <w:rsid w:val="0011159B"/>
    <w:rsid w:val="001115A9"/>
    <w:rsid w:val="001115AB"/>
    <w:rsid w:val="0011192F"/>
    <w:rsid w:val="00112A92"/>
    <w:rsid w:val="00112B47"/>
    <w:rsid w:val="00112D70"/>
    <w:rsid w:val="00112E56"/>
    <w:rsid w:val="00112F62"/>
    <w:rsid w:val="00113260"/>
    <w:rsid w:val="00113285"/>
    <w:rsid w:val="00113D20"/>
    <w:rsid w:val="00113ECA"/>
    <w:rsid w:val="00113F38"/>
    <w:rsid w:val="0011400D"/>
    <w:rsid w:val="00114025"/>
    <w:rsid w:val="00114215"/>
    <w:rsid w:val="00114267"/>
    <w:rsid w:val="001142DE"/>
    <w:rsid w:val="001144D5"/>
    <w:rsid w:val="00114638"/>
    <w:rsid w:val="001146EF"/>
    <w:rsid w:val="00114857"/>
    <w:rsid w:val="00114CA4"/>
    <w:rsid w:val="00114CF9"/>
    <w:rsid w:val="00114F17"/>
    <w:rsid w:val="00114FC5"/>
    <w:rsid w:val="00115018"/>
    <w:rsid w:val="001150B1"/>
    <w:rsid w:val="001152EF"/>
    <w:rsid w:val="00115474"/>
    <w:rsid w:val="0011590B"/>
    <w:rsid w:val="00115A5D"/>
    <w:rsid w:val="00115DDC"/>
    <w:rsid w:val="00115E9E"/>
    <w:rsid w:val="00116096"/>
    <w:rsid w:val="00116257"/>
    <w:rsid w:val="001164DA"/>
    <w:rsid w:val="00116535"/>
    <w:rsid w:val="0011655F"/>
    <w:rsid w:val="0011658E"/>
    <w:rsid w:val="00116965"/>
    <w:rsid w:val="001169A7"/>
    <w:rsid w:val="00116A0B"/>
    <w:rsid w:val="00116E97"/>
    <w:rsid w:val="00117201"/>
    <w:rsid w:val="0011725C"/>
    <w:rsid w:val="001173FE"/>
    <w:rsid w:val="001178E5"/>
    <w:rsid w:val="001179A1"/>
    <w:rsid w:val="001179AD"/>
    <w:rsid w:val="00117A79"/>
    <w:rsid w:val="00117BA0"/>
    <w:rsid w:val="00117ECD"/>
    <w:rsid w:val="001202DB"/>
    <w:rsid w:val="0012045D"/>
    <w:rsid w:val="001204C1"/>
    <w:rsid w:val="001206C0"/>
    <w:rsid w:val="00120831"/>
    <w:rsid w:val="001208B1"/>
    <w:rsid w:val="00120990"/>
    <w:rsid w:val="00120DDD"/>
    <w:rsid w:val="00120F40"/>
    <w:rsid w:val="00121315"/>
    <w:rsid w:val="00121AB7"/>
    <w:rsid w:val="00121AD8"/>
    <w:rsid w:val="00122109"/>
    <w:rsid w:val="001222D6"/>
    <w:rsid w:val="001224F7"/>
    <w:rsid w:val="001225BC"/>
    <w:rsid w:val="001225E1"/>
    <w:rsid w:val="001229F8"/>
    <w:rsid w:val="00122A97"/>
    <w:rsid w:val="00122C8A"/>
    <w:rsid w:val="00122EDD"/>
    <w:rsid w:val="00122FDB"/>
    <w:rsid w:val="00123015"/>
    <w:rsid w:val="001231A3"/>
    <w:rsid w:val="001236DD"/>
    <w:rsid w:val="001238D1"/>
    <w:rsid w:val="001239C4"/>
    <w:rsid w:val="001239C7"/>
    <w:rsid w:val="00123C05"/>
    <w:rsid w:val="00123FA5"/>
    <w:rsid w:val="001246D9"/>
    <w:rsid w:val="00124958"/>
    <w:rsid w:val="00124B2D"/>
    <w:rsid w:val="00124C71"/>
    <w:rsid w:val="00124CA3"/>
    <w:rsid w:val="00124D6B"/>
    <w:rsid w:val="001251A4"/>
    <w:rsid w:val="00125343"/>
    <w:rsid w:val="001254FC"/>
    <w:rsid w:val="00125534"/>
    <w:rsid w:val="001258F5"/>
    <w:rsid w:val="00125AF3"/>
    <w:rsid w:val="00125BB4"/>
    <w:rsid w:val="00125D88"/>
    <w:rsid w:val="00126042"/>
    <w:rsid w:val="001264C8"/>
    <w:rsid w:val="00126735"/>
    <w:rsid w:val="00126913"/>
    <w:rsid w:val="00126A52"/>
    <w:rsid w:val="00126B69"/>
    <w:rsid w:val="00126B76"/>
    <w:rsid w:val="00126C37"/>
    <w:rsid w:val="00126C45"/>
    <w:rsid w:val="00126D8F"/>
    <w:rsid w:val="001270B7"/>
    <w:rsid w:val="0012715F"/>
    <w:rsid w:val="00127167"/>
    <w:rsid w:val="0012727D"/>
    <w:rsid w:val="001274AC"/>
    <w:rsid w:val="00127844"/>
    <w:rsid w:val="00127983"/>
    <w:rsid w:val="001279E9"/>
    <w:rsid w:val="00127BE1"/>
    <w:rsid w:val="00127DFA"/>
    <w:rsid w:val="00127E28"/>
    <w:rsid w:val="00130292"/>
    <w:rsid w:val="0013051B"/>
    <w:rsid w:val="00130524"/>
    <w:rsid w:val="00130545"/>
    <w:rsid w:val="001309C6"/>
    <w:rsid w:val="00130AFA"/>
    <w:rsid w:val="00130B90"/>
    <w:rsid w:val="00130C0B"/>
    <w:rsid w:val="00130D07"/>
    <w:rsid w:val="00130FD9"/>
    <w:rsid w:val="001310A1"/>
    <w:rsid w:val="0013173E"/>
    <w:rsid w:val="00131B9C"/>
    <w:rsid w:val="00132568"/>
    <w:rsid w:val="0013298D"/>
    <w:rsid w:val="001329AD"/>
    <w:rsid w:val="00132ACC"/>
    <w:rsid w:val="00132C38"/>
    <w:rsid w:val="00132DA4"/>
    <w:rsid w:val="00133012"/>
    <w:rsid w:val="00133128"/>
    <w:rsid w:val="00133357"/>
    <w:rsid w:val="00133441"/>
    <w:rsid w:val="001335C1"/>
    <w:rsid w:val="001336E0"/>
    <w:rsid w:val="0013372E"/>
    <w:rsid w:val="0013378C"/>
    <w:rsid w:val="00133AC8"/>
    <w:rsid w:val="00133DD4"/>
    <w:rsid w:val="00133FBA"/>
    <w:rsid w:val="00134185"/>
    <w:rsid w:val="0013437C"/>
    <w:rsid w:val="001346DB"/>
    <w:rsid w:val="00134711"/>
    <w:rsid w:val="00134B28"/>
    <w:rsid w:val="00134B86"/>
    <w:rsid w:val="00134CC3"/>
    <w:rsid w:val="00134ECD"/>
    <w:rsid w:val="001350AA"/>
    <w:rsid w:val="0013519E"/>
    <w:rsid w:val="001359BA"/>
    <w:rsid w:val="00135D4F"/>
    <w:rsid w:val="00136004"/>
    <w:rsid w:val="00136092"/>
    <w:rsid w:val="001361B9"/>
    <w:rsid w:val="001363C7"/>
    <w:rsid w:val="0013656F"/>
    <w:rsid w:val="001365AA"/>
    <w:rsid w:val="0013680E"/>
    <w:rsid w:val="001368BA"/>
    <w:rsid w:val="001368EF"/>
    <w:rsid w:val="0013692F"/>
    <w:rsid w:val="00136B9F"/>
    <w:rsid w:val="00136BE4"/>
    <w:rsid w:val="00136C98"/>
    <w:rsid w:val="001370EE"/>
    <w:rsid w:val="001376CA"/>
    <w:rsid w:val="00137B9A"/>
    <w:rsid w:val="00137E10"/>
    <w:rsid w:val="0014090F"/>
    <w:rsid w:val="00140B06"/>
    <w:rsid w:val="00140B80"/>
    <w:rsid w:val="00140D16"/>
    <w:rsid w:val="00141147"/>
    <w:rsid w:val="0014119C"/>
    <w:rsid w:val="001416CD"/>
    <w:rsid w:val="00141882"/>
    <w:rsid w:val="0014188A"/>
    <w:rsid w:val="0014193A"/>
    <w:rsid w:val="00141960"/>
    <w:rsid w:val="0014200A"/>
    <w:rsid w:val="00142026"/>
    <w:rsid w:val="001424FE"/>
    <w:rsid w:val="001426BC"/>
    <w:rsid w:val="00142C0E"/>
    <w:rsid w:val="00142E36"/>
    <w:rsid w:val="00142EE9"/>
    <w:rsid w:val="00143DF3"/>
    <w:rsid w:val="00143E28"/>
    <w:rsid w:val="00143E61"/>
    <w:rsid w:val="00144276"/>
    <w:rsid w:val="0014442F"/>
    <w:rsid w:val="001444A2"/>
    <w:rsid w:val="00144764"/>
    <w:rsid w:val="001447E5"/>
    <w:rsid w:val="00144917"/>
    <w:rsid w:val="00144A44"/>
    <w:rsid w:val="00144ADF"/>
    <w:rsid w:val="00144B58"/>
    <w:rsid w:val="00144C4F"/>
    <w:rsid w:val="00144C7C"/>
    <w:rsid w:val="0014529D"/>
    <w:rsid w:val="00145C79"/>
    <w:rsid w:val="00145DFF"/>
    <w:rsid w:val="001460A7"/>
    <w:rsid w:val="00146236"/>
    <w:rsid w:val="00146384"/>
    <w:rsid w:val="001464AB"/>
    <w:rsid w:val="00146A12"/>
    <w:rsid w:val="00146D34"/>
    <w:rsid w:val="0014707C"/>
    <w:rsid w:val="00147190"/>
    <w:rsid w:val="001472CE"/>
    <w:rsid w:val="0014743B"/>
    <w:rsid w:val="00147995"/>
    <w:rsid w:val="00147ABB"/>
    <w:rsid w:val="00147B52"/>
    <w:rsid w:val="00147F1A"/>
    <w:rsid w:val="00150074"/>
    <w:rsid w:val="00150415"/>
    <w:rsid w:val="00150474"/>
    <w:rsid w:val="00150513"/>
    <w:rsid w:val="001507B2"/>
    <w:rsid w:val="00150C88"/>
    <w:rsid w:val="00150E84"/>
    <w:rsid w:val="00151015"/>
    <w:rsid w:val="001510FE"/>
    <w:rsid w:val="00151668"/>
    <w:rsid w:val="001518A5"/>
    <w:rsid w:val="001518E8"/>
    <w:rsid w:val="00151BAC"/>
    <w:rsid w:val="00151DF3"/>
    <w:rsid w:val="00152164"/>
    <w:rsid w:val="001521DC"/>
    <w:rsid w:val="00152380"/>
    <w:rsid w:val="0015258B"/>
    <w:rsid w:val="001525BD"/>
    <w:rsid w:val="00152BE1"/>
    <w:rsid w:val="00152D06"/>
    <w:rsid w:val="00152D1F"/>
    <w:rsid w:val="0015339C"/>
    <w:rsid w:val="001534A0"/>
    <w:rsid w:val="00153836"/>
    <w:rsid w:val="0015389C"/>
    <w:rsid w:val="00153E91"/>
    <w:rsid w:val="00154510"/>
    <w:rsid w:val="0015454B"/>
    <w:rsid w:val="0015485F"/>
    <w:rsid w:val="001548B4"/>
    <w:rsid w:val="00154C4D"/>
    <w:rsid w:val="00154FD7"/>
    <w:rsid w:val="0015510C"/>
    <w:rsid w:val="00155445"/>
    <w:rsid w:val="00155713"/>
    <w:rsid w:val="001559AA"/>
    <w:rsid w:val="00155AA2"/>
    <w:rsid w:val="00155F4F"/>
    <w:rsid w:val="00156311"/>
    <w:rsid w:val="0015631C"/>
    <w:rsid w:val="00156748"/>
    <w:rsid w:val="00156DD1"/>
    <w:rsid w:val="00156DE0"/>
    <w:rsid w:val="00156E72"/>
    <w:rsid w:val="00156FD4"/>
    <w:rsid w:val="00157331"/>
    <w:rsid w:val="00157468"/>
    <w:rsid w:val="00157532"/>
    <w:rsid w:val="001575F0"/>
    <w:rsid w:val="001579CF"/>
    <w:rsid w:val="00157A34"/>
    <w:rsid w:val="00157E03"/>
    <w:rsid w:val="00157E55"/>
    <w:rsid w:val="0016023F"/>
    <w:rsid w:val="001606F7"/>
    <w:rsid w:val="00160800"/>
    <w:rsid w:val="00160854"/>
    <w:rsid w:val="001608C3"/>
    <w:rsid w:val="00160B15"/>
    <w:rsid w:val="00160CD9"/>
    <w:rsid w:val="001610FE"/>
    <w:rsid w:val="0016112D"/>
    <w:rsid w:val="00161281"/>
    <w:rsid w:val="00161F87"/>
    <w:rsid w:val="001623E8"/>
    <w:rsid w:val="001624F2"/>
    <w:rsid w:val="00162891"/>
    <w:rsid w:val="001629B3"/>
    <w:rsid w:val="00162B4E"/>
    <w:rsid w:val="00162E21"/>
    <w:rsid w:val="00162EE1"/>
    <w:rsid w:val="0016321B"/>
    <w:rsid w:val="00163235"/>
    <w:rsid w:val="00163387"/>
    <w:rsid w:val="001634E5"/>
    <w:rsid w:val="00163533"/>
    <w:rsid w:val="00163895"/>
    <w:rsid w:val="00163AE2"/>
    <w:rsid w:val="00163F24"/>
    <w:rsid w:val="001645B7"/>
    <w:rsid w:val="00164645"/>
    <w:rsid w:val="001646E4"/>
    <w:rsid w:val="00164791"/>
    <w:rsid w:val="00164954"/>
    <w:rsid w:val="00164C50"/>
    <w:rsid w:val="0016508D"/>
    <w:rsid w:val="00165116"/>
    <w:rsid w:val="00165602"/>
    <w:rsid w:val="001656FD"/>
    <w:rsid w:val="00165A64"/>
    <w:rsid w:val="00165A76"/>
    <w:rsid w:val="00166189"/>
    <w:rsid w:val="0016622D"/>
    <w:rsid w:val="00166379"/>
    <w:rsid w:val="00166732"/>
    <w:rsid w:val="00166967"/>
    <w:rsid w:val="001669F6"/>
    <w:rsid w:val="00166A74"/>
    <w:rsid w:val="00166C05"/>
    <w:rsid w:val="00166C98"/>
    <w:rsid w:val="001670A0"/>
    <w:rsid w:val="00167139"/>
    <w:rsid w:val="001671A9"/>
    <w:rsid w:val="0016724A"/>
    <w:rsid w:val="0016779D"/>
    <w:rsid w:val="001677E1"/>
    <w:rsid w:val="00167934"/>
    <w:rsid w:val="00167BE1"/>
    <w:rsid w:val="00167F58"/>
    <w:rsid w:val="00170077"/>
    <w:rsid w:val="00170538"/>
    <w:rsid w:val="0017098C"/>
    <w:rsid w:val="00171274"/>
    <w:rsid w:val="0017141C"/>
    <w:rsid w:val="0017169C"/>
    <w:rsid w:val="00171E7D"/>
    <w:rsid w:val="00171F7C"/>
    <w:rsid w:val="0017216C"/>
    <w:rsid w:val="001722AF"/>
    <w:rsid w:val="001722C5"/>
    <w:rsid w:val="00172900"/>
    <w:rsid w:val="00172A8C"/>
    <w:rsid w:val="00172B96"/>
    <w:rsid w:val="0017332F"/>
    <w:rsid w:val="00173466"/>
    <w:rsid w:val="00173674"/>
    <w:rsid w:val="001738B0"/>
    <w:rsid w:val="001739E3"/>
    <w:rsid w:val="00174005"/>
    <w:rsid w:val="001743AD"/>
    <w:rsid w:val="0017469C"/>
    <w:rsid w:val="00174810"/>
    <w:rsid w:val="0017499B"/>
    <w:rsid w:val="00174B9F"/>
    <w:rsid w:val="00174CD5"/>
    <w:rsid w:val="001750BF"/>
    <w:rsid w:val="00175307"/>
    <w:rsid w:val="0017548F"/>
    <w:rsid w:val="0017558A"/>
    <w:rsid w:val="001756E9"/>
    <w:rsid w:val="0017578C"/>
    <w:rsid w:val="00175B4E"/>
    <w:rsid w:val="00175D7F"/>
    <w:rsid w:val="0017637D"/>
    <w:rsid w:val="00176665"/>
    <w:rsid w:val="0017689C"/>
    <w:rsid w:val="00176994"/>
    <w:rsid w:val="00176A2C"/>
    <w:rsid w:val="00176CBB"/>
    <w:rsid w:val="00176F99"/>
    <w:rsid w:val="00176FDC"/>
    <w:rsid w:val="0017700C"/>
    <w:rsid w:val="00177076"/>
    <w:rsid w:val="00177656"/>
    <w:rsid w:val="0017780E"/>
    <w:rsid w:val="00177912"/>
    <w:rsid w:val="00177A71"/>
    <w:rsid w:val="00177C10"/>
    <w:rsid w:val="00177E66"/>
    <w:rsid w:val="0018037D"/>
    <w:rsid w:val="001805DA"/>
    <w:rsid w:val="0018097C"/>
    <w:rsid w:val="0018099E"/>
    <w:rsid w:val="00180BD8"/>
    <w:rsid w:val="00180D0A"/>
    <w:rsid w:val="00180D89"/>
    <w:rsid w:val="001812E9"/>
    <w:rsid w:val="001813C9"/>
    <w:rsid w:val="001814D7"/>
    <w:rsid w:val="001817D1"/>
    <w:rsid w:val="001818EB"/>
    <w:rsid w:val="0018196A"/>
    <w:rsid w:val="00181A1B"/>
    <w:rsid w:val="00181DA7"/>
    <w:rsid w:val="00182457"/>
    <w:rsid w:val="0018261E"/>
    <w:rsid w:val="001827B6"/>
    <w:rsid w:val="001827F3"/>
    <w:rsid w:val="00183096"/>
    <w:rsid w:val="0018315C"/>
    <w:rsid w:val="001833D5"/>
    <w:rsid w:val="00183702"/>
    <w:rsid w:val="001837B0"/>
    <w:rsid w:val="00183994"/>
    <w:rsid w:val="001840AE"/>
    <w:rsid w:val="00184243"/>
    <w:rsid w:val="0018468C"/>
    <w:rsid w:val="001848B6"/>
    <w:rsid w:val="00184C6F"/>
    <w:rsid w:val="00184FBB"/>
    <w:rsid w:val="00185022"/>
    <w:rsid w:val="00185234"/>
    <w:rsid w:val="00185550"/>
    <w:rsid w:val="00185DDE"/>
    <w:rsid w:val="00185E3A"/>
    <w:rsid w:val="001863A5"/>
    <w:rsid w:val="0018653F"/>
    <w:rsid w:val="00186560"/>
    <w:rsid w:val="001869FE"/>
    <w:rsid w:val="00186A78"/>
    <w:rsid w:val="00186BBA"/>
    <w:rsid w:val="00187C73"/>
    <w:rsid w:val="0019057F"/>
    <w:rsid w:val="00190A0C"/>
    <w:rsid w:val="001911E2"/>
    <w:rsid w:val="0019131A"/>
    <w:rsid w:val="00191321"/>
    <w:rsid w:val="001915F3"/>
    <w:rsid w:val="00191670"/>
    <w:rsid w:val="001916D9"/>
    <w:rsid w:val="00191C1F"/>
    <w:rsid w:val="00192454"/>
    <w:rsid w:val="00192709"/>
    <w:rsid w:val="0019287F"/>
    <w:rsid w:val="00192B0B"/>
    <w:rsid w:val="00192E18"/>
    <w:rsid w:val="00192E2B"/>
    <w:rsid w:val="00192E92"/>
    <w:rsid w:val="0019316A"/>
    <w:rsid w:val="001932A9"/>
    <w:rsid w:val="001933E5"/>
    <w:rsid w:val="001933FC"/>
    <w:rsid w:val="001934CF"/>
    <w:rsid w:val="001934DA"/>
    <w:rsid w:val="00193547"/>
    <w:rsid w:val="00193730"/>
    <w:rsid w:val="00193767"/>
    <w:rsid w:val="0019376C"/>
    <w:rsid w:val="00193A44"/>
    <w:rsid w:val="00193A49"/>
    <w:rsid w:val="00193BF5"/>
    <w:rsid w:val="00194174"/>
    <w:rsid w:val="0019424B"/>
    <w:rsid w:val="001944EF"/>
    <w:rsid w:val="00194729"/>
    <w:rsid w:val="0019499C"/>
    <w:rsid w:val="00194BC0"/>
    <w:rsid w:val="00194F79"/>
    <w:rsid w:val="00195060"/>
    <w:rsid w:val="00195290"/>
    <w:rsid w:val="001952F6"/>
    <w:rsid w:val="001953A4"/>
    <w:rsid w:val="00195799"/>
    <w:rsid w:val="00195E15"/>
    <w:rsid w:val="00195E53"/>
    <w:rsid w:val="00196155"/>
    <w:rsid w:val="001962DB"/>
    <w:rsid w:val="00196491"/>
    <w:rsid w:val="0019660A"/>
    <w:rsid w:val="0019689A"/>
    <w:rsid w:val="00196EA3"/>
    <w:rsid w:val="0019713B"/>
    <w:rsid w:val="00197361"/>
    <w:rsid w:val="00197A47"/>
    <w:rsid w:val="00197B6A"/>
    <w:rsid w:val="001A00C3"/>
    <w:rsid w:val="001A0246"/>
    <w:rsid w:val="001A0469"/>
    <w:rsid w:val="001A0518"/>
    <w:rsid w:val="001A0718"/>
    <w:rsid w:val="001A0879"/>
    <w:rsid w:val="001A08D1"/>
    <w:rsid w:val="001A0CEE"/>
    <w:rsid w:val="001A0EF5"/>
    <w:rsid w:val="001A1223"/>
    <w:rsid w:val="001A14E1"/>
    <w:rsid w:val="001A1792"/>
    <w:rsid w:val="001A1885"/>
    <w:rsid w:val="001A1CA2"/>
    <w:rsid w:val="001A219A"/>
    <w:rsid w:val="001A22CE"/>
    <w:rsid w:val="001A2432"/>
    <w:rsid w:val="001A2475"/>
    <w:rsid w:val="001A26EE"/>
    <w:rsid w:val="001A2818"/>
    <w:rsid w:val="001A2B50"/>
    <w:rsid w:val="001A2DCB"/>
    <w:rsid w:val="001A3016"/>
    <w:rsid w:val="001A3076"/>
    <w:rsid w:val="001A33F2"/>
    <w:rsid w:val="001A365B"/>
    <w:rsid w:val="001A36EF"/>
    <w:rsid w:val="001A37FD"/>
    <w:rsid w:val="001A382E"/>
    <w:rsid w:val="001A3833"/>
    <w:rsid w:val="001A3985"/>
    <w:rsid w:val="001A3A49"/>
    <w:rsid w:val="001A3C84"/>
    <w:rsid w:val="001A3D8A"/>
    <w:rsid w:val="001A3F7E"/>
    <w:rsid w:val="001A400D"/>
    <w:rsid w:val="001A4486"/>
    <w:rsid w:val="001A4870"/>
    <w:rsid w:val="001A4871"/>
    <w:rsid w:val="001A4CD8"/>
    <w:rsid w:val="001A4D1B"/>
    <w:rsid w:val="001A4D48"/>
    <w:rsid w:val="001A4FD9"/>
    <w:rsid w:val="001A5406"/>
    <w:rsid w:val="001A55E8"/>
    <w:rsid w:val="001A5909"/>
    <w:rsid w:val="001A5F59"/>
    <w:rsid w:val="001A5F8D"/>
    <w:rsid w:val="001A61A1"/>
    <w:rsid w:val="001A6218"/>
    <w:rsid w:val="001A62F1"/>
    <w:rsid w:val="001A65D5"/>
    <w:rsid w:val="001A6BB0"/>
    <w:rsid w:val="001A6D54"/>
    <w:rsid w:val="001A6D5C"/>
    <w:rsid w:val="001A70DC"/>
    <w:rsid w:val="001A716D"/>
    <w:rsid w:val="001A7287"/>
    <w:rsid w:val="001A72C4"/>
    <w:rsid w:val="001A7660"/>
    <w:rsid w:val="001A76DE"/>
    <w:rsid w:val="001A78F3"/>
    <w:rsid w:val="001A7B64"/>
    <w:rsid w:val="001B00CC"/>
    <w:rsid w:val="001B0136"/>
    <w:rsid w:val="001B03B5"/>
    <w:rsid w:val="001B087E"/>
    <w:rsid w:val="001B0B66"/>
    <w:rsid w:val="001B0D30"/>
    <w:rsid w:val="001B0F1E"/>
    <w:rsid w:val="001B104F"/>
    <w:rsid w:val="001B142C"/>
    <w:rsid w:val="001B1662"/>
    <w:rsid w:val="001B1AE7"/>
    <w:rsid w:val="001B1EB0"/>
    <w:rsid w:val="001B2218"/>
    <w:rsid w:val="001B283A"/>
    <w:rsid w:val="001B2B80"/>
    <w:rsid w:val="001B2BF8"/>
    <w:rsid w:val="001B2C6C"/>
    <w:rsid w:val="001B2EB0"/>
    <w:rsid w:val="001B2F38"/>
    <w:rsid w:val="001B3010"/>
    <w:rsid w:val="001B32B0"/>
    <w:rsid w:val="001B345A"/>
    <w:rsid w:val="001B37EF"/>
    <w:rsid w:val="001B38DF"/>
    <w:rsid w:val="001B3CAA"/>
    <w:rsid w:val="001B3D78"/>
    <w:rsid w:val="001B407E"/>
    <w:rsid w:val="001B4388"/>
    <w:rsid w:val="001B4478"/>
    <w:rsid w:val="001B46FC"/>
    <w:rsid w:val="001B4CB4"/>
    <w:rsid w:val="001B4FAE"/>
    <w:rsid w:val="001B51F4"/>
    <w:rsid w:val="001B5210"/>
    <w:rsid w:val="001B53F7"/>
    <w:rsid w:val="001B5422"/>
    <w:rsid w:val="001B56E1"/>
    <w:rsid w:val="001B5932"/>
    <w:rsid w:val="001B5DBD"/>
    <w:rsid w:val="001B6202"/>
    <w:rsid w:val="001B64EF"/>
    <w:rsid w:val="001B65A4"/>
    <w:rsid w:val="001B677B"/>
    <w:rsid w:val="001B72A7"/>
    <w:rsid w:val="001B754A"/>
    <w:rsid w:val="001B75FB"/>
    <w:rsid w:val="001B774E"/>
    <w:rsid w:val="001B77C0"/>
    <w:rsid w:val="001B7BFE"/>
    <w:rsid w:val="001B7D25"/>
    <w:rsid w:val="001B7D26"/>
    <w:rsid w:val="001B7EA2"/>
    <w:rsid w:val="001B7FCE"/>
    <w:rsid w:val="001B7FE4"/>
    <w:rsid w:val="001C0758"/>
    <w:rsid w:val="001C088A"/>
    <w:rsid w:val="001C08D1"/>
    <w:rsid w:val="001C0CD5"/>
    <w:rsid w:val="001C12E2"/>
    <w:rsid w:val="001C1A5C"/>
    <w:rsid w:val="001C1EB5"/>
    <w:rsid w:val="001C209E"/>
    <w:rsid w:val="001C25FF"/>
    <w:rsid w:val="001C2C05"/>
    <w:rsid w:val="001C2D3F"/>
    <w:rsid w:val="001C2E03"/>
    <w:rsid w:val="001C31E6"/>
    <w:rsid w:val="001C3280"/>
    <w:rsid w:val="001C32BE"/>
    <w:rsid w:val="001C3469"/>
    <w:rsid w:val="001C363B"/>
    <w:rsid w:val="001C3983"/>
    <w:rsid w:val="001C3C31"/>
    <w:rsid w:val="001C40AD"/>
    <w:rsid w:val="001C424E"/>
    <w:rsid w:val="001C48D4"/>
    <w:rsid w:val="001C4A60"/>
    <w:rsid w:val="001C4A7F"/>
    <w:rsid w:val="001C4FF8"/>
    <w:rsid w:val="001C52F8"/>
    <w:rsid w:val="001C54CD"/>
    <w:rsid w:val="001C594A"/>
    <w:rsid w:val="001C5BFA"/>
    <w:rsid w:val="001C5C71"/>
    <w:rsid w:val="001C5EE1"/>
    <w:rsid w:val="001C64B2"/>
    <w:rsid w:val="001C6672"/>
    <w:rsid w:val="001C6A93"/>
    <w:rsid w:val="001C7278"/>
    <w:rsid w:val="001C7C02"/>
    <w:rsid w:val="001C7C3D"/>
    <w:rsid w:val="001C7D4E"/>
    <w:rsid w:val="001D0393"/>
    <w:rsid w:val="001D04A3"/>
    <w:rsid w:val="001D04E8"/>
    <w:rsid w:val="001D05BD"/>
    <w:rsid w:val="001D0710"/>
    <w:rsid w:val="001D07BF"/>
    <w:rsid w:val="001D0921"/>
    <w:rsid w:val="001D0A8B"/>
    <w:rsid w:val="001D0C49"/>
    <w:rsid w:val="001D0DCB"/>
    <w:rsid w:val="001D0FA3"/>
    <w:rsid w:val="001D14EB"/>
    <w:rsid w:val="001D14F7"/>
    <w:rsid w:val="001D16D4"/>
    <w:rsid w:val="001D1834"/>
    <w:rsid w:val="001D1866"/>
    <w:rsid w:val="001D1B12"/>
    <w:rsid w:val="001D1BFF"/>
    <w:rsid w:val="001D1DE3"/>
    <w:rsid w:val="001D2155"/>
    <w:rsid w:val="001D225D"/>
    <w:rsid w:val="001D242E"/>
    <w:rsid w:val="001D24BB"/>
    <w:rsid w:val="001D25BC"/>
    <w:rsid w:val="001D2942"/>
    <w:rsid w:val="001D2AB2"/>
    <w:rsid w:val="001D2C9F"/>
    <w:rsid w:val="001D32BA"/>
    <w:rsid w:val="001D3719"/>
    <w:rsid w:val="001D3A22"/>
    <w:rsid w:val="001D432A"/>
    <w:rsid w:val="001D4340"/>
    <w:rsid w:val="001D44A4"/>
    <w:rsid w:val="001D46D7"/>
    <w:rsid w:val="001D4744"/>
    <w:rsid w:val="001D485C"/>
    <w:rsid w:val="001D4A72"/>
    <w:rsid w:val="001D4A8E"/>
    <w:rsid w:val="001D4BED"/>
    <w:rsid w:val="001D4C03"/>
    <w:rsid w:val="001D4FF0"/>
    <w:rsid w:val="001D504A"/>
    <w:rsid w:val="001D509C"/>
    <w:rsid w:val="001D51C7"/>
    <w:rsid w:val="001D54E2"/>
    <w:rsid w:val="001D554A"/>
    <w:rsid w:val="001D5561"/>
    <w:rsid w:val="001D58EA"/>
    <w:rsid w:val="001D5A81"/>
    <w:rsid w:val="001D5B2B"/>
    <w:rsid w:val="001D5EEB"/>
    <w:rsid w:val="001D6199"/>
    <w:rsid w:val="001D646D"/>
    <w:rsid w:val="001D6BB6"/>
    <w:rsid w:val="001D6C5F"/>
    <w:rsid w:val="001D6D3F"/>
    <w:rsid w:val="001D701D"/>
    <w:rsid w:val="001D714C"/>
    <w:rsid w:val="001D7685"/>
    <w:rsid w:val="001D7882"/>
    <w:rsid w:val="001D7A22"/>
    <w:rsid w:val="001D7B66"/>
    <w:rsid w:val="001D7BF8"/>
    <w:rsid w:val="001E0411"/>
    <w:rsid w:val="001E041A"/>
    <w:rsid w:val="001E0576"/>
    <w:rsid w:val="001E0741"/>
    <w:rsid w:val="001E0884"/>
    <w:rsid w:val="001E09EF"/>
    <w:rsid w:val="001E0BEB"/>
    <w:rsid w:val="001E1032"/>
    <w:rsid w:val="001E1076"/>
    <w:rsid w:val="001E114B"/>
    <w:rsid w:val="001E1553"/>
    <w:rsid w:val="001E15CD"/>
    <w:rsid w:val="001E1898"/>
    <w:rsid w:val="001E18DB"/>
    <w:rsid w:val="001E1A4D"/>
    <w:rsid w:val="001E1D1F"/>
    <w:rsid w:val="001E1FA0"/>
    <w:rsid w:val="001E2093"/>
    <w:rsid w:val="001E22EB"/>
    <w:rsid w:val="001E234A"/>
    <w:rsid w:val="001E23BE"/>
    <w:rsid w:val="001E2E7C"/>
    <w:rsid w:val="001E2E96"/>
    <w:rsid w:val="001E2EC7"/>
    <w:rsid w:val="001E337F"/>
    <w:rsid w:val="001E33C5"/>
    <w:rsid w:val="001E3B53"/>
    <w:rsid w:val="001E3CEC"/>
    <w:rsid w:val="001E3D8A"/>
    <w:rsid w:val="001E3FA8"/>
    <w:rsid w:val="001E40BB"/>
    <w:rsid w:val="001E414F"/>
    <w:rsid w:val="001E415E"/>
    <w:rsid w:val="001E4409"/>
    <w:rsid w:val="001E4609"/>
    <w:rsid w:val="001E4A82"/>
    <w:rsid w:val="001E4F35"/>
    <w:rsid w:val="001E4FA1"/>
    <w:rsid w:val="001E50B9"/>
    <w:rsid w:val="001E518D"/>
    <w:rsid w:val="001E51F5"/>
    <w:rsid w:val="001E52DB"/>
    <w:rsid w:val="001E55AB"/>
    <w:rsid w:val="001E5D79"/>
    <w:rsid w:val="001E5DAE"/>
    <w:rsid w:val="001E5E59"/>
    <w:rsid w:val="001E5EE7"/>
    <w:rsid w:val="001E6001"/>
    <w:rsid w:val="001E6093"/>
    <w:rsid w:val="001E6389"/>
    <w:rsid w:val="001E6AD3"/>
    <w:rsid w:val="001E6C30"/>
    <w:rsid w:val="001E6D74"/>
    <w:rsid w:val="001E6EBB"/>
    <w:rsid w:val="001E75BC"/>
    <w:rsid w:val="001E771C"/>
    <w:rsid w:val="001E779B"/>
    <w:rsid w:val="001E78A1"/>
    <w:rsid w:val="001E78DA"/>
    <w:rsid w:val="001E7B3B"/>
    <w:rsid w:val="001E7D30"/>
    <w:rsid w:val="001E7F08"/>
    <w:rsid w:val="001E7FCA"/>
    <w:rsid w:val="001F0178"/>
    <w:rsid w:val="001F01FB"/>
    <w:rsid w:val="001F03F9"/>
    <w:rsid w:val="001F0988"/>
    <w:rsid w:val="001F09AA"/>
    <w:rsid w:val="001F0A34"/>
    <w:rsid w:val="001F0DC1"/>
    <w:rsid w:val="001F0F26"/>
    <w:rsid w:val="001F114A"/>
    <w:rsid w:val="001F12EA"/>
    <w:rsid w:val="001F188F"/>
    <w:rsid w:val="001F196E"/>
    <w:rsid w:val="001F19B0"/>
    <w:rsid w:val="001F1D15"/>
    <w:rsid w:val="001F20AF"/>
    <w:rsid w:val="001F24F1"/>
    <w:rsid w:val="001F28B0"/>
    <w:rsid w:val="001F29E1"/>
    <w:rsid w:val="001F2CC8"/>
    <w:rsid w:val="001F2F4E"/>
    <w:rsid w:val="001F3670"/>
    <w:rsid w:val="001F36E3"/>
    <w:rsid w:val="001F3702"/>
    <w:rsid w:val="001F373B"/>
    <w:rsid w:val="001F3C9D"/>
    <w:rsid w:val="001F418C"/>
    <w:rsid w:val="001F465F"/>
    <w:rsid w:val="001F4B43"/>
    <w:rsid w:val="001F4DAE"/>
    <w:rsid w:val="001F4DBD"/>
    <w:rsid w:val="001F4E0A"/>
    <w:rsid w:val="001F5199"/>
    <w:rsid w:val="001F5639"/>
    <w:rsid w:val="001F578C"/>
    <w:rsid w:val="001F57FD"/>
    <w:rsid w:val="001F5956"/>
    <w:rsid w:val="001F5AE2"/>
    <w:rsid w:val="001F5BD2"/>
    <w:rsid w:val="001F5F44"/>
    <w:rsid w:val="001F6451"/>
    <w:rsid w:val="001F6684"/>
    <w:rsid w:val="001F6AEA"/>
    <w:rsid w:val="001F7084"/>
    <w:rsid w:val="001F70A3"/>
    <w:rsid w:val="001F718E"/>
    <w:rsid w:val="001F729A"/>
    <w:rsid w:val="001F7325"/>
    <w:rsid w:val="001F73F7"/>
    <w:rsid w:val="001F7732"/>
    <w:rsid w:val="001F7780"/>
    <w:rsid w:val="001F7A89"/>
    <w:rsid w:val="001F7AA7"/>
    <w:rsid w:val="001F7D81"/>
    <w:rsid w:val="001F7D99"/>
    <w:rsid w:val="001F7E8A"/>
    <w:rsid w:val="001F7FCE"/>
    <w:rsid w:val="002001A7"/>
    <w:rsid w:val="00200665"/>
    <w:rsid w:val="0020079D"/>
    <w:rsid w:val="002007CC"/>
    <w:rsid w:val="00200BFD"/>
    <w:rsid w:val="0020113E"/>
    <w:rsid w:val="0020124C"/>
    <w:rsid w:val="00201279"/>
    <w:rsid w:val="002012F7"/>
    <w:rsid w:val="002017D5"/>
    <w:rsid w:val="00201B16"/>
    <w:rsid w:val="00201C3E"/>
    <w:rsid w:val="00202089"/>
    <w:rsid w:val="002020D8"/>
    <w:rsid w:val="00202508"/>
    <w:rsid w:val="002025D5"/>
    <w:rsid w:val="002027F5"/>
    <w:rsid w:val="00202885"/>
    <w:rsid w:val="00202BD7"/>
    <w:rsid w:val="00202C6A"/>
    <w:rsid w:val="0020311F"/>
    <w:rsid w:val="002031D1"/>
    <w:rsid w:val="0020459B"/>
    <w:rsid w:val="00204BFF"/>
    <w:rsid w:val="00204C47"/>
    <w:rsid w:val="00204E7E"/>
    <w:rsid w:val="00204F24"/>
    <w:rsid w:val="0020526E"/>
    <w:rsid w:val="002054FA"/>
    <w:rsid w:val="0020556A"/>
    <w:rsid w:val="002055F0"/>
    <w:rsid w:val="00205A06"/>
    <w:rsid w:val="00205CBF"/>
    <w:rsid w:val="00205E23"/>
    <w:rsid w:val="0020611F"/>
    <w:rsid w:val="0020646D"/>
    <w:rsid w:val="002064AB"/>
    <w:rsid w:val="002064C5"/>
    <w:rsid w:val="00206584"/>
    <w:rsid w:val="002065D3"/>
    <w:rsid w:val="0020668A"/>
    <w:rsid w:val="0020674A"/>
    <w:rsid w:val="00206BB8"/>
    <w:rsid w:val="00206C77"/>
    <w:rsid w:val="00206E3D"/>
    <w:rsid w:val="002074EE"/>
    <w:rsid w:val="00207576"/>
    <w:rsid w:val="00207586"/>
    <w:rsid w:val="0020770F"/>
    <w:rsid w:val="0020772B"/>
    <w:rsid w:val="00207777"/>
    <w:rsid w:val="0020798B"/>
    <w:rsid w:val="0020798D"/>
    <w:rsid w:val="00207A1C"/>
    <w:rsid w:val="00207B69"/>
    <w:rsid w:val="00207BC3"/>
    <w:rsid w:val="00207CA2"/>
    <w:rsid w:val="00207CF9"/>
    <w:rsid w:val="00207D4B"/>
    <w:rsid w:val="00207DCD"/>
    <w:rsid w:val="00210199"/>
    <w:rsid w:val="002101B4"/>
    <w:rsid w:val="00210813"/>
    <w:rsid w:val="00210968"/>
    <w:rsid w:val="00210A18"/>
    <w:rsid w:val="00210A69"/>
    <w:rsid w:val="00210FFB"/>
    <w:rsid w:val="00211050"/>
    <w:rsid w:val="002110B7"/>
    <w:rsid w:val="00211291"/>
    <w:rsid w:val="002119AA"/>
    <w:rsid w:val="00211C40"/>
    <w:rsid w:val="00211DB5"/>
    <w:rsid w:val="00211DE3"/>
    <w:rsid w:val="0021219F"/>
    <w:rsid w:val="00212487"/>
    <w:rsid w:val="00212BDC"/>
    <w:rsid w:val="00213260"/>
    <w:rsid w:val="00213306"/>
    <w:rsid w:val="0021339E"/>
    <w:rsid w:val="00213417"/>
    <w:rsid w:val="00213473"/>
    <w:rsid w:val="002134A8"/>
    <w:rsid w:val="0021360D"/>
    <w:rsid w:val="002136EA"/>
    <w:rsid w:val="00213BFE"/>
    <w:rsid w:val="002141E7"/>
    <w:rsid w:val="002147E2"/>
    <w:rsid w:val="00214D37"/>
    <w:rsid w:val="002153C5"/>
    <w:rsid w:val="0021552A"/>
    <w:rsid w:val="00215B03"/>
    <w:rsid w:val="00215DB0"/>
    <w:rsid w:val="00215E17"/>
    <w:rsid w:val="00215FD8"/>
    <w:rsid w:val="00216242"/>
    <w:rsid w:val="0021680A"/>
    <w:rsid w:val="00216FF0"/>
    <w:rsid w:val="00217072"/>
    <w:rsid w:val="0021752E"/>
    <w:rsid w:val="0021790E"/>
    <w:rsid w:val="00217A4B"/>
    <w:rsid w:val="00217B1A"/>
    <w:rsid w:val="00217DB9"/>
    <w:rsid w:val="00220096"/>
    <w:rsid w:val="002200DF"/>
    <w:rsid w:val="002202C4"/>
    <w:rsid w:val="00220336"/>
    <w:rsid w:val="002207A1"/>
    <w:rsid w:val="002209D1"/>
    <w:rsid w:val="00220A48"/>
    <w:rsid w:val="00220D14"/>
    <w:rsid w:val="00220EF2"/>
    <w:rsid w:val="002211B3"/>
    <w:rsid w:val="002214AA"/>
    <w:rsid w:val="002214B5"/>
    <w:rsid w:val="00221C17"/>
    <w:rsid w:val="00221FC7"/>
    <w:rsid w:val="00222128"/>
    <w:rsid w:val="0022217D"/>
    <w:rsid w:val="002223DD"/>
    <w:rsid w:val="002225D0"/>
    <w:rsid w:val="0022268D"/>
    <w:rsid w:val="00222775"/>
    <w:rsid w:val="0022298D"/>
    <w:rsid w:val="00222AC8"/>
    <w:rsid w:val="00222BB9"/>
    <w:rsid w:val="00222BDE"/>
    <w:rsid w:val="00223069"/>
    <w:rsid w:val="00223143"/>
    <w:rsid w:val="002232E7"/>
    <w:rsid w:val="002235E6"/>
    <w:rsid w:val="002236EA"/>
    <w:rsid w:val="0022408D"/>
    <w:rsid w:val="00224150"/>
    <w:rsid w:val="002243B3"/>
    <w:rsid w:val="00224671"/>
    <w:rsid w:val="0022477E"/>
    <w:rsid w:val="00224969"/>
    <w:rsid w:val="00224F20"/>
    <w:rsid w:val="00224F4A"/>
    <w:rsid w:val="0022506B"/>
    <w:rsid w:val="002251C0"/>
    <w:rsid w:val="0022530E"/>
    <w:rsid w:val="0022562F"/>
    <w:rsid w:val="002256CA"/>
    <w:rsid w:val="00225D11"/>
    <w:rsid w:val="00225EC8"/>
    <w:rsid w:val="00226327"/>
    <w:rsid w:val="00226434"/>
    <w:rsid w:val="00226849"/>
    <w:rsid w:val="00226916"/>
    <w:rsid w:val="00226D2C"/>
    <w:rsid w:val="00226D62"/>
    <w:rsid w:val="00226DD9"/>
    <w:rsid w:val="00226E4D"/>
    <w:rsid w:val="00226EBD"/>
    <w:rsid w:val="002270F2"/>
    <w:rsid w:val="00227538"/>
    <w:rsid w:val="00227647"/>
    <w:rsid w:val="00227706"/>
    <w:rsid w:val="00227F6A"/>
    <w:rsid w:val="002301B2"/>
    <w:rsid w:val="00230407"/>
    <w:rsid w:val="00230710"/>
    <w:rsid w:val="0023091C"/>
    <w:rsid w:val="00230A35"/>
    <w:rsid w:val="00230E72"/>
    <w:rsid w:val="00230ECF"/>
    <w:rsid w:val="00230F70"/>
    <w:rsid w:val="00231174"/>
    <w:rsid w:val="002314A4"/>
    <w:rsid w:val="002315D8"/>
    <w:rsid w:val="00231695"/>
    <w:rsid w:val="0023196E"/>
    <w:rsid w:val="00231BDC"/>
    <w:rsid w:val="00231C85"/>
    <w:rsid w:val="00231D78"/>
    <w:rsid w:val="00231F18"/>
    <w:rsid w:val="00231F89"/>
    <w:rsid w:val="002321B2"/>
    <w:rsid w:val="00232203"/>
    <w:rsid w:val="0023249A"/>
    <w:rsid w:val="0023253F"/>
    <w:rsid w:val="00232644"/>
    <w:rsid w:val="002327E3"/>
    <w:rsid w:val="00232AF0"/>
    <w:rsid w:val="00232DB4"/>
    <w:rsid w:val="00232DC5"/>
    <w:rsid w:val="00232F9F"/>
    <w:rsid w:val="00233119"/>
    <w:rsid w:val="002332F6"/>
    <w:rsid w:val="0023340D"/>
    <w:rsid w:val="002334C6"/>
    <w:rsid w:val="00233A64"/>
    <w:rsid w:val="00233BF5"/>
    <w:rsid w:val="0023437E"/>
    <w:rsid w:val="00234583"/>
    <w:rsid w:val="0023463E"/>
    <w:rsid w:val="0023497F"/>
    <w:rsid w:val="00234A43"/>
    <w:rsid w:val="00234B9C"/>
    <w:rsid w:val="00234E46"/>
    <w:rsid w:val="00234F72"/>
    <w:rsid w:val="002350BA"/>
    <w:rsid w:val="00235310"/>
    <w:rsid w:val="002354D1"/>
    <w:rsid w:val="002356AF"/>
    <w:rsid w:val="002356FE"/>
    <w:rsid w:val="002357B0"/>
    <w:rsid w:val="002357CD"/>
    <w:rsid w:val="002357E1"/>
    <w:rsid w:val="00235929"/>
    <w:rsid w:val="00235993"/>
    <w:rsid w:val="00235C18"/>
    <w:rsid w:val="00235CB1"/>
    <w:rsid w:val="00235E7E"/>
    <w:rsid w:val="00235FBD"/>
    <w:rsid w:val="0023612C"/>
    <w:rsid w:val="00236409"/>
    <w:rsid w:val="002369E3"/>
    <w:rsid w:val="00236C20"/>
    <w:rsid w:val="00236E5B"/>
    <w:rsid w:val="00236EB2"/>
    <w:rsid w:val="00236EDC"/>
    <w:rsid w:val="00237099"/>
    <w:rsid w:val="002370F4"/>
    <w:rsid w:val="00237371"/>
    <w:rsid w:val="00237738"/>
    <w:rsid w:val="00237DC8"/>
    <w:rsid w:val="002400E3"/>
    <w:rsid w:val="002401C0"/>
    <w:rsid w:val="00240670"/>
    <w:rsid w:val="00240729"/>
    <w:rsid w:val="00240821"/>
    <w:rsid w:val="00240918"/>
    <w:rsid w:val="00240A99"/>
    <w:rsid w:val="00240B40"/>
    <w:rsid w:val="00240D58"/>
    <w:rsid w:val="002417E8"/>
    <w:rsid w:val="002418B5"/>
    <w:rsid w:val="00241C6C"/>
    <w:rsid w:val="00241D2C"/>
    <w:rsid w:val="00241EDE"/>
    <w:rsid w:val="002420A2"/>
    <w:rsid w:val="00242202"/>
    <w:rsid w:val="00242319"/>
    <w:rsid w:val="002423CF"/>
    <w:rsid w:val="002424AC"/>
    <w:rsid w:val="00242580"/>
    <w:rsid w:val="00242821"/>
    <w:rsid w:val="00242862"/>
    <w:rsid w:val="002429D7"/>
    <w:rsid w:val="00242C39"/>
    <w:rsid w:val="0024300F"/>
    <w:rsid w:val="00243267"/>
    <w:rsid w:val="002434B0"/>
    <w:rsid w:val="00243568"/>
    <w:rsid w:val="00243631"/>
    <w:rsid w:val="0024370F"/>
    <w:rsid w:val="00243B42"/>
    <w:rsid w:val="00243BF7"/>
    <w:rsid w:val="0024423C"/>
    <w:rsid w:val="0024439C"/>
    <w:rsid w:val="0024442A"/>
    <w:rsid w:val="00244489"/>
    <w:rsid w:val="0024453E"/>
    <w:rsid w:val="00244754"/>
    <w:rsid w:val="0024495E"/>
    <w:rsid w:val="00244A4A"/>
    <w:rsid w:val="00244C51"/>
    <w:rsid w:val="00244FB2"/>
    <w:rsid w:val="002450D1"/>
    <w:rsid w:val="00245139"/>
    <w:rsid w:val="002455D0"/>
    <w:rsid w:val="00245F8F"/>
    <w:rsid w:val="0024618C"/>
    <w:rsid w:val="002461EB"/>
    <w:rsid w:val="00246422"/>
    <w:rsid w:val="002465BA"/>
    <w:rsid w:val="00246994"/>
    <w:rsid w:val="00246C73"/>
    <w:rsid w:val="00246FF9"/>
    <w:rsid w:val="00247454"/>
    <w:rsid w:val="00247531"/>
    <w:rsid w:val="002475CE"/>
    <w:rsid w:val="002476F4"/>
    <w:rsid w:val="00247897"/>
    <w:rsid w:val="002478F3"/>
    <w:rsid w:val="00247F04"/>
    <w:rsid w:val="00247F53"/>
    <w:rsid w:val="002502FD"/>
    <w:rsid w:val="002503C1"/>
    <w:rsid w:val="002504E3"/>
    <w:rsid w:val="002508AF"/>
    <w:rsid w:val="00250C45"/>
    <w:rsid w:val="00250D2A"/>
    <w:rsid w:val="002513BB"/>
    <w:rsid w:val="002517B0"/>
    <w:rsid w:val="00251F30"/>
    <w:rsid w:val="002520D5"/>
    <w:rsid w:val="00252332"/>
    <w:rsid w:val="00252A9D"/>
    <w:rsid w:val="00252ABA"/>
    <w:rsid w:val="00252ADF"/>
    <w:rsid w:val="00252AEF"/>
    <w:rsid w:val="00252B08"/>
    <w:rsid w:val="00252D02"/>
    <w:rsid w:val="002530DD"/>
    <w:rsid w:val="00253221"/>
    <w:rsid w:val="002535AA"/>
    <w:rsid w:val="00253747"/>
    <w:rsid w:val="002539EE"/>
    <w:rsid w:val="00253BA5"/>
    <w:rsid w:val="00253BB9"/>
    <w:rsid w:val="00253FEC"/>
    <w:rsid w:val="002541E1"/>
    <w:rsid w:val="002542DD"/>
    <w:rsid w:val="00254C51"/>
    <w:rsid w:val="00254CB3"/>
    <w:rsid w:val="00254D8E"/>
    <w:rsid w:val="002550AD"/>
    <w:rsid w:val="002552FB"/>
    <w:rsid w:val="00255650"/>
    <w:rsid w:val="0025574D"/>
    <w:rsid w:val="0025596D"/>
    <w:rsid w:val="00255E95"/>
    <w:rsid w:val="00255EA1"/>
    <w:rsid w:val="002564C1"/>
    <w:rsid w:val="00256B2F"/>
    <w:rsid w:val="00256C7C"/>
    <w:rsid w:val="00256CBE"/>
    <w:rsid w:val="00256E89"/>
    <w:rsid w:val="00256F6A"/>
    <w:rsid w:val="002570E2"/>
    <w:rsid w:val="00257348"/>
    <w:rsid w:val="00257419"/>
    <w:rsid w:val="00257509"/>
    <w:rsid w:val="002575CC"/>
    <w:rsid w:val="00257A90"/>
    <w:rsid w:val="00257CF1"/>
    <w:rsid w:val="00257D53"/>
    <w:rsid w:val="00257E55"/>
    <w:rsid w:val="00257FB4"/>
    <w:rsid w:val="002600A7"/>
    <w:rsid w:val="002602C2"/>
    <w:rsid w:val="002606B3"/>
    <w:rsid w:val="00260760"/>
    <w:rsid w:val="00260924"/>
    <w:rsid w:val="00260969"/>
    <w:rsid w:val="00260A70"/>
    <w:rsid w:val="00260BD4"/>
    <w:rsid w:val="00260BE6"/>
    <w:rsid w:val="00260C0C"/>
    <w:rsid w:val="00260E96"/>
    <w:rsid w:val="00260F26"/>
    <w:rsid w:val="00260FB4"/>
    <w:rsid w:val="00261158"/>
    <w:rsid w:val="002611C6"/>
    <w:rsid w:val="002618ED"/>
    <w:rsid w:val="00261CCF"/>
    <w:rsid w:val="00261D64"/>
    <w:rsid w:val="002620C6"/>
    <w:rsid w:val="00262123"/>
    <w:rsid w:val="00262384"/>
    <w:rsid w:val="00262540"/>
    <w:rsid w:val="002625BF"/>
    <w:rsid w:val="0026268A"/>
    <w:rsid w:val="002627A8"/>
    <w:rsid w:val="00262918"/>
    <w:rsid w:val="002629A7"/>
    <w:rsid w:val="00262D2C"/>
    <w:rsid w:val="002630FF"/>
    <w:rsid w:val="00263179"/>
    <w:rsid w:val="002633FD"/>
    <w:rsid w:val="00263702"/>
    <w:rsid w:val="00263710"/>
    <w:rsid w:val="00263A6B"/>
    <w:rsid w:val="00263B5F"/>
    <w:rsid w:val="00263C16"/>
    <w:rsid w:val="00263C99"/>
    <w:rsid w:val="00263CDE"/>
    <w:rsid w:val="00263E78"/>
    <w:rsid w:val="00263F9D"/>
    <w:rsid w:val="0026458C"/>
    <w:rsid w:val="00264627"/>
    <w:rsid w:val="0026487B"/>
    <w:rsid w:val="002648B8"/>
    <w:rsid w:val="00264F4D"/>
    <w:rsid w:val="002651A2"/>
    <w:rsid w:val="002657C2"/>
    <w:rsid w:val="002657E2"/>
    <w:rsid w:val="00265E33"/>
    <w:rsid w:val="0026604D"/>
    <w:rsid w:val="00266183"/>
    <w:rsid w:val="00266215"/>
    <w:rsid w:val="0026654D"/>
    <w:rsid w:val="00266827"/>
    <w:rsid w:val="00266AA2"/>
    <w:rsid w:val="00266C7B"/>
    <w:rsid w:val="00266DD1"/>
    <w:rsid w:val="00267134"/>
    <w:rsid w:val="00267145"/>
    <w:rsid w:val="00267443"/>
    <w:rsid w:val="00267527"/>
    <w:rsid w:val="002675F6"/>
    <w:rsid w:val="00267725"/>
    <w:rsid w:val="0026793B"/>
    <w:rsid w:val="00267978"/>
    <w:rsid w:val="00267A54"/>
    <w:rsid w:val="00267B17"/>
    <w:rsid w:val="00267B18"/>
    <w:rsid w:val="00267CDC"/>
    <w:rsid w:val="00267E17"/>
    <w:rsid w:val="00267F02"/>
    <w:rsid w:val="002701EC"/>
    <w:rsid w:val="002704E6"/>
    <w:rsid w:val="002704EF"/>
    <w:rsid w:val="00270961"/>
    <w:rsid w:val="00270A1F"/>
    <w:rsid w:val="00270BF8"/>
    <w:rsid w:val="00271108"/>
    <w:rsid w:val="00271527"/>
    <w:rsid w:val="00271B1B"/>
    <w:rsid w:val="00271C1A"/>
    <w:rsid w:val="00271D70"/>
    <w:rsid w:val="00272595"/>
    <w:rsid w:val="002725A8"/>
    <w:rsid w:val="002728F4"/>
    <w:rsid w:val="00272B36"/>
    <w:rsid w:val="00272D88"/>
    <w:rsid w:val="00272DCD"/>
    <w:rsid w:val="002730DE"/>
    <w:rsid w:val="002733CC"/>
    <w:rsid w:val="00273934"/>
    <w:rsid w:val="00273A25"/>
    <w:rsid w:val="00273FAA"/>
    <w:rsid w:val="0027423B"/>
    <w:rsid w:val="00274499"/>
    <w:rsid w:val="00274576"/>
    <w:rsid w:val="002747A0"/>
    <w:rsid w:val="0027480B"/>
    <w:rsid w:val="00274824"/>
    <w:rsid w:val="00274A40"/>
    <w:rsid w:val="00274B24"/>
    <w:rsid w:val="0027503A"/>
    <w:rsid w:val="00275184"/>
    <w:rsid w:val="002755B0"/>
    <w:rsid w:val="002757FC"/>
    <w:rsid w:val="00275924"/>
    <w:rsid w:val="00275E76"/>
    <w:rsid w:val="00275F3A"/>
    <w:rsid w:val="00276320"/>
    <w:rsid w:val="0027634D"/>
    <w:rsid w:val="002765B2"/>
    <w:rsid w:val="00276ADE"/>
    <w:rsid w:val="00276BE5"/>
    <w:rsid w:val="0027702E"/>
    <w:rsid w:val="00277254"/>
    <w:rsid w:val="002772EB"/>
    <w:rsid w:val="002775DF"/>
    <w:rsid w:val="002775FD"/>
    <w:rsid w:val="00277641"/>
    <w:rsid w:val="00277996"/>
    <w:rsid w:val="002779E4"/>
    <w:rsid w:val="00277A96"/>
    <w:rsid w:val="00277E66"/>
    <w:rsid w:val="00277F19"/>
    <w:rsid w:val="002802A5"/>
    <w:rsid w:val="00280677"/>
    <w:rsid w:val="00281061"/>
    <w:rsid w:val="0028119E"/>
    <w:rsid w:val="00281425"/>
    <w:rsid w:val="00281620"/>
    <w:rsid w:val="00281A06"/>
    <w:rsid w:val="00281B2C"/>
    <w:rsid w:val="00281C2A"/>
    <w:rsid w:val="00282211"/>
    <w:rsid w:val="00282372"/>
    <w:rsid w:val="00282392"/>
    <w:rsid w:val="00282865"/>
    <w:rsid w:val="00282AE4"/>
    <w:rsid w:val="00283202"/>
    <w:rsid w:val="002832A7"/>
    <w:rsid w:val="0028344B"/>
    <w:rsid w:val="002835B0"/>
    <w:rsid w:val="002835F3"/>
    <w:rsid w:val="0028378C"/>
    <w:rsid w:val="002837D8"/>
    <w:rsid w:val="0028397E"/>
    <w:rsid w:val="00283C03"/>
    <w:rsid w:val="00283D27"/>
    <w:rsid w:val="00283D34"/>
    <w:rsid w:val="00284117"/>
    <w:rsid w:val="0028479C"/>
    <w:rsid w:val="002848BB"/>
    <w:rsid w:val="002849D0"/>
    <w:rsid w:val="00284AA2"/>
    <w:rsid w:val="00284E8F"/>
    <w:rsid w:val="00284FFD"/>
    <w:rsid w:val="0028538D"/>
    <w:rsid w:val="002854DC"/>
    <w:rsid w:val="002856EC"/>
    <w:rsid w:val="00285700"/>
    <w:rsid w:val="0028582D"/>
    <w:rsid w:val="00285854"/>
    <w:rsid w:val="00285949"/>
    <w:rsid w:val="00285C5D"/>
    <w:rsid w:val="00285DA0"/>
    <w:rsid w:val="00285DA9"/>
    <w:rsid w:val="002865A8"/>
    <w:rsid w:val="00286773"/>
    <w:rsid w:val="00286BBE"/>
    <w:rsid w:val="00286BCA"/>
    <w:rsid w:val="00286C5E"/>
    <w:rsid w:val="00287675"/>
    <w:rsid w:val="0028778F"/>
    <w:rsid w:val="00287813"/>
    <w:rsid w:val="002879EA"/>
    <w:rsid w:val="00287B89"/>
    <w:rsid w:val="00287C61"/>
    <w:rsid w:val="00287D8D"/>
    <w:rsid w:val="0029008C"/>
    <w:rsid w:val="00290130"/>
    <w:rsid w:val="00290335"/>
    <w:rsid w:val="0029037D"/>
    <w:rsid w:val="00290852"/>
    <w:rsid w:val="00290B2B"/>
    <w:rsid w:val="00290C39"/>
    <w:rsid w:val="00290C5F"/>
    <w:rsid w:val="00290D28"/>
    <w:rsid w:val="00290E27"/>
    <w:rsid w:val="002911B7"/>
    <w:rsid w:val="002911E1"/>
    <w:rsid w:val="002919B6"/>
    <w:rsid w:val="002919ED"/>
    <w:rsid w:val="00291C57"/>
    <w:rsid w:val="00291CAC"/>
    <w:rsid w:val="002920A1"/>
    <w:rsid w:val="0029223D"/>
    <w:rsid w:val="00292675"/>
    <w:rsid w:val="00292719"/>
    <w:rsid w:val="002927A4"/>
    <w:rsid w:val="002927D1"/>
    <w:rsid w:val="002929E8"/>
    <w:rsid w:val="00292A5E"/>
    <w:rsid w:val="00292EDE"/>
    <w:rsid w:val="00293127"/>
    <w:rsid w:val="002932D1"/>
    <w:rsid w:val="002933FC"/>
    <w:rsid w:val="00293450"/>
    <w:rsid w:val="00293D38"/>
    <w:rsid w:val="00293EEC"/>
    <w:rsid w:val="00293FDB"/>
    <w:rsid w:val="00294209"/>
    <w:rsid w:val="002942ED"/>
    <w:rsid w:val="002945D3"/>
    <w:rsid w:val="0029466B"/>
    <w:rsid w:val="00294AF0"/>
    <w:rsid w:val="00294ECE"/>
    <w:rsid w:val="00294F15"/>
    <w:rsid w:val="002951C1"/>
    <w:rsid w:val="00295245"/>
    <w:rsid w:val="002959DB"/>
    <w:rsid w:val="00295D96"/>
    <w:rsid w:val="00296032"/>
    <w:rsid w:val="00296242"/>
    <w:rsid w:val="0029643E"/>
    <w:rsid w:val="00296534"/>
    <w:rsid w:val="0029653C"/>
    <w:rsid w:val="00296718"/>
    <w:rsid w:val="00296979"/>
    <w:rsid w:val="002969C1"/>
    <w:rsid w:val="00296A0A"/>
    <w:rsid w:val="00296C09"/>
    <w:rsid w:val="00297120"/>
    <w:rsid w:val="002971E3"/>
    <w:rsid w:val="00297451"/>
    <w:rsid w:val="00297457"/>
    <w:rsid w:val="00297494"/>
    <w:rsid w:val="00297535"/>
    <w:rsid w:val="002976DE"/>
    <w:rsid w:val="002979AA"/>
    <w:rsid w:val="00297A72"/>
    <w:rsid w:val="00297B91"/>
    <w:rsid w:val="00297D15"/>
    <w:rsid w:val="002A0298"/>
    <w:rsid w:val="002A032C"/>
    <w:rsid w:val="002A0505"/>
    <w:rsid w:val="002A0819"/>
    <w:rsid w:val="002A0A88"/>
    <w:rsid w:val="002A0AF8"/>
    <w:rsid w:val="002A0B99"/>
    <w:rsid w:val="002A0DDC"/>
    <w:rsid w:val="002A114C"/>
    <w:rsid w:val="002A159E"/>
    <w:rsid w:val="002A1BBD"/>
    <w:rsid w:val="002A1F08"/>
    <w:rsid w:val="002A2263"/>
    <w:rsid w:val="002A2507"/>
    <w:rsid w:val="002A2603"/>
    <w:rsid w:val="002A2A73"/>
    <w:rsid w:val="002A2AE2"/>
    <w:rsid w:val="002A3026"/>
    <w:rsid w:val="002A3453"/>
    <w:rsid w:val="002A3751"/>
    <w:rsid w:val="002A38ED"/>
    <w:rsid w:val="002A3957"/>
    <w:rsid w:val="002A3DCA"/>
    <w:rsid w:val="002A3F5C"/>
    <w:rsid w:val="002A3F60"/>
    <w:rsid w:val="002A4329"/>
    <w:rsid w:val="002A435D"/>
    <w:rsid w:val="002A4422"/>
    <w:rsid w:val="002A5208"/>
    <w:rsid w:val="002A5325"/>
    <w:rsid w:val="002A54D2"/>
    <w:rsid w:val="002A5508"/>
    <w:rsid w:val="002A568E"/>
    <w:rsid w:val="002A5873"/>
    <w:rsid w:val="002A58F4"/>
    <w:rsid w:val="002A59AD"/>
    <w:rsid w:val="002A5BB3"/>
    <w:rsid w:val="002A5C9F"/>
    <w:rsid w:val="002A5CA3"/>
    <w:rsid w:val="002A600D"/>
    <w:rsid w:val="002A62A0"/>
    <w:rsid w:val="002A63F4"/>
    <w:rsid w:val="002A69F8"/>
    <w:rsid w:val="002A6F23"/>
    <w:rsid w:val="002A7010"/>
    <w:rsid w:val="002A70CC"/>
    <w:rsid w:val="002A754C"/>
    <w:rsid w:val="002A75F9"/>
    <w:rsid w:val="002A77F1"/>
    <w:rsid w:val="002A78C3"/>
    <w:rsid w:val="002A79A3"/>
    <w:rsid w:val="002A7A32"/>
    <w:rsid w:val="002A7A84"/>
    <w:rsid w:val="002A7E8F"/>
    <w:rsid w:val="002A7EC5"/>
    <w:rsid w:val="002A7F30"/>
    <w:rsid w:val="002A7FCA"/>
    <w:rsid w:val="002B019A"/>
    <w:rsid w:val="002B0267"/>
    <w:rsid w:val="002B0568"/>
    <w:rsid w:val="002B079F"/>
    <w:rsid w:val="002B1167"/>
    <w:rsid w:val="002B1186"/>
    <w:rsid w:val="002B13A9"/>
    <w:rsid w:val="002B278A"/>
    <w:rsid w:val="002B2BCD"/>
    <w:rsid w:val="002B2CD9"/>
    <w:rsid w:val="002B2D22"/>
    <w:rsid w:val="002B2E20"/>
    <w:rsid w:val="002B2ECD"/>
    <w:rsid w:val="002B300E"/>
    <w:rsid w:val="002B3250"/>
    <w:rsid w:val="002B34A1"/>
    <w:rsid w:val="002B36D8"/>
    <w:rsid w:val="002B41C6"/>
    <w:rsid w:val="002B4312"/>
    <w:rsid w:val="002B46A4"/>
    <w:rsid w:val="002B4811"/>
    <w:rsid w:val="002B4C29"/>
    <w:rsid w:val="002B4EFB"/>
    <w:rsid w:val="002B55C4"/>
    <w:rsid w:val="002B5612"/>
    <w:rsid w:val="002B5756"/>
    <w:rsid w:val="002B58CB"/>
    <w:rsid w:val="002B58CE"/>
    <w:rsid w:val="002B58EB"/>
    <w:rsid w:val="002B5A32"/>
    <w:rsid w:val="002B5AD9"/>
    <w:rsid w:val="002B5B96"/>
    <w:rsid w:val="002B5D11"/>
    <w:rsid w:val="002B5E89"/>
    <w:rsid w:val="002B653C"/>
    <w:rsid w:val="002B666E"/>
    <w:rsid w:val="002B66F3"/>
    <w:rsid w:val="002B692F"/>
    <w:rsid w:val="002B69EF"/>
    <w:rsid w:val="002B739D"/>
    <w:rsid w:val="002B75B9"/>
    <w:rsid w:val="002B763C"/>
    <w:rsid w:val="002B78B8"/>
    <w:rsid w:val="002B7B52"/>
    <w:rsid w:val="002B7C94"/>
    <w:rsid w:val="002B7CAD"/>
    <w:rsid w:val="002B7CB3"/>
    <w:rsid w:val="002B7DDA"/>
    <w:rsid w:val="002B7F68"/>
    <w:rsid w:val="002C005C"/>
    <w:rsid w:val="002C026C"/>
    <w:rsid w:val="002C0460"/>
    <w:rsid w:val="002C047D"/>
    <w:rsid w:val="002C0929"/>
    <w:rsid w:val="002C1472"/>
    <w:rsid w:val="002C1603"/>
    <w:rsid w:val="002C163D"/>
    <w:rsid w:val="002C183D"/>
    <w:rsid w:val="002C1A63"/>
    <w:rsid w:val="002C1BF9"/>
    <w:rsid w:val="002C22F4"/>
    <w:rsid w:val="002C255B"/>
    <w:rsid w:val="002C2837"/>
    <w:rsid w:val="002C2E86"/>
    <w:rsid w:val="002C315F"/>
    <w:rsid w:val="002C32F3"/>
    <w:rsid w:val="002C3407"/>
    <w:rsid w:val="002C3558"/>
    <w:rsid w:val="002C3647"/>
    <w:rsid w:val="002C3902"/>
    <w:rsid w:val="002C3964"/>
    <w:rsid w:val="002C3A01"/>
    <w:rsid w:val="002C3C11"/>
    <w:rsid w:val="002C3D04"/>
    <w:rsid w:val="002C3D4A"/>
    <w:rsid w:val="002C3E6B"/>
    <w:rsid w:val="002C3E9E"/>
    <w:rsid w:val="002C4291"/>
    <w:rsid w:val="002C4360"/>
    <w:rsid w:val="002C4583"/>
    <w:rsid w:val="002C46D5"/>
    <w:rsid w:val="002C4C9E"/>
    <w:rsid w:val="002C4E75"/>
    <w:rsid w:val="002C54A7"/>
    <w:rsid w:val="002C5651"/>
    <w:rsid w:val="002C575F"/>
    <w:rsid w:val="002C579F"/>
    <w:rsid w:val="002C57AF"/>
    <w:rsid w:val="002C594D"/>
    <w:rsid w:val="002C5977"/>
    <w:rsid w:val="002C5B57"/>
    <w:rsid w:val="002C615C"/>
    <w:rsid w:val="002C62CA"/>
    <w:rsid w:val="002C6368"/>
    <w:rsid w:val="002C6427"/>
    <w:rsid w:val="002C67B4"/>
    <w:rsid w:val="002C67BE"/>
    <w:rsid w:val="002C6C8A"/>
    <w:rsid w:val="002C6F5B"/>
    <w:rsid w:val="002C70D0"/>
    <w:rsid w:val="002C75E6"/>
    <w:rsid w:val="002C7858"/>
    <w:rsid w:val="002C7869"/>
    <w:rsid w:val="002C797F"/>
    <w:rsid w:val="002C7ACD"/>
    <w:rsid w:val="002C7CED"/>
    <w:rsid w:val="002C7F11"/>
    <w:rsid w:val="002D009F"/>
    <w:rsid w:val="002D00C6"/>
    <w:rsid w:val="002D027F"/>
    <w:rsid w:val="002D04ED"/>
    <w:rsid w:val="002D05C2"/>
    <w:rsid w:val="002D0FB3"/>
    <w:rsid w:val="002D13F0"/>
    <w:rsid w:val="002D1568"/>
    <w:rsid w:val="002D1D23"/>
    <w:rsid w:val="002D1D8D"/>
    <w:rsid w:val="002D1DEF"/>
    <w:rsid w:val="002D1FB3"/>
    <w:rsid w:val="002D218B"/>
    <w:rsid w:val="002D29B2"/>
    <w:rsid w:val="002D2ABE"/>
    <w:rsid w:val="002D30CC"/>
    <w:rsid w:val="002D3419"/>
    <w:rsid w:val="002D3780"/>
    <w:rsid w:val="002D39E0"/>
    <w:rsid w:val="002D3A74"/>
    <w:rsid w:val="002D3DF6"/>
    <w:rsid w:val="002D3F68"/>
    <w:rsid w:val="002D4112"/>
    <w:rsid w:val="002D41F6"/>
    <w:rsid w:val="002D43E6"/>
    <w:rsid w:val="002D457B"/>
    <w:rsid w:val="002D45CC"/>
    <w:rsid w:val="002D46A9"/>
    <w:rsid w:val="002D47D4"/>
    <w:rsid w:val="002D5002"/>
    <w:rsid w:val="002D5038"/>
    <w:rsid w:val="002D510A"/>
    <w:rsid w:val="002D51FD"/>
    <w:rsid w:val="002D53B0"/>
    <w:rsid w:val="002D5643"/>
    <w:rsid w:val="002D5862"/>
    <w:rsid w:val="002D59AC"/>
    <w:rsid w:val="002D5CF1"/>
    <w:rsid w:val="002D627F"/>
    <w:rsid w:val="002D655E"/>
    <w:rsid w:val="002D6847"/>
    <w:rsid w:val="002D68C0"/>
    <w:rsid w:val="002D694C"/>
    <w:rsid w:val="002D6B4D"/>
    <w:rsid w:val="002D6D04"/>
    <w:rsid w:val="002D75DC"/>
    <w:rsid w:val="002D7645"/>
    <w:rsid w:val="002D7C1D"/>
    <w:rsid w:val="002D7D17"/>
    <w:rsid w:val="002D7D2F"/>
    <w:rsid w:val="002E02E3"/>
    <w:rsid w:val="002E02EF"/>
    <w:rsid w:val="002E039A"/>
    <w:rsid w:val="002E03F6"/>
    <w:rsid w:val="002E051A"/>
    <w:rsid w:val="002E06CC"/>
    <w:rsid w:val="002E07DE"/>
    <w:rsid w:val="002E0A55"/>
    <w:rsid w:val="002E0ABA"/>
    <w:rsid w:val="002E0AF8"/>
    <w:rsid w:val="002E0B87"/>
    <w:rsid w:val="002E0B9F"/>
    <w:rsid w:val="002E0F08"/>
    <w:rsid w:val="002E0F64"/>
    <w:rsid w:val="002E0F97"/>
    <w:rsid w:val="002E1342"/>
    <w:rsid w:val="002E13BD"/>
    <w:rsid w:val="002E1502"/>
    <w:rsid w:val="002E16A0"/>
    <w:rsid w:val="002E1C76"/>
    <w:rsid w:val="002E1C84"/>
    <w:rsid w:val="002E1E52"/>
    <w:rsid w:val="002E20C4"/>
    <w:rsid w:val="002E2457"/>
    <w:rsid w:val="002E256B"/>
    <w:rsid w:val="002E27D3"/>
    <w:rsid w:val="002E2849"/>
    <w:rsid w:val="002E2884"/>
    <w:rsid w:val="002E28D6"/>
    <w:rsid w:val="002E31F7"/>
    <w:rsid w:val="002E3226"/>
    <w:rsid w:val="002E32A0"/>
    <w:rsid w:val="002E331C"/>
    <w:rsid w:val="002E3437"/>
    <w:rsid w:val="002E3845"/>
    <w:rsid w:val="002E3B26"/>
    <w:rsid w:val="002E430F"/>
    <w:rsid w:val="002E4496"/>
    <w:rsid w:val="002E45BD"/>
    <w:rsid w:val="002E48D1"/>
    <w:rsid w:val="002E4BFA"/>
    <w:rsid w:val="002E4D4C"/>
    <w:rsid w:val="002E4E2B"/>
    <w:rsid w:val="002E50E7"/>
    <w:rsid w:val="002E51C3"/>
    <w:rsid w:val="002E5717"/>
    <w:rsid w:val="002E5B29"/>
    <w:rsid w:val="002E5B69"/>
    <w:rsid w:val="002E5D91"/>
    <w:rsid w:val="002E5D96"/>
    <w:rsid w:val="002E635A"/>
    <w:rsid w:val="002E683D"/>
    <w:rsid w:val="002E6B6D"/>
    <w:rsid w:val="002E6C2B"/>
    <w:rsid w:val="002E6CB6"/>
    <w:rsid w:val="002E6D2B"/>
    <w:rsid w:val="002E6EB3"/>
    <w:rsid w:val="002E71FB"/>
    <w:rsid w:val="002E76DD"/>
    <w:rsid w:val="002E79FE"/>
    <w:rsid w:val="002E7E26"/>
    <w:rsid w:val="002E7F88"/>
    <w:rsid w:val="002F008B"/>
    <w:rsid w:val="002F029A"/>
    <w:rsid w:val="002F02D5"/>
    <w:rsid w:val="002F0BA4"/>
    <w:rsid w:val="002F0C43"/>
    <w:rsid w:val="002F0DBB"/>
    <w:rsid w:val="002F1290"/>
    <w:rsid w:val="002F13E8"/>
    <w:rsid w:val="002F16F6"/>
    <w:rsid w:val="002F19DB"/>
    <w:rsid w:val="002F1D5B"/>
    <w:rsid w:val="002F20DA"/>
    <w:rsid w:val="002F213D"/>
    <w:rsid w:val="002F215C"/>
    <w:rsid w:val="002F2201"/>
    <w:rsid w:val="002F246F"/>
    <w:rsid w:val="002F270F"/>
    <w:rsid w:val="002F2818"/>
    <w:rsid w:val="002F2AB9"/>
    <w:rsid w:val="002F2C25"/>
    <w:rsid w:val="002F2C35"/>
    <w:rsid w:val="002F2E78"/>
    <w:rsid w:val="002F35C1"/>
    <w:rsid w:val="002F36CD"/>
    <w:rsid w:val="002F373F"/>
    <w:rsid w:val="002F3840"/>
    <w:rsid w:val="002F3874"/>
    <w:rsid w:val="002F399B"/>
    <w:rsid w:val="002F3AFB"/>
    <w:rsid w:val="002F3B02"/>
    <w:rsid w:val="002F436E"/>
    <w:rsid w:val="002F47A2"/>
    <w:rsid w:val="002F4956"/>
    <w:rsid w:val="002F4963"/>
    <w:rsid w:val="002F4A44"/>
    <w:rsid w:val="002F4DC1"/>
    <w:rsid w:val="002F5046"/>
    <w:rsid w:val="002F50EB"/>
    <w:rsid w:val="002F5222"/>
    <w:rsid w:val="002F54CE"/>
    <w:rsid w:val="002F54FC"/>
    <w:rsid w:val="002F5574"/>
    <w:rsid w:val="002F5581"/>
    <w:rsid w:val="002F566D"/>
    <w:rsid w:val="002F5C50"/>
    <w:rsid w:val="002F5F5F"/>
    <w:rsid w:val="002F5FC4"/>
    <w:rsid w:val="002F603D"/>
    <w:rsid w:val="002F607F"/>
    <w:rsid w:val="002F60FF"/>
    <w:rsid w:val="002F625B"/>
    <w:rsid w:val="002F63A6"/>
    <w:rsid w:val="002F64B6"/>
    <w:rsid w:val="002F64D2"/>
    <w:rsid w:val="002F68BD"/>
    <w:rsid w:val="002F6EC9"/>
    <w:rsid w:val="002F6F8B"/>
    <w:rsid w:val="002F7250"/>
    <w:rsid w:val="002F7281"/>
    <w:rsid w:val="002F750D"/>
    <w:rsid w:val="002F75C7"/>
    <w:rsid w:val="002F77B7"/>
    <w:rsid w:val="002F77D1"/>
    <w:rsid w:val="002F7A32"/>
    <w:rsid w:val="002F7E27"/>
    <w:rsid w:val="002F7F4E"/>
    <w:rsid w:val="0030036B"/>
    <w:rsid w:val="00300758"/>
    <w:rsid w:val="00300785"/>
    <w:rsid w:val="003007F7"/>
    <w:rsid w:val="003008DF"/>
    <w:rsid w:val="0030092F"/>
    <w:rsid w:val="00300ADD"/>
    <w:rsid w:val="00300BD3"/>
    <w:rsid w:val="00300E93"/>
    <w:rsid w:val="00300F2C"/>
    <w:rsid w:val="0030117D"/>
    <w:rsid w:val="003014C2"/>
    <w:rsid w:val="00301514"/>
    <w:rsid w:val="00301555"/>
    <w:rsid w:val="00301F35"/>
    <w:rsid w:val="00302110"/>
    <w:rsid w:val="0030218A"/>
    <w:rsid w:val="0030219C"/>
    <w:rsid w:val="0030268C"/>
    <w:rsid w:val="00302891"/>
    <w:rsid w:val="003029C7"/>
    <w:rsid w:val="00302A8B"/>
    <w:rsid w:val="00302AA0"/>
    <w:rsid w:val="00302BB1"/>
    <w:rsid w:val="003034AA"/>
    <w:rsid w:val="003034BE"/>
    <w:rsid w:val="0030355C"/>
    <w:rsid w:val="00303573"/>
    <w:rsid w:val="00303AD0"/>
    <w:rsid w:val="00303D8F"/>
    <w:rsid w:val="00303DFA"/>
    <w:rsid w:val="00304052"/>
    <w:rsid w:val="0030419C"/>
    <w:rsid w:val="003047BE"/>
    <w:rsid w:val="003049ED"/>
    <w:rsid w:val="00304A70"/>
    <w:rsid w:val="00304C4D"/>
    <w:rsid w:val="00304D83"/>
    <w:rsid w:val="00304E5F"/>
    <w:rsid w:val="00304EE1"/>
    <w:rsid w:val="00305D36"/>
    <w:rsid w:val="00306246"/>
    <w:rsid w:val="00306597"/>
    <w:rsid w:val="003065C6"/>
    <w:rsid w:val="0030671D"/>
    <w:rsid w:val="0030695B"/>
    <w:rsid w:val="0030698C"/>
    <w:rsid w:val="00306A98"/>
    <w:rsid w:val="00306AA1"/>
    <w:rsid w:val="00306B2F"/>
    <w:rsid w:val="00306C1A"/>
    <w:rsid w:val="00306D29"/>
    <w:rsid w:val="00306E81"/>
    <w:rsid w:val="00307029"/>
    <w:rsid w:val="003074A6"/>
    <w:rsid w:val="00307532"/>
    <w:rsid w:val="003079D6"/>
    <w:rsid w:val="00307A94"/>
    <w:rsid w:val="00307D60"/>
    <w:rsid w:val="00307EC7"/>
    <w:rsid w:val="00307ECD"/>
    <w:rsid w:val="00310381"/>
    <w:rsid w:val="00310596"/>
    <w:rsid w:val="00310A3F"/>
    <w:rsid w:val="00310AB3"/>
    <w:rsid w:val="00310D1F"/>
    <w:rsid w:val="00310DB7"/>
    <w:rsid w:val="00310FC7"/>
    <w:rsid w:val="003111B3"/>
    <w:rsid w:val="003112D2"/>
    <w:rsid w:val="00311598"/>
    <w:rsid w:val="003118BA"/>
    <w:rsid w:val="00311BBA"/>
    <w:rsid w:val="00311D34"/>
    <w:rsid w:val="00311DBD"/>
    <w:rsid w:val="00311DC4"/>
    <w:rsid w:val="00311F2E"/>
    <w:rsid w:val="00312512"/>
    <w:rsid w:val="00312588"/>
    <w:rsid w:val="00312A19"/>
    <w:rsid w:val="00312D50"/>
    <w:rsid w:val="00312E63"/>
    <w:rsid w:val="003132CD"/>
    <w:rsid w:val="00313569"/>
    <w:rsid w:val="00313999"/>
    <w:rsid w:val="00313BA8"/>
    <w:rsid w:val="00313E62"/>
    <w:rsid w:val="003148E6"/>
    <w:rsid w:val="00314A54"/>
    <w:rsid w:val="00314DFE"/>
    <w:rsid w:val="00314E31"/>
    <w:rsid w:val="00315262"/>
    <w:rsid w:val="0031544E"/>
    <w:rsid w:val="0031561D"/>
    <w:rsid w:val="0031569C"/>
    <w:rsid w:val="003159F4"/>
    <w:rsid w:val="00315B7E"/>
    <w:rsid w:val="00315F3C"/>
    <w:rsid w:val="00316382"/>
    <w:rsid w:val="00316C0C"/>
    <w:rsid w:val="00316F6E"/>
    <w:rsid w:val="00316FAD"/>
    <w:rsid w:val="00317081"/>
    <w:rsid w:val="00317083"/>
    <w:rsid w:val="00317196"/>
    <w:rsid w:val="003171FC"/>
    <w:rsid w:val="00317356"/>
    <w:rsid w:val="003175EF"/>
    <w:rsid w:val="003176A5"/>
    <w:rsid w:val="003177E3"/>
    <w:rsid w:val="003179F2"/>
    <w:rsid w:val="00317AD5"/>
    <w:rsid w:val="00317B41"/>
    <w:rsid w:val="00317DA7"/>
    <w:rsid w:val="00317E87"/>
    <w:rsid w:val="00320038"/>
    <w:rsid w:val="00320053"/>
    <w:rsid w:val="00320158"/>
    <w:rsid w:val="003202BC"/>
    <w:rsid w:val="00320531"/>
    <w:rsid w:val="0032059B"/>
    <w:rsid w:val="0032078B"/>
    <w:rsid w:val="003208D8"/>
    <w:rsid w:val="00320B77"/>
    <w:rsid w:val="00320DBF"/>
    <w:rsid w:val="00320E61"/>
    <w:rsid w:val="00320F17"/>
    <w:rsid w:val="00320FAB"/>
    <w:rsid w:val="00321096"/>
    <w:rsid w:val="003210E1"/>
    <w:rsid w:val="0032110B"/>
    <w:rsid w:val="00321718"/>
    <w:rsid w:val="00321935"/>
    <w:rsid w:val="00321E8B"/>
    <w:rsid w:val="00321F3B"/>
    <w:rsid w:val="00321FDE"/>
    <w:rsid w:val="00322035"/>
    <w:rsid w:val="00322132"/>
    <w:rsid w:val="0032220A"/>
    <w:rsid w:val="003222B9"/>
    <w:rsid w:val="003223E1"/>
    <w:rsid w:val="0032240C"/>
    <w:rsid w:val="0032285A"/>
    <w:rsid w:val="0032292C"/>
    <w:rsid w:val="00322979"/>
    <w:rsid w:val="00322AB5"/>
    <w:rsid w:val="00323150"/>
    <w:rsid w:val="00323160"/>
    <w:rsid w:val="003231B7"/>
    <w:rsid w:val="00323C62"/>
    <w:rsid w:val="00323CD0"/>
    <w:rsid w:val="00323CF5"/>
    <w:rsid w:val="00323D73"/>
    <w:rsid w:val="00323F05"/>
    <w:rsid w:val="00324218"/>
    <w:rsid w:val="003242D6"/>
    <w:rsid w:val="00324331"/>
    <w:rsid w:val="003245B4"/>
    <w:rsid w:val="00324811"/>
    <w:rsid w:val="0032481C"/>
    <w:rsid w:val="003248CB"/>
    <w:rsid w:val="00324A45"/>
    <w:rsid w:val="00324C79"/>
    <w:rsid w:val="00324DD3"/>
    <w:rsid w:val="00325047"/>
    <w:rsid w:val="0032513A"/>
    <w:rsid w:val="00325403"/>
    <w:rsid w:val="003255E3"/>
    <w:rsid w:val="003257D1"/>
    <w:rsid w:val="003259B8"/>
    <w:rsid w:val="00325B58"/>
    <w:rsid w:val="00325C00"/>
    <w:rsid w:val="00325CCE"/>
    <w:rsid w:val="00325E24"/>
    <w:rsid w:val="00325E9F"/>
    <w:rsid w:val="00325FB2"/>
    <w:rsid w:val="003260B6"/>
    <w:rsid w:val="003261EC"/>
    <w:rsid w:val="0032630B"/>
    <w:rsid w:val="0032643A"/>
    <w:rsid w:val="00326931"/>
    <w:rsid w:val="00326B7A"/>
    <w:rsid w:val="00326D11"/>
    <w:rsid w:val="00326E70"/>
    <w:rsid w:val="0032700F"/>
    <w:rsid w:val="00327036"/>
    <w:rsid w:val="003270EA"/>
    <w:rsid w:val="0032744F"/>
    <w:rsid w:val="003274BF"/>
    <w:rsid w:val="0032794E"/>
    <w:rsid w:val="003279D7"/>
    <w:rsid w:val="00327A23"/>
    <w:rsid w:val="00327CD2"/>
    <w:rsid w:val="00327CF7"/>
    <w:rsid w:val="00327E6F"/>
    <w:rsid w:val="00327FDE"/>
    <w:rsid w:val="003303EF"/>
    <w:rsid w:val="003305B2"/>
    <w:rsid w:val="003306A8"/>
    <w:rsid w:val="003309DC"/>
    <w:rsid w:val="00330CCC"/>
    <w:rsid w:val="00331298"/>
    <w:rsid w:val="003313BE"/>
    <w:rsid w:val="003313DA"/>
    <w:rsid w:val="00331A4C"/>
    <w:rsid w:val="00331A63"/>
    <w:rsid w:val="00331AE4"/>
    <w:rsid w:val="003323C4"/>
    <w:rsid w:val="003328CA"/>
    <w:rsid w:val="003329D8"/>
    <w:rsid w:val="00333224"/>
    <w:rsid w:val="003333F1"/>
    <w:rsid w:val="00333781"/>
    <w:rsid w:val="00333964"/>
    <w:rsid w:val="00333ACE"/>
    <w:rsid w:val="00333AD1"/>
    <w:rsid w:val="00333D6D"/>
    <w:rsid w:val="00333DB3"/>
    <w:rsid w:val="00333E2D"/>
    <w:rsid w:val="003340EA"/>
    <w:rsid w:val="00334111"/>
    <w:rsid w:val="00334B8E"/>
    <w:rsid w:val="00334CDF"/>
    <w:rsid w:val="00334DF8"/>
    <w:rsid w:val="00334F10"/>
    <w:rsid w:val="00334F49"/>
    <w:rsid w:val="00334FFA"/>
    <w:rsid w:val="0033509F"/>
    <w:rsid w:val="00335104"/>
    <w:rsid w:val="00335162"/>
    <w:rsid w:val="003354F7"/>
    <w:rsid w:val="0033571F"/>
    <w:rsid w:val="0033592F"/>
    <w:rsid w:val="00335AD6"/>
    <w:rsid w:val="00335BA2"/>
    <w:rsid w:val="00335BE1"/>
    <w:rsid w:val="00336085"/>
    <w:rsid w:val="00336497"/>
    <w:rsid w:val="00336808"/>
    <w:rsid w:val="00336C98"/>
    <w:rsid w:val="003373D4"/>
    <w:rsid w:val="0033795D"/>
    <w:rsid w:val="00337A3E"/>
    <w:rsid w:val="00340381"/>
    <w:rsid w:val="00340641"/>
    <w:rsid w:val="00340A87"/>
    <w:rsid w:val="00340D9C"/>
    <w:rsid w:val="00340F47"/>
    <w:rsid w:val="0034108D"/>
    <w:rsid w:val="0034125F"/>
    <w:rsid w:val="003416E5"/>
    <w:rsid w:val="0034182B"/>
    <w:rsid w:val="003418E0"/>
    <w:rsid w:val="003421F4"/>
    <w:rsid w:val="003422D0"/>
    <w:rsid w:val="00342467"/>
    <w:rsid w:val="00342946"/>
    <w:rsid w:val="003429DF"/>
    <w:rsid w:val="00342A04"/>
    <w:rsid w:val="00342CE0"/>
    <w:rsid w:val="00342D14"/>
    <w:rsid w:val="00342E5D"/>
    <w:rsid w:val="00343041"/>
    <w:rsid w:val="0034309F"/>
    <w:rsid w:val="003430D8"/>
    <w:rsid w:val="00343112"/>
    <w:rsid w:val="003433D0"/>
    <w:rsid w:val="0034364F"/>
    <w:rsid w:val="0034367A"/>
    <w:rsid w:val="003437FD"/>
    <w:rsid w:val="00343F47"/>
    <w:rsid w:val="0034420B"/>
    <w:rsid w:val="003442EF"/>
    <w:rsid w:val="00344353"/>
    <w:rsid w:val="0034476B"/>
    <w:rsid w:val="0034477A"/>
    <w:rsid w:val="003447E4"/>
    <w:rsid w:val="00345023"/>
    <w:rsid w:val="00345262"/>
    <w:rsid w:val="003453D4"/>
    <w:rsid w:val="003453EE"/>
    <w:rsid w:val="00345495"/>
    <w:rsid w:val="003455F5"/>
    <w:rsid w:val="003458D4"/>
    <w:rsid w:val="00345C0D"/>
    <w:rsid w:val="00345EDF"/>
    <w:rsid w:val="00345F01"/>
    <w:rsid w:val="00346262"/>
    <w:rsid w:val="00346474"/>
    <w:rsid w:val="0034654A"/>
    <w:rsid w:val="00346829"/>
    <w:rsid w:val="00346923"/>
    <w:rsid w:val="00346AE0"/>
    <w:rsid w:val="00346B11"/>
    <w:rsid w:val="00346CE8"/>
    <w:rsid w:val="00347322"/>
    <w:rsid w:val="00347473"/>
    <w:rsid w:val="00347A15"/>
    <w:rsid w:val="00347BBC"/>
    <w:rsid w:val="00347CBD"/>
    <w:rsid w:val="00350327"/>
    <w:rsid w:val="00350488"/>
    <w:rsid w:val="003506E6"/>
    <w:rsid w:val="00350E5E"/>
    <w:rsid w:val="00350F0F"/>
    <w:rsid w:val="00351092"/>
    <w:rsid w:val="00351114"/>
    <w:rsid w:val="0035113B"/>
    <w:rsid w:val="0035144A"/>
    <w:rsid w:val="003515B4"/>
    <w:rsid w:val="00351934"/>
    <w:rsid w:val="0035197C"/>
    <w:rsid w:val="00351A8C"/>
    <w:rsid w:val="00351B27"/>
    <w:rsid w:val="0035282E"/>
    <w:rsid w:val="00352BB4"/>
    <w:rsid w:val="00352D4F"/>
    <w:rsid w:val="00353054"/>
    <w:rsid w:val="00353598"/>
    <w:rsid w:val="00353C0B"/>
    <w:rsid w:val="00353E96"/>
    <w:rsid w:val="0035410E"/>
    <w:rsid w:val="0035425F"/>
    <w:rsid w:val="00354443"/>
    <w:rsid w:val="003544A1"/>
    <w:rsid w:val="003547B7"/>
    <w:rsid w:val="00354C53"/>
    <w:rsid w:val="00354C97"/>
    <w:rsid w:val="00354CAC"/>
    <w:rsid w:val="00354FF3"/>
    <w:rsid w:val="00355026"/>
    <w:rsid w:val="00355480"/>
    <w:rsid w:val="00355651"/>
    <w:rsid w:val="00355672"/>
    <w:rsid w:val="00355A65"/>
    <w:rsid w:val="00355AAC"/>
    <w:rsid w:val="00355AC6"/>
    <w:rsid w:val="00355D66"/>
    <w:rsid w:val="003562E2"/>
    <w:rsid w:val="00356521"/>
    <w:rsid w:val="00356570"/>
    <w:rsid w:val="003566CE"/>
    <w:rsid w:val="003567A7"/>
    <w:rsid w:val="0035690E"/>
    <w:rsid w:val="00356A36"/>
    <w:rsid w:val="00356CD2"/>
    <w:rsid w:val="00356DF3"/>
    <w:rsid w:val="00356F44"/>
    <w:rsid w:val="00357087"/>
    <w:rsid w:val="003570BF"/>
    <w:rsid w:val="00357134"/>
    <w:rsid w:val="0035747C"/>
    <w:rsid w:val="0035779D"/>
    <w:rsid w:val="0035784D"/>
    <w:rsid w:val="00357B18"/>
    <w:rsid w:val="00357F8D"/>
    <w:rsid w:val="00357FAD"/>
    <w:rsid w:val="00360227"/>
    <w:rsid w:val="00360373"/>
    <w:rsid w:val="003604CF"/>
    <w:rsid w:val="003608F8"/>
    <w:rsid w:val="00360916"/>
    <w:rsid w:val="003609D5"/>
    <w:rsid w:val="00360ABF"/>
    <w:rsid w:val="00360B43"/>
    <w:rsid w:val="00360CC1"/>
    <w:rsid w:val="00360FBE"/>
    <w:rsid w:val="00361248"/>
    <w:rsid w:val="00361433"/>
    <w:rsid w:val="003615E2"/>
    <w:rsid w:val="00361A23"/>
    <w:rsid w:val="00361A7A"/>
    <w:rsid w:val="00361ABB"/>
    <w:rsid w:val="00361B3C"/>
    <w:rsid w:val="00361FD7"/>
    <w:rsid w:val="00362128"/>
    <w:rsid w:val="003621E2"/>
    <w:rsid w:val="003622BE"/>
    <w:rsid w:val="00362523"/>
    <w:rsid w:val="00362720"/>
    <w:rsid w:val="00362B1C"/>
    <w:rsid w:val="00363319"/>
    <w:rsid w:val="00363357"/>
    <w:rsid w:val="00363460"/>
    <w:rsid w:val="00363577"/>
    <w:rsid w:val="0036395A"/>
    <w:rsid w:val="00363CB8"/>
    <w:rsid w:val="00363EC6"/>
    <w:rsid w:val="00363F96"/>
    <w:rsid w:val="00364080"/>
    <w:rsid w:val="0036434A"/>
    <w:rsid w:val="003643C8"/>
    <w:rsid w:val="003643EB"/>
    <w:rsid w:val="003645B7"/>
    <w:rsid w:val="00364A1B"/>
    <w:rsid w:val="00364A33"/>
    <w:rsid w:val="00364A41"/>
    <w:rsid w:val="00364A76"/>
    <w:rsid w:val="00364CD2"/>
    <w:rsid w:val="00364F1C"/>
    <w:rsid w:val="003653AD"/>
    <w:rsid w:val="003657FD"/>
    <w:rsid w:val="00365A9E"/>
    <w:rsid w:val="00365CD5"/>
    <w:rsid w:val="00365FCF"/>
    <w:rsid w:val="003661F1"/>
    <w:rsid w:val="0036639E"/>
    <w:rsid w:val="003664DF"/>
    <w:rsid w:val="003666B8"/>
    <w:rsid w:val="00366751"/>
    <w:rsid w:val="00366A91"/>
    <w:rsid w:val="00367075"/>
    <w:rsid w:val="0036716F"/>
    <w:rsid w:val="003677B7"/>
    <w:rsid w:val="003677D7"/>
    <w:rsid w:val="00367AB0"/>
    <w:rsid w:val="003700CC"/>
    <w:rsid w:val="0037028D"/>
    <w:rsid w:val="00370657"/>
    <w:rsid w:val="00370C52"/>
    <w:rsid w:val="00370C5A"/>
    <w:rsid w:val="00370E13"/>
    <w:rsid w:val="00370EBB"/>
    <w:rsid w:val="00370F36"/>
    <w:rsid w:val="00371027"/>
    <w:rsid w:val="00371116"/>
    <w:rsid w:val="0037166A"/>
    <w:rsid w:val="0037172D"/>
    <w:rsid w:val="003717BA"/>
    <w:rsid w:val="003717D5"/>
    <w:rsid w:val="00371C97"/>
    <w:rsid w:val="00371DAB"/>
    <w:rsid w:val="00372025"/>
    <w:rsid w:val="00372150"/>
    <w:rsid w:val="00372225"/>
    <w:rsid w:val="0037264B"/>
    <w:rsid w:val="00372957"/>
    <w:rsid w:val="00372F82"/>
    <w:rsid w:val="00373203"/>
    <w:rsid w:val="00373346"/>
    <w:rsid w:val="0037385E"/>
    <w:rsid w:val="003739A9"/>
    <w:rsid w:val="00373F8B"/>
    <w:rsid w:val="00374814"/>
    <w:rsid w:val="00374864"/>
    <w:rsid w:val="0037488F"/>
    <w:rsid w:val="00374A23"/>
    <w:rsid w:val="00374B03"/>
    <w:rsid w:val="00374D23"/>
    <w:rsid w:val="00374D34"/>
    <w:rsid w:val="00374DC4"/>
    <w:rsid w:val="003751A2"/>
    <w:rsid w:val="003752D0"/>
    <w:rsid w:val="00375324"/>
    <w:rsid w:val="0037553C"/>
    <w:rsid w:val="003755C8"/>
    <w:rsid w:val="00375EB0"/>
    <w:rsid w:val="00375FEC"/>
    <w:rsid w:val="0037670F"/>
    <w:rsid w:val="0037691E"/>
    <w:rsid w:val="003769B7"/>
    <w:rsid w:val="00376D13"/>
    <w:rsid w:val="00376F05"/>
    <w:rsid w:val="00376F87"/>
    <w:rsid w:val="00377049"/>
    <w:rsid w:val="0037713E"/>
    <w:rsid w:val="00377360"/>
    <w:rsid w:val="00377876"/>
    <w:rsid w:val="003779AC"/>
    <w:rsid w:val="00377B2F"/>
    <w:rsid w:val="00377C06"/>
    <w:rsid w:val="00377FFA"/>
    <w:rsid w:val="003800A7"/>
    <w:rsid w:val="003800A8"/>
    <w:rsid w:val="003803C6"/>
    <w:rsid w:val="00380623"/>
    <w:rsid w:val="00380669"/>
    <w:rsid w:val="003806DE"/>
    <w:rsid w:val="003806E0"/>
    <w:rsid w:val="00380725"/>
    <w:rsid w:val="00380BD7"/>
    <w:rsid w:val="00380D77"/>
    <w:rsid w:val="00381342"/>
    <w:rsid w:val="003815C7"/>
    <w:rsid w:val="00381626"/>
    <w:rsid w:val="00381668"/>
    <w:rsid w:val="0038194A"/>
    <w:rsid w:val="00381A4E"/>
    <w:rsid w:val="00381A54"/>
    <w:rsid w:val="00381C57"/>
    <w:rsid w:val="00381EE5"/>
    <w:rsid w:val="0038254E"/>
    <w:rsid w:val="003827AF"/>
    <w:rsid w:val="00382B28"/>
    <w:rsid w:val="00382C97"/>
    <w:rsid w:val="00382E46"/>
    <w:rsid w:val="00382EF3"/>
    <w:rsid w:val="00382F3C"/>
    <w:rsid w:val="00383738"/>
    <w:rsid w:val="0038374E"/>
    <w:rsid w:val="00383755"/>
    <w:rsid w:val="003839B7"/>
    <w:rsid w:val="00383E58"/>
    <w:rsid w:val="00383FE7"/>
    <w:rsid w:val="00384AD2"/>
    <w:rsid w:val="00384B80"/>
    <w:rsid w:val="00384DDE"/>
    <w:rsid w:val="00384F81"/>
    <w:rsid w:val="00385183"/>
    <w:rsid w:val="003851F5"/>
    <w:rsid w:val="00385430"/>
    <w:rsid w:val="0038565F"/>
    <w:rsid w:val="0038578D"/>
    <w:rsid w:val="00385791"/>
    <w:rsid w:val="00385883"/>
    <w:rsid w:val="00385976"/>
    <w:rsid w:val="00385C84"/>
    <w:rsid w:val="00385F11"/>
    <w:rsid w:val="003863EF"/>
    <w:rsid w:val="003866AE"/>
    <w:rsid w:val="003867C1"/>
    <w:rsid w:val="00386C47"/>
    <w:rsid w:val="0038732D"/>
    <w:rsid w:val="003874DC"/>
    <w:rsid w:val="003875E4"/>
    <w:rsid w:val="00387F6D"/>
    <w:rsid w:val="0039013E"/>
    <w:rsid w:val="003901BE"/>
    <w:rsid w:val="003902F4"/>
    <w:rsid w:val="003906D7"/>
    <w:rsid w:val="00390724"/>
    <w:rsid w:val="003907B2"/>
    <w:rsid w:val="00390A6B"/>
    <w:rsid w:val="00390D06"/>
    <w:rsid w:val="003912BA"/>
    <w:rsid w:val="003913DF"/>
    <w:rsid w:val="003916FC"/>
    <w:rsid w:val="00391A21"/>
    <w:rsid w:val="00391FAE"/>
    <w:rsid w:val="0039211B"/>
    <w:rsid w:val="0039235A"/>
    <w:rsid w:val="00392971"/>
    <w:rsid w:val="00392C99"/>
    <w:rsid w:val="00392D4F"/>
    <w:rsid w:val="00392E20"/>
    <w:rsid w:val="00392EDF"/>
    <w:rsid w:val="003933F6"/>
    <w:rsid w:val="003934E1"/>
    <w:rsid w:val="00393623"/>
    <w:rsid w:val="00393683"/>
    <w:rsid w:val="00393732"/>
    <w:rsid w:val="00393823"/>
    <w:rsid w:val="00393FF5"/>
    <w:rsid w:val="003941E7"/>
    <w:rsid w:val="00394618"/>
    <w:rsid w:val="00394649"/>
    <w:rsid w:val="00394755"/>
    <w:rsid w:val="003948D7"/>
    <w:rsid w:val="003949A9"/>
    <w:rsid w:val="00394A23"/>
    <w:rsid w:val="00394E18"/>
    <w:rsid w:val="00394F56"/>
    <w:rsid w:val="00394FE2"/>
    <w:rsid w:val="00395089"/>
    <w:rsid w:val="00395118"/>
    <w:rsid w:val="0039513E"/>
    <w:rsid w:val="00395BCB"/>
    <w:rsid w:val="00395E49"/>
    <w:rsid w:val="00396060"/>
    <w:rsid w:val="00396705"/>
    <w:rsid w:val="0039677B"/>
    <w:rsid w:val="0039687E"/>
    <w:rsid w:val="00396987"/>
    <w:rsid w:val="00396C36"/>
    <w:rsid w:val="00396F55"/>
    <w:rsid w:val="003971E8"/>
    <w:rsid w:val="003973E9"/>
    <w:rsid w:val="00397803"/>
    <w:rsid w:val="00397D1F"/>
    <w:rsid w:val="00397DB9"/>
    <w:rsid w:val="003A01BE"/>
    <w:rsid w:val="003A048C"/>
    <w:rsid w:val="003A0644"/>
    <w:rsid w:val="003A072C"/>
    <w:rsid w:val="003A0805"/>
    <w:rsid w:val="003A084F"/>
    <w:rsid w:val="003A0A35"/>
    <w:rsid w:val="003A0A81"/>
    <w:rsid w:val="003A0E5C"/>
    <w:rsid w:val="003A0E89"/>
    <w:rsid w:val="003A0F23"/>
    <w:rsid w:val="003A132E"/>
    <w:rsid w:val="003A18A0"/>
    <w:rsid w:val="003A19D8"/>
    <w:rsid w:val="003A1ADA"/>
    <w:rsid w:val="003A1B60"/>
    <w:rsid w:val="003A1BD8"/>
    <w:rsid w:val="003A1C59"/>
    <w:rsid w:val="003A1EB8"/>
    <w:rsid w:val="003A234D"/>
    <w:rsid w:val="003A2448"/>
    <w:rsid w:val="003A2874"/>
    <w:rsid w:val="003A29DE"/>
    <w:rsid w:val="003A2E38"/>
    <w:rsid w:val="003A318D"/>
    <w:rsid w:val="003A351B"/>
    <w:rsid w:val="003A3668"/>
    <w:rsid w:val="003A3798"/>
    <w:rsid w:val="003A383F"/>
    <w:rsid w:val="003A3A2D"/>
    <w:rsid w:val="003A3BDC"/>
    <w:rsid w:val="003A443D"/>
    <w:rsid w:val="003A445D"/>
    <w:rsid w:val="003A44A2"/>
    <w:rsid w:val="003A4B9C"/>
    <w:rsid w:val="003A501F"/>
    <w:rsid w:val="003A5027"/>
    <w:rsid w:val="003A5300"/>
    <w:rsid w:val="003A562B"/>
    <w:rsid w:val="003A5732"/>
    <w:rsid w:val="003A5812"/>
    <w:rsid w:val="003A5BBB"/>
    <w:rsid w:val="003A609C"/>
    <w:rsid w:val="003A61A6"/>
    <w:rsid w:val="003A64E9"/>
    <w:rsid w:val="003A6F80"/>
    <w:rsid w:val="003A7214"/>
    <w:rsid w:val="003A75AB"/>
    <w:rsid w:val="003A787E"/>
    <w:rsid w:val="003A7FA9"/>
    <w:rsid w:val="003B00C4"/>
    <w:rsid w:val="003B02B5"/>
    <w:rsid w:val="003B0370"/>
    <w:rsid w:val="003B05B4"/>
    <w:rsid w:val="003B063B"/>
    <w:rsid w:val="003B0CED"/>
    <w:rsid w:val="003B0E1E"/>
    <w:rsid w:val="003B0E53"/>
    <w:rsid w:val="003B0EA2"/>
    <w:rsid w:val="003B0F33"/>
    <w:rsid w:val="003B1030"/>
    <w:rsid w:val="003B114C"/>
    <w:rsid w:val="003B128A"/>
    <w:rsid w:val="003B14E3"/>
    <w:rsid w:val="003B169D"/>
    <w:rsid w:val="003B18BB"/>
    <w:rsid w:val="003B1950"/>
    <w:rsid w:val="003B1B0D"/>
    <w:rsid w:val="003B1CB6"/>
    <w:rsid w:val="003B1E9B"/>
    <w:rsid w:val="003B2138"/>
    <w:rsid w:val="003B214C"/>
    <w:rsid w:val="003B21AB"/>
    <w:rsid w:val="003B22AC"/>
    <w:rsid w:val="003B23B9"/>
    <w:rsid w:val="003B24CE"/>
    <w:rsid w:val="003B2517"/>
    <w:rsid w:val="003B2575"/>
    <w:rsid w:val="003B2596"/>
    <w:rsid w:val="003B280E"/>
    <w:rsid w:val="003B29FD"/>
    <w:rsid w:val="003B2EC9"/>
    <w:rsid w:val="003B2ECF"/>
    <w:rsid w:val="003B313E"/>
    <w:rsid w:val="003B31BF"/>
    <w:rsid w:val="003B31F4"/>
    <w:rsid w:val="003B35C3"/>
    <w:rsid w:val="003B3C4D"/>
    <w:rsid w:val="003B3D55"/>
    <w:rsid w:val="003B3E1B"/>
    <w:rsid w:val="003B3EDC"/>
    <w:rsid w:val="003B3F09"/>
    <w:rsid w:val="003B3F6C"/>
    <w:rsid w:val="003B4030"/>
    <w:rsid w:val="003B4171"/>
    <w:rsid w:val="003B4561"/>
    <w:rsid w:val="003B48B1"/>
    <w:rsid w:val="003B49F3"/>
    <w:rsid w:val="003B52E8"/>
    <w:rsid w:val="003B55FB"/>
    <w:rsid w:val="003B5675"/>
    <w:rsid w:val="003B58CB"/>
    <w:rsid w:val="003B5A16"/>
    <w:rsid w:val="003B5A89"/>
    <w:rsid w:val="003B5DB3"/>
    <w:rsid w:val="003B5FB3"/>
    <w:rsid w:val="003B60B8"/>
    <w:rsid w:val="003B60E2"/>
    <w:rsid w:val="003B65C2"/>
    <w:rsid w:val="003B6602"/>
    <w:rsid w:val="003B67DD"/>
    <w:rsid w:val="003B6959"/>
    <w:rsid w:val="003B6A54"/>
    <w:rsid w:val="003B6AEE"/>
    <w:rsid w:val="003B6BC5"/>
    <w:rsid w:val="003B6C2C"/>
    <w:rsid w:val="003B6F7F"/>
    <w:rsid w:val="003B741F"/>
    <w:rsid w:val="003B7439"/>
    <w:rsid w:val="003B7467"/>
    <w:rsid w:val="003B76DD"/>
    <w:rsid w:val="003B77B2"/>
    <w:rsid w:val="003B791C"/>
    <w:rsid w:val="003B7934"/>
    <w:rsid w:val="003B7A3E"/>
    <w:rsid w:val="003B7A59"/>
    <w:rsid w:val="003C0030"/>
    <w:rsid w:val="003C01F4"/>
    <w:rsid w:val="003C044B"/>
    <w:rsid w:val="003C0813"/>
    <w:rsid w:val="003C08AC"/>
    <w:rsid w:val="003C0C39"/>
    <w:rsid w:val="003C0DFA"/>
    <w:rsid w:val="003C0FFA"/>
    <w:rsid w:val="003C1229"/>
    <w:rsid w:val="003C13D1"/>
    <w:rsid w:val="003C1836"/>
    <w:rsid w:val="003C1888"/>
    <w:rsid w:val="003C1A0A"/>
    <w:rsid w:val="003C1BF2"/>
    <w:rsid w:val="003C2031"/>
    <w:rsid w:val="003C2083"/>
    <w:rsid w:val="003C21A3"/>
    <w:rsid w:val="003C22A5"/>
    <w:rsid w:val="003C2509"/>
    <w:rsid w:val="003C25FE"/>
    <w:rsid w:val="003C263D"/>
    <w:rsid w:val="003C266B"/>
    <w:rsid w:val="003C279D"/>
    <w:rsid w:val="003C27F3"/>
    <w:rsid w:val="003C2E31"/>
    <w:rsid w:val="003C2E5F"/>
    <w:rsid w:val="003C2FD6"/>
    <w:rsid w:val="003C3018"/>
    <w:rsid w:val="003C3295"/>
    <w:rsid w:val="003C33E6"/>
    <w:rsid w:val="003C348A"/>
    <w:rsid w:val="003C36FD"/>
    <w:rsid w:val="003C39F4"/>
    <w:rsid w:val="003C3BED"/>
    <w:rsid w:val="003C3CED"/>
    <w:rsid w:val="003C3E6F"/>
    <w:rsid w:val="003C3EBE"/>
    <w:rsid w:val="003C3F87"/>
    <w:rsid w:val="003C40F4"/>
    <w:rsid w:val="003C41B9"/>
    <w:rsid w:val="003C42EF"/>
    <w:rsid w:val="003C48AE"/>
    <w:rsid w:val="003C4D30"/>
    <w:rsid w:val="003C5607"/>
    <w:rsid w:val="003C561E"/>
    <w:rsid w:val="003C5672"/>
    <w:rsid w:val="003C56A6"/>
    <w:rsid w:val="003C580B"/>
    <w:rsid w:val="003C597B"/>
    <w:rsid w:val="003C59AD"/>
    <w:rsid w:val="003C59E3"/>
    <w:rsid w:val="003C5DCD"/>
    <w:rsid w:val="003C61D0"/>
    <w:rsid w:val="003C638A"/>
    <w:rsid w:val="003C6499"/>
    <w:rsid w:val="003C65F1"/>
    <w:rsid w:val="003C66A9"/>
    <w:rsid w:val="003C6951"/>
    <w:rsid w:val="003C69ED"/>
    <w:rsid w:val="003C6A5E"/>
    <w:rsid w:val="003C71C4"/>
    <w:rsid w:val="003C724E"/>
    <w:rsid w:val="003C74C2"/>
    <w:rsid w:val="003C76DD"/>
    <w:rsid w:val="003C784D"/>
    <w:rsid w:val="003C7AA0"/>
    <w:rsid w:val="003D0495"/>
    <w:rsid w:val="003D0902"/>
    <w:rsid w:val="003D096B"/>
    <w:rsid w:val="003D119C"/>
    <w:rsid w:val="003D15C7"/>
    <w:rsid w:val="003D164D"/>
    <w:rsid w:val="003D1682"/>
    <w:rsid w:val="003D16EF"/>
    <w:rsid w:val="003D181D"/>
    <w:rsid w:val="003D18B7"/>
    <w:rsid w:val="003D1A3B"/>
    <w:rsid w:val="003D1DBA"/>
    <w:rsid w:val="003D244B"/>
    <w:rsid w:val="003D2479"/>
    <w:rsid w:val="003D24A5"/>
    <w:rsid w:val="003D24D1"/>
    <w:rsid w:val="003D2548"/>
    <w:rsid w:val="003D2696"/>
    <w:rsid w:val="003D2AC3"/>
    <w:rsid w:val="003D2EC4"/>
    <w:rsid w:val="003D3340"/>
    <w:rsid w:val="003D3545"/>
    <w:rsid w:val="003D3886"/>
    <w:rsid w:val="003D38A5"/>
    <w:rsid w:val="003D38AC"/>
    <w:rsid w:val="003D39A6"/>
    <w:rsid w:val="003D3C70"/>
    <w:rsid w:val="003D3D9B"/>
    <w:rsid w:val="003D3DD4"/>
    <w:rsid w:val="003D4402"/>
    <w:rsid w:val="003D4522"/>
    <w:rsid w:val="003D48E6"/>
    <w:rsid w:val="003D49E3"/>
    <w:rsid w:val="003D4BB7"/>
    <w:rsid w:val="003D4C5F"/>
    <w:rsid w:val="003D5057"/>
    <w:rsid w:val="003D5122"/>
    <w:rsid w:val="003D5654"/>
    <w:rsid w:val="003D5A06"/>
    <w:rsid w:val="003D5F55"/>
    <w:rsid w:val="003D61D1"/>
    <w:rsid w:val="003D65D5"/>
    <w:rsid w:val="003D663A"/>
    <w:rsid w:val="003D6952"/>
    <w:rsid w:val="003D6A69"/>
    <w:rsid w:val="003D6BCC"/>
    <w:rsid w:val="003D6C90"/>
    <w:rsid w:val="003D7147"/>
    <w:rsid w:val="003D739F"/>
    <w:rsid w:val="003D73A1"/>
    <w:rsid w:val="003D76C7"/>
    <w:rsid w:val="003D7B70"/>
    <w:rsid w:val="003E00E6"/>
    <w:rsid w:val="003E0438"/>
    <w:rsid w:val="003E0458"/>
    <w:rsid w:val="003E04E9"/>
    <w:rsid w:val="003E06BF"/>
    <w:rsid w:val="003E0731"/>
    <w:rsid w:val="003E09F4"/>
    <w:rsid w:val="003E0E1C"/>
    <w:rsid w:val="003E0E68"/>
    <w:rsid w:val="003E138F"/>
    <w:rsid w:val="003E15D6"/>
    <w:rsid w:val="003E15EF"/>
    <w:rsid w:val="003E1750"/>
    <w:rsid w:val="003E1C57"/>
    <w:rsid w:val="003E204E"/>
    <w:rsid w:val="003E2682"/>
    <w:rsid w:val="003E2B28"/>
    <w:rsid w:val="003E2DBF"/>
    <w:rsid w:val="003E2E37"/>
    <w:rsid w:val="003E2F1C"/>
    <w:rsid w:val="003E334F"/>
    <w:rsid w:val="003E33DE"/>
    <w:rsid w:val="003E3409"/>
    <w:rsid w:val="003E3489"/>
    <w:rsid w:val="003E36C6"/>
    <w:rsid w:val="003E3944"/>
    <w:rsid w:val="003E39A9"/>
    <w:rsid w:val="003E3B91"/>
    <w:rsid w:val="003E45B9"/>
    <w:rsid w:val="003E49BE"/>
    <w:rsid w:val="003E4A07"/>
    <w:rsid w:val="003E4AFB"/>
    <w:rsid w:val="003E4B67"/>
    <w:rsid w:val="003E4F53"/>
    <w:rsid w:val="003E4F92"/>
    <w:rsid w:val="003E5277"/>
    <w:rsid w:val="003E54C8"/>
    <w:rsid w:val="003E56FF"/>
    <w:rsid w:val="003E58B9"/>
    <w:rsid w:val="003E59FF"/>
    <w:rsid w:val="003E5AAA"/>
    <w:rsid w:val="003E5B1D"/>
    <w:rsid w:val="003E5DA1"/>
    <w:rsid w:val="003E5E93"/>
    <w:rsid w:val="003E61E6"/>
    <w:rsid w:val="003E6270"/>
    <w:rsid w:val="003E6413"/>
    <w:rsid w:val="003E65CD"/>
    <w:rsid w:val="003E679D"/>
    <w:rsid w:val="003E6824"/>
    <w:rsid w:val="003E699A"/>
    <w:rsid w:val="003E6B15"/>
    <w:rsid w:val="003E6CD2"/>
    <w:rsid w:val="003E6DFE"/>
    <w:rsid w:val="003E6EE2"/>
    <w:rsid w:val="003E6F45"/>
    <w:rsid w:val="003E7068"/>
    <w:rsid w:val="003E72F1"/>
    <w:rsid w:val="003E77C7"/>
    <w:rsid w:val="003E7A40"/>
    <w:rsid w:val="003E7AF5"/>
    <w:rsid w:val="003E7CF0"/>
    <w:rsid w:val="003E7FD7"/>
    <w:rsid w:val="003F0195"/>
    <w:rsid w:val="003F06EE"/>
    <w:rsid w:val="003F0A52"/>
    <w:rsid w:val="003F0E32"/>
    <w:rsid w:val="003F1019"/>
    <w:rsid w:val="003F101C"/>
    <w:rsid w:val="003F112C"/>
    <w:rsid w:val="003F117B"/>
    <w:rsid w:val="003F1266"/>
    <w:rsid w:val="003F12BD"/>
    <w:rsid w:val="003F1690"/>
    <w:rsid w:val="003F16BF"/>
    <w:rsid w:val="003F2129"/>
    <w:rsid w:val="003F2150"/>
    <w:rsid w:val="003F225C"/>
    <w:rsid w:val="003F2644"/>
    <w:rsid w:val="003F3036"/>
    <w:rsid w:val="003F30A3"/>
    <w:rsid w:val="003F3320"/>
    <w:rsid w:val="003F3388"/>
    <w:rsid w:val="003F3455"/>
    <w:rsid w:val="003F35DA"/>
    <w:rsid w:val="003F364D"/>
    <w:rsid w:val="003F37E6"/>
    <w:rsid w:val="003F3AEE"/>
    <w:rsid w:val="003F3EBD"/>
    <w:rsid w:val="003F3F4C"/>
    <w:rsid w:val="003F41F7"/>
    <w:rsid w:val="003F4371"/>
    <w:rsid w:val="003F447A"/>
    <w:rsid w:val="003F4494"/>
    <w:rsid w:val="003F458B"/>
    <w:rsid w:val="003F466B"/>
    <w:rsid w:val="003F4D1D"/>
    <w:rsid w:val="003F4EB0"/>
    <w:rsid w:val="003F506A"/>
    <w:rsid w:val="003F511E"/>
    <w:rsid w:val="003F5415"/>
    <w:rsid w:val="003F5416"/>
    <w:rsid w:val="003F5978"/>
    <w:rsid w:val="003F5ACA"/>
    <w:rsid w:val="003F5BC0"/>
    <w:rsid w:val="003F5D37"/>
    <w:rsid w:val="003F634F"/>
    <w:rsid w:val="003F6479"/>
    <w:rsid w:val="003F64C8"/>
    <w:rsid w:val="003F658A"/>
    <w:rsid w:val="003F686B"/>
    <w:rsid w:val="003F6894"/>
    <w:rsid w:val="003F689B"/>
    <w:rsid w:val="003F6AC2"/>
    <w:rsid w:val="003F6B41"/>
    <w:rsid w:val="003F6E31"/>
    <w:rsid w:val="003F6F3F"/>
    <w:rsid w:val="003F70AF"/>
    <w:rsid w:val="003F739E"/>
    <w:rsid w:val="003F74AE"/>
    <w:rsid w:val="003F76F8"/>
    <w:rsid w:val="003F7940"/>
    <w:rsid w:val="003F798E"/>
    <w:rsid w:val="003F7BDA"/>
    <w:rsid w:val="003F7CE4"/>
    <w:rsid w:val="003F7CEE"/>
    <w:rsid w:val="003F7E5C"/>
    <w:rsid w:val="00400023"/>
    <w:rsid w:val="00400307"/>
    <w:rsid w:val="0040045A"/>
    <w:rsid w:val="004005E6"/>
    <w:rsid w:val="00400856"/>
    <w:rsid w:val="00400881"/>
    <w:rsid w:val="00400DCD"/>
    <w:rsid w:val="00400E10"/>
    <w:rsid w:val="00400F5A"/>
    <w:rsid w:val="00401264"/>
    <w:rsid w:val="0040132C"/>
    <w:rsid w:val="00401521"/>
    <w:rsid w:val="00401567"/>
    <w:rsid w:val="00401577"/>
    <w:rsid w:val="00401625"/>
    <w:rsid w:val="0040165B"/>
    <w:rsid w:val="00401977"/>
    <w:rsid w:val="0040199B"/>
    <w:rsid w:val="00401AD6"/>
    <w:rsid w:val="00401AF9"/>
    <w:rsid w:val="00401FA8"/>
    <w:rsid w:val="00402020"/>
    <w:rsid w:val="0040233A"/>
    <w:rsid w:val="004026A9"/>
    <w:rsid w:val="0040271E"/>
    <w:rsid w:val="00402733"/>
    <w:rsid w:val="00402833"/>
    <w:rsid w:val="00402AB2"/>
    <w:rsid w:val="00402C2D"/>
    <w:rsid w:val="00402F43"/>
    <w:rsid w:val="0040350B"/>
    <w:rsid w:val="004035DD"/>
    <w:rsid w:val="00404051"/>
    <w:rsid w:val="00404219"/>
    <w:rsid w:val="0040471D"/>
    <w:rsid w:val="004049DE"/>
    <w:rsid w:val="00404DAF"/>
    <w:rsid w:val="004052D6"/>
    <w:rsid w:val="0040561D"/>
    <w:rsid w:val="00405AA3"/>
    <w:rsid w:val="00406157"/>
    <w:rsid w:val="004061F4"/>
    <w:rsid w:val="00406759"/>
    <w:rsid w:val="00406ADE"/>
    <w:rsid w:val="00406EB7"/>
    <w:rsid w:val="00406EE4"/>
    <w:rsid w:val="004070A0"/>
    <w:rsid w:val="00407160"/>
    <w:rsid w:val="00407258"/>
    <w:rsid w:val="0040738F"/>
    <w:rsid w:val="00407429"/>
    <w:rsid w:val="00407825"/>
    <w:rsid w:val="004079C5"/>
    <w:rsid w:val="00407A73"/>
    <w:rsid w:val="00407C80"/>
    <w:rsid w:val="00407DC2"/>
    <w:rsid w:val="004102B5"/>
    <w:rsid w:val="0041034A"/>
    <w:rsid w:val="00410654"/>
    <w:rsid w:val="00410671"/>
    <w:rsid w:val="0041071E"/>
    <w:rsid w:val="00410A2F"/>
    <w:rsid w:val="004112AE"/>
    <w:rsid w:val="004115A6"/>
    <w:rsid w:val="004116C6"/>
    <w:rsid w:val="0041180C"/>
    <w:rsid w:val="004119B0"/>
    <w:rsid w:val="00411B5D"/>
    <w:rsid w:val="00411F1F"/>
    <w:rsid w:val="0041211C"/>
    <w:rsid w:val="004123BF"/>
    <w:rsid w:val="0041263E"/>
    <w:rsid w:val="00412697"/>
    <w:rsid w:val="004126E4"/>
    <w:rsid w:val="0041297F"/>
    <w:rsid w:val="00412A5D"/>
    <w:rsid w:val="00412E3A"/>
    <w:rsid w:val="004137CA"/>
    <w:rsid w:val="00413979"/>
    <w:rsid w:val="004139FA"/>
    <w:rsid w:val="00413B42"/>
    <w:rsid w:val="00413BD0"/>
    <w:rsid w:val="00413C7E"/>
    <w:rsid w:val="00413EA9"/>
    <w:rsid w:val="00413EE7"/>
    <w:rsid w:val="00413FBB"/>
    <w:rsid w:val="0041403F"/>
    <w:rsid w:val="00414140"/>
    <w:rsid w:val="00414244"/>
    <w:rsid w:val="004144B8"/>
    <w:rsid w:val="004147F9"/>
    <w:rsid w:val="004148D0"/>
    <w:rsid w:val="0041494E"/>
    <w:rsid w:val="00414B00"/>
    <w:rsid w:val="00414DEC"/>
    <w:rsid w:val="00415362"/>
    <w:rsid w:val="0041539B"/>
    <w:rsid w:val="0041558E"/>
    <w:rsid w:val="00415785"/>
    <w:rsid w:val="00415841"/>
    <w:rsid w:val="0041602D"/>
    <w:rsid w:val="004160E5"/>
    <w:rsid w:val="00416336"/>
    <w:rsid w:val="0041644B"/>
    <w:rsid w:val="00416546"/>
    <w:rsid w:val="0041670A"/>
    <w:rsid w:val="004167CF"/>
    <w:rsid w:val="00416C80"/>
    <w:rsid w:val="00417233"/>
    <w:rsid w:val="004174F8"/>
    <w:rsid w:val="00417558"/>
    <w:rsid w:val="0041771C"/>
    <w:rsid w:val="00417780"/>
    <w:rsid w:val="004178B3"/>
    <w:rsid w:val="00417AA5"/>
    <w:rsid w:val="00417F8D"/>
    <w:rsid w:val="00420694"/>
    <w:rsid w:val="004206D1"/>
    <w:rsid w:val="00420A5B"/>
    <w:rsid w:val="00420BC9"/>
    <w:rsid w:val="00420D64"/>
    <w:rsid w:val="004211C7"/>
    <w:rsid w:val="00421837"/>
    <w:rsid w:val="004218B0"/>
    <w:rsid w:val="004218C3"/>
    <w:rsid w:val="0042195C"/>
    <w:rsid w:val="00421A70"/>
    <w:rsid w:val="00421BB7"/>
    <w:rsid w:val="00421C41"/>
    <w:rsid w:val="00421D02"/>
    <w:rsid w:val="00421FAB"/>
    <w:rsid w:val="0042233D"/>
    <w:rsid w:val="0042267E"/>
    <w:rsid w:val="004228D8"/>
    <w:rsid w:val="00422A26"/>
    <w:rsid w:val="00422ABC"/>
    <w:rsid w:val="00422C22"/>
    <w:rsid w:val="00422FA1"/>
    <w:rsid w:val="00423043"/>
    <w:rsid w:val="00423182"/>
    <w:rsid w:val="004234D1"/>
    <w:rsid w:val="004235CA"/>
    <w:rsid w:val="00423635"/>
    <w:rsid w:val="00423873"/>
    <w:rsid w:val="00423A2D"/>
    <w:rsid w:val="00423A6D"/>
    <w:rsid w:val="0042407E"/>
    <w:rsid w:val="004240A1"/>
    <w:rsid w:val="00424BA3"/>
    <w:rsid w:val="00424CCC"/>
    <w:rsid w:val="004251E9"/>
    <w:rsid w:val="00425D0C"/>
    <w:rsid w:val="00425E29"/>
    <w:rsid w:val="00425EDB"/>
    <w:rsid w:val="004263AC"/>
    <w:rsid w:val="00426787"/>
    <w:rsid w:val="00426951"/>
    <w:rsid w:val="00426AA6"/>
    <w:rsid w:val="00426DBC"/>
    <w:rsid w:val="00426FC7"/>
    <w:rsid w:val="0042713A"/>
    <w:rsid w:val="0042727E"/>
    <w:rsid w:val="004274D8"/>
    <w:rsid w:val="004275BD"/>
    <w:rsid w:val="004277EB"/>
    <w:rsid w:val="0042782C"/>
    <w:rsid w:val="004278C3"/>
    <w:rsid w:val="00427A44"/>
    <w:rsid w:val="004302B9"/>
    <w:rsid w:val="00430375"/>
    <w:rsid w:val="004305EE"/>
    <w:rsid w:val="00430746"/>
    <w:rsid w:val="0043088C"/>
    <w:rsid w:val="00430BB2"/>
    <w:rsid w:val="00430DED"/>
    <w:rsid w:val="00430DF3"/>
    <w:rsid w:val="0043122E"/>
    <w:rsid w:val="004315BB"/>
    <w:rsid w:val="00431840"/>
    <w:rsid w:val="00431B20"/>
    <w:rsid w:val="00431C66"/>
    <w:rsid w:val="00432247"/>
    <w:rsid w:val="0043259A"/>
    <w:rsid w:val="004325C0"/>
    <w:rsid w:val="00432D58"/>
    <w:rsid w:val="00432FA4"/>
    <w:rsid w:val="00433019"/>
    <w:rsid w:val="00433573"/>
    <w:rsid w:val="00433631"/>
    <w:rsid w:val="0043364C"/>
    <w:rsid w:val="00433A72"/>
    <w:rsid w:val="00433BB7"/>
    <w:rsid w:val="00433C75"/>
    <w:rsid w:val="00433F3D"/>
    <w:rsid w:val="00433FB4"/>
    <w:rsid w:val="0043421A"/>
    <w:rsid w:val="0043473D"/>
    <w:rsid w:val="004347C1"/>
    <w:rsid w:val="00434822"/>
    <w:rsid w:val="00434BC9"/>
    <w:rsid w:val="00434BCD"/>
    <w:rsid w:val="00434BF0"/>
    <w:rsid w:val="00434DF7"/>
    <w:rsid w:val="00434EC3"/>
    <w:rsid w:val="00435062"/>
    <w:rsid w:val="004350C9"/>
    <w:rsid w:val="004350D9"/>
    <w:rsid w:val="004355E1"/>
    <w:rsid w:val="00435636"/>
    <w:rsid w:val="004357BF"/>
    <w:rsid w:val="004357D4"/>
    <w:rsid w:val="004359FF"/>
    <w:rsid w:val="00435C05"/>
    <w:rsid w:val="00435EBD"/>
    <w:rsid w:val="004360CA"/>
    <w:rsid w:val="004362F8"/>
    <w:rsid w:val="004366DF"/>
    <w:rsid w:val="00436AEC"/>
    <w:rsid w:val="00436C76"/>
    <w:rsid w:val="00436D0B"/>
    <w:rsid w:val="004370FA"/>
    <w:rsid w:val="004371EB"/>
    <w:rsid w:val="004373C9"/>
    <w:rsid w:val="00437540"/>
    <w:rsid w:val="00437999"/>
    <w:rsid w:val="004379E1"/>
    <w:rsid w:val="00437AE2"/>
    <w:rsid w:val="00437B45"/>
    <w:rsid w:val="00437E3A"/>
    <w:rsid w:val="00440122"/>
    <w:rsid w:val="00440331"/>
    <w:rsid w:val="0044033B"/>
    <w:rsid w:val="00440426"/>
    <w:rsid w:val="004406C5"/>
    <w:rsid w:val="004406FA"/>
    <w:rsid w:val="004407E1"/>
    <w:rsid w:val="00440C5A"/>
    <w:rsid w:val="00440C7A"/>
    <w:rsid w:val="00440E1B"/>
    <w:rsid w:val="004411B5"/>
    <w:rsid w:val="004411F0"/>
    <w:rsid w:val="00441321"/>
    <w:rsid w:val="004413FB"/>
    <w:rsid w:val="00441844"/>
    <w:rsid w:val="004418DD"/>
    <w:rsid w:val="00441B61"/>
    <w:rsid w:val="00441B7A"/>
    <w:rsid w:val="00441C02"/>
    <w:rsid w:val="00441DA5"/>
    <w:rsid w:val="00441E3F"/>
    <w:rsid w:val="00441EAD"/>
    <w:rsid w:val="004423C9"/>
    <w:rsid w:val="00442615"/>
    <w:rsid w:val="00442B67"/>
    <w:rsid w:val="00442EBD"/>
    <w:rsid w:val="0044302F"/>
    <w:rsid w:val="0044364F"/>
    <w:rsid w:val="004439AD"/>
    <w:rsid w:val="00443BA0"/>
    <w:rsid w:val="00443C19"/>
    <w:rsid w:val="00443EF4"/>
    <w:rsid w:val="00444675"/>
    <w:rsid w:val="00444F2B"/>
    <w:rsid w:val="0044518D"/>
    <w:rsid w:val="004453DE"/>
    <w:rsid w:val="0044569A"/>
    <w:rsid w:val="004456F3"/>
    <w:rsid w:val="0044596F"/>
    <w:rsid w:val="00445A28"/>
    <w:rsid w:val="00445B6C"/>
    <w:rsid w:val="00446147"/>
    <w:rsid w:val="004463D5"/>
    <w:rsid w:val="00446713"/>
    <w:rsid w:val="004468F5"/>
    <w:rsid w:val="00446CEE"/>
    <w:rsid w:val="00446EFD"/>
    <w:rsid w:val="00446F39"/>
    <w:rsid w:val="0044711E"/>
    <w:rsid w:val="00447614"/>
    <w:rsid w:val="00450363"/>
    <w:rsid w:val="004504B4"/>
    <w:rsid w:val="00450C36"/>
    <w:rsid w:val="00451637"/>
    <w:rsid w:val="00451691"/>
    <w:rsid w:val="00451971"/>
    <w:rsid w:val="00451B2F"/>
    <w:rsid w:val="00451E42"/>
    <w:rsid w:val="00451E6C"/>
    <w:rsid w:val="00451EA0"/>
    <w:rsid w:val="00452114"/>
    <w:rsid w:val="00452124"/>
    <w:rsid w:val="00452CCD"/>
    <w:rsid w:val="00452F81"/>
    <w:rsid w:val="004539DF"/>
    <w:rsid w:val="00453C1D"/>
    <w:rsid w:val="00453C26"/>
    <w:rsid w:val="00453E03"/>
    <w:rsid w:val="00453FA6"/>
    <w:rsid w:val="00453FD3"/>
    <w:rsid w:val="004541D7"/>
    <w:rsid w:val="0045441D"/>
    <w:rsid w:val="00454672"/>
    <w:rsid w:val="00454E18"/>
    <w:rsid w:val="004551F2"/>
    <w:rsid w:val="004556E1"/>
    <w:rsid w:val="004557B7"/>
    <w:rsid w:val="00455963"/>
    <w:rsid w:val="0045598D"/>
    <w:rsid w:val="00455AC3"/>
    <w:rsid w:val="00455EC7"/>
    <w:rsid w:val="00456234"/>
    <w:rsid w:val="004563A1"/>
    <w:rsid w:val="004565D1"/>
    <w:rsid w:val="00456666"/>
    <w:rsid w:val="004569DA"/>
    <w:rsid w:val="00456A7C"/>
    <w:rsid w:val="00456AC1"/>
    <w:rsid w:val="004571D4"/>
    <w:rsid w:val="00457281"/>
    <w:rsid w:val="00457285"/>
    <w:rsid w:val="00457484"/>
    <w:rsid w:val="004576C3"/>
    <w:rsid w:val="00457C47"/>
    <w:rsid w:val="00457EB3"/>
    <w:rsid w:val="00457F95"/>
    <w:rsid w:val="0046010E"/>
    <w:rsid w:val="0046030D"/>
    <w:rsid w:val="00460503"/>
    <w:rsid w:val="0046083F"/>
    <w:rsid w:val="00460BB0"/>
    <w:rsid w:val="00460DAD"/>
    <w:rsid w:val="00460F38"/>
    <w:rsid w:val="004610D4"/>
    <w:rsid w:val="00461581"/>
    <w:rsid w:val="0046186A"/>
    <w:rsid w:val="00461A93"/>
    <w:rsid w:val="004621C9"/>
    <w:rsid w:val="004625C2"/>
    <w:rsid w:val="004625E4"/>
    <w:rsid w:val="0046279E"/>
    <w:rsid w:val="00462C36"/>
    <w:rsid w:val="00463088"/>
    <w:rsid w:val="004630B0"/>
    <w:rsid w:val="004631A3"/>
    <w:rsid w:val="0046340F"/>
    <w:rsid w:val="0046371D"/>
    <w:rsid w:val="0046393E"/>
    <w:rsid w:val="00463B11"/>
    <w:rsid w:val="00463B95"/>
    <w:rsid w:val="00463BB1"/>
    <w:rsid w:val="00463C88"/>
    <w:rsid w:val="00463CAC"/>
    <w:rsid w:val="00463D59"/>
    <w:rsid w:val="00464304"/>
    <w:rsid w:val="004645FF"/>
    <w:rsid w:val="004647EF"/>
    <w:rsid w:val="00464883"/>
    <w:rsid w:val="00464963"/>
    <w:rsid w:val="00464E02"/>
    <w:rsid w:val="00464F04"/>
    <w:rsid w:val="00464FD5"/>
    <w:rsid w:val="00465452"/>
    <w:rsid w:val="0046590B"/>
    <w:rsid w:val="00465C96"/>
    <w:rsid w:val="00465E1E"/>
    <w:rsid w:val="00465EBD"/>
    <w:rsid w:val="0046617E"/>
    <w:rsid w:val="00466852"/>
    <w:rsid w:val="00466A57"/>
    <w:rsid w:val="00466EA3"/>
    <w:rsid w:val="00466FC3"/>
    <w:rsid w:val="004670EA"/>
    <w:rsid w:val="0046761E"/>
    <w:rsid w:val="0046764A"/>
    <w:rsid w:val="004676E9"/>
    <w:rsid w:val="00467805"/>
    <w:rsid w:val="00467E1B"/>
    <w:rsid w:val="004702C5"/>
    <w:rsid w:val="004703DD"/>
    <w:rsid w:val="00470750"/>
    <w:rsid w:val="004709F1"/>
    <w:rsid w:val="00470A5D"/>
    <w:rsid w:val="00470C4D"/>
    <w:rsid w:val="00471432"/>
    <w:rsid w:val="0047179A"/>
    <w:rsid w:val="004718A8"/>
    <w:rsid w:val="00471926"/>
    <w:rsid w:val="00471A3C"/>
    <w:rsid w:val="00471AA6"/>
    <w:rsid w:val="00471DD8"/>
    <w:rsid w:val="00471F0E"/>
    <w:rsid w:val="00472A49"/>
    <w:rsid w:val="00472F62"/>
    <w:rsid w:val="004730EA"/>
    <w:rsid w:val="00473178"/>
    <w:rsid w:val="00473400"/>
    <w:rsid w:val="00473439"/>
    <w:rsid w:val="004734AF"/>
    <w:rsid w:val="0047376C"/>
    <w:rsid w:val="0047376F"/>
    <w:rsid w:val="00473946"/>
    <w:rsid w:val="004739BD"/>
    <w:rsid w:val="004741D1"/>
    <w:rsid w:val="0047423A"/>
    <w:rsid w:val="00474379"/>
    <w:rsid w:val="0047497F"/>
    <w:rsid w:val="00474ABF"/>
    <w:rsid w:val="00474EF2"/>
    <w:rsid w:val="00474F42"/>
    <w:rsid w:val="0047526A"/>
    <w:rsid w:val="00475641"/>
    <w:rsid w:val="00475737"/>
    <w:rsid w:val="00475876"/>
    <w:rsid w:val="004759E6"/>
    <w:rsid w:val="00475CB6"/>
    <w:rsid w:val="00475FB8"/>
    <w:rsid w:val="00476092"/>
    <w:rsid w:val="00476273"/>
    <w:rsid w:val="00476415"/>
    <w:rsid w:val="004767AE"/>
    <w:rsid w:val="004767F1"/>
    <w:rsid w:val="00476845"/>
    <w:rsid w:val="004768D8"/>
    <w:rsid w:val="00476A55"/>
    <w:rsid w:val="00476B05"/>
    <w:rsid w:val="00476D2E"/>
    <w:rsid w:val="004771CC"/>
    <w:rsid w:val="0047721C"/>
    <w:rsid w:val="00477512"/>
    <w:rsid w:val="00477655"/>
    <w:rsid w:val="00477746"/>
    <w:rsid w:val="00477855"/>
    <w:rsid w:val="00477954"/>
    <w:rsid w:val="00477E00"/>
    <w:rsid w:val="00477E2D"/>
    <w:rsid w:val="00477E6B"/>
    <w:rsid w:val="00477E7E"/>
    <w:rsid w:val="00480116"/>
    <w:rsid w:val="004805F5"/>
    <w:rsid w:val="00480604"/>
    <w:rsid w:val="004806AC"/>
    <w:rsid w:val="004808E6"/>
    <w:rsid w:val="00480BA0"/>
    <w:rsid w:val="00480FFC"/>
    <w:rsid w:val="004811A8"/>
    <w:rsid w:val="004812CE"/>
    <w:rsid w:val="0048140E"/>
    <w:rsid w:val="004815B0"/>
    <w:rsid w:val="004815FC"/>
    <w:rsid w:val="004816C5"/>
    <w:rsid w:val="00481857"/>
    <w:rsid w:val="00481BF7"/>
    <w:rsid w:val="00481F8E"/>
    <w:rsid w:val="00482605"/>
    <w:rsid w:val="0048279F"/>
    <w:rsid w:val="00482A60"/>
    <w:rsid w:val="00482ED1"/>
    <w:rsid w:val="00482F0E"/>
    <w:rsid w:val="004834A4"/>
    <w:rsid w:val="00483588"/>
    <w:rsid w:val="00483909"/>
    <w:rsid w:val="00483A6C"/>
    <w:rsid w:val="00483AAE"/>
    <w:rsid w:val="0048447B"/>
    <w:rsid w:val="0048491F"/>
    <w:rsid w:val="00484B83"/>
    <w:rsid w:val="00484D52"/>
    <w:rsid w:val="00484DC2"/>
    <w:rsid w:val="0048522F"/>
    <w:rsid w:val="00485413"/>
    <w:rsid w:val="004855FA"/>
    <w:rsid w:val="00485C08"/>
    <w:rsid w:val="00485D17"/>
    <w:rsid w:val="00485DCC"/>
    <w:rsid w:val="00485DD5"/>
    <w:rsid w:val="0048611B"/>
    <w:rsid w:val="0048617A"/>
    <w:rsid w:val="00486207"/>
    <w:rsid w:val="0048671E"/>
    <w:rsid w:val="00486E43"/>
    <w:rsid w:val="00487344"/>
    <w:rsid w:val="00487C59"/>
    <w:rsid w:val="004900E5"/>
    <w:rsid w:val="004904F5"/>
    <w:rsid w:val="004904FE"/>
    <w:rsid w:val="004906B1"/>
    <w:rsid w:val="004908B0"/>
    <w:rsid w:val="00490DAE"/>
    <w:rsid w:val="00490EFE"/>
    <w:rsid w:val="00490FC2"/>
    <w:rsid w:val="00491265"/>
    <w:rsid w:val="004914AD"/>
    <w:rsid w:val="00491C18"/>
    <w:rsid w:val="00491E7D"/>
    <w:rsid w:val="00491FDE"/>
    <w:rsid w:val="00492034"/>
    <w:rsid w:val="00492465"/>
    <w:rsid w:val="00492531"/>
    <w:rsid w:val="0049274D"/>
    <w:rsid w:val="004929C6"/>
    <w:rsid w:val="00492C6F"/>
    <w:rsid w:val="004930EA"/>
    <w:rsid w:val="00493299"/>
    <w:rsid w:val="004933BF"/>
    <w:rsid w:val="00493672"/>
    <w:rsid w:val="004936B6"/>
    <w:rsid w:val="00493858"/>
    <w:rsid w:val="004939A7"/>
    <w:rsid w:val="00493A8A"/>
    <w:rsid w:val="00493C24"/>
    <w:rsid w:val="00493CED"/>
    <w:rsid w:val="00493CF5"/>
    <w:rsid w:val="00493E20"/>
    <w:rsid w:val="00494556"/>
    <w:rsid w:val="0049464B"/>
    <w:rsid w:val="00494A08"/>
    <w:rsid w:val="00494BC4"/>
    <w:rsid w:val="00494CE8"/>
    <w:rsid w:val="00494D27"/>
    <w:rsid w:val="00494EC0"/>
    <w:rsid w:val="0049511A"/>
    <w:rsid w:val="00495D9D"/>
    <w:rsid w:val="00495ECF"/>
    <w:rsid w:val="00496189"/>
    <w:rsid w:val="004964E3"/>
    <w:rsid w:val="004964F9"/>
    <w:rsid w:val="00496534"/>
    <w:rsid w:val="004965B3"/>
    <w:rsid w:val="00496BBD"/>
    <w:rsid w:val="00496D59"/>
    <w:rsid w:val="00496F64"/>
    <w:rsid w:val="00497046"/>
    <w:rsid w:val="0049771B"/>
    <w:rsid w:val="00497B3F"/>
    <w:rsid w:val="00497B4A"/>
    <w:rsid w:val="00497C44"/>
    <w:rsid w:val="00497C71"/>
    <w:rsid w:val="00497DBC"/>
    <w:rsid w:val="004A04B1"/>
    <w:rsid w:val="004A05BC"/>
    <w:rsid w:val="004A064D"/>
    <w:rsid w:val="004A087B"/>
    <w:rsid w:val="004A08C7"/>
    <w:rsid w:val="004A0B26"/>
    <w:rsid w:val="004A1231"/>
    <w:rsid w:val="004A12D3"/>
    <w:rsid w:val="004A14B2"/>
    <w:rsid w:val="004A1839"/>
    <w:rsid w:val="004A18CD"/>
    <w:rsid w:val="004A1B77"/>
    <w:rsid w:val="004A1D26"/>
    <w:rsid w:val="004A2021"/>
    <w:rsid w:val="004A2580"/>
    <w:rsid w:val="004A25CE"/>
    <w:rsid w:val="004A25FF"/>
    <w:rsid w:val="004A27EE"/>
    <w:rsid w:val="004A2865"/>
    <w:rsid w:val="004A2A54"/>
    <w:rsid w:val="004A2A9F"/>
    <w:rsid w:val="004A2CC5"/>
    <w:rsid w:val="004A3070"/>
    <w:rsid w:val="004A3188"/>
    <w:rsid w:val="004A319C"/>
    <w:rsid w:val="004A32D8"/>
    <w:rsid w:val="004A3339"/>
    <w:rsid w:val="004A3389"/>
    <w:rsid w:val="004A362D"/>
    <w:rsid w:val="004A36DD"/>
    <w:rsid w:val="004A385B"/>
    <w:rsid w:val="004A387A"/>
    <w:rsid w:val="004A3D3F"/>
    <w:rsid w:val="004A45DD"/>
    <w:rsid w:val="004A464C"/>
    <w:rsid w:val="004A46C5"/>
    <w:rsid w:val="004A4A5C"/>
    <w:rsid w:val="004A506F"/>
    <w:rsid w:val="004A51C8"/>
    <w:rsid w:val="004A553A"/>
    <w:rsid w:val="004A55C5"/>
    <w:rsid w:val="004A57FB"/>
    <w:rsid w:val="004A5A3B"/>
    <w:rsid w:val="004A5A85"/>
    <w:rsid w:val="004A5EE4"/>
    <w:rsid w:val="004A6074"/>
    <w:rsid w:val="004A60D6"/>
    <w:rsid w:val="004A6428"/>
    <w:rsid w:val="004A6F7D"/>
    <w:rsid w:val="004A7051"/>
    <w:rsid w:val="004A7142"/>
    <w:rsid w:val="004A7166"/>
    <w:rsid w:val="004A7248"/>
    <w:rsid w:val="004A7850"/>
    <w:rsid w:val="004A786B"/>
    <w:rsid w:val="004A78E8"/>
    <w:rsid w:val="004A7CA4"/>
    <w:rsid w:val="004A7DDA"/>
    <w:rsid w:val="004A7EE6"/>
    <w:rsid w:val="004B01BB"/>
    <w:rsid w:val="004B03F3"/>
    <w:rsid w:val="004B08B0"/>
    <w:rsid w:val="004B093D"/>
    <w:rsid w:val="004B0EEE"/>
    <w:rsid w:val="004B0FE8"/>
    <w:rsid w:val="004B11A2"/>
    <w:rsid w:val="004B127D"/>
    <w:rsid w:val="004B12A5"/>
    <w:rsid w:val="004B18C3"/>
    <w:rsid w:val="004B1B86"/>
    <w:rsid w:val="004B1D2E"/>
    <w:rsid w:val="004B1D5E"/>
    <w:rsid w:val="004B1D87"/>
    <w:rsid w:val="004B1E44"/>
    <w:rsid w:val="004B1EBF"/>
    <w:rsid w:val="004B215B"/>
    <w:rsid w:val="004B217C"/>
    <w:rsid w:val="004B26F0"/>
    <w:rsid w:val="004B29AB"/>
    <w:rsid w:val="004B2B25"/>
    <w:rsid w:val="004B2BA8"/>
    <w:rsid w:val="004B2BAD"/>
    <w:rsid w:val="004B2C03"/>
    <w:rsid w:val="004B2CC4"/>
    <w:rsid w:val="004B300C"/>
    <w:rsid w:val="004B3015"/>
    <w:rsid w:val="004B321A"/>
    <w:rsid w:val="004B38D2"/>
    <w:rsid w:val="004B3CC5"/>
    <w:rsid w:val="004B3CEB"/>
    <w:rsid w:val="004B4699"/>
    <w:rsid w:val="004B46DD"/>
    <w:rsid w:val="004B487B"/>
    <w:rsid w:val="004B49B4"/>
    <w:rsid w:val="004B5065"/>
    <w:rsid w:val="004B507F"/>
    <w:rsid w:val="004B5BA4"/>
    <w:rsid w:val="004B5C41"/>
    <w:rsid w:val="004B5CE6"/>
    <w:rsid w:val="004B5DAE"/>
    <w:rsid w:val="004B5F44"/>
    <w:rsid w:val="004B5FD3"/>
    <w:rsid w:val="004B626A"/>
    <w:rsid w:val="004B6676"/>
    <w:rsid w:val="004B683F"/>
    <w:rsid w:val="004B6D97"/>
    <w:rsid w:val="004B6E30"/>
    <w:rsid w:val="004B72B8"/>
    <w:rsid w:val="004B7B64"/>
    <w:rsid w:val="004B7BA5"/>
    <w:rsid w:val="004B7D15"/>
    <w:rsid w:val="004B7DAA"/>
    <w:rsid w:val="004B7EFE"/>
    <w:rsid w:val="004C0280"/>
    <w:rsid w:val="004C0824"/>
    <w:rsid w:val="004C0909"/>
    <w:rsid w:val="004C0978"/>
    <w:rsid w:val="004C0F10"/>
    <w:rsid w:val="004C0FDB"/>
    <w:rsid w:val="004C111F"/>
    <w:rsid w:val="004C14D6"/>
    <w:rsid w:val="004C160B"/>
    <w:rsid w:val="004C1B62"/>
    <w:rsid w:val="004C1D98"/>
    <w:rsid w:val="004C1DE9"/>
    <w:rsid w:val="004C1EA6"/>
    <w:rsid w:val="004C2076"/>
    <w:rsid w:val="004C235F"/>
    <w:rsid w:val="004C244E"/>
    <w:rsid w:val="004C24B8"/>
    <w:rsid w:val="004C2F5A"/>
    <w:rsid w:val="004C3103"/>
    <w:rsid w:val="004C3572"/>
    <w:rsid w:val="004C38C6"/>
    <w:rsid w:val="004C38F9"/>
    <w:rsid w:val="004C4124"/>
    <w:rsid w:val="004C4387"/>
    <w:rsid w:val="004C4B34"/>
    <w:rsid w:val="004C4F37"/>
    <w:rsid w:val="004C5A65"/>
    <w:rsid w:val="004C5B65"/>
    <w:rsid w:val="004C5CA7"/>
    <w:rsid w:val="004C5DE6"/>
    <w:rsid w:val="004C5E81"/>
    <w:rsid w:val="004C5EDB"/>
    <w:rsid w:val="004C6482"/>
    <w:rsid w:val="004C6642"/>
    <w:rsid w:val="004C6B97"/>
    <w:rsid w:val="004C6C8B"/>
    <w:rsid w:val="004C6E0D"/>
    <w:rsid w:val="004C6E48"/>
    <w:rsid w:val="004C6E66"/>
    <w:rsid w:val="004C6F50"/>
    <w:rsid w:val="004C6FB2"/>
    <w:rsid w:val="004C7116"/>
    <w:rsid w:val="004C7129"/>
    <w:rsid w:val="004C7293"/>
    <w:rsid w:val="004C73A2"/>
    <w:rsid w:val="004C7463"/>
    <w:rsid w:val="004C74B4"/>
    <w:rsid w:val="004C77A0"/>
    <w:rsid w:val="004C7B8D"/>
    <w:rsid w:val="004C7CF7"/>
    <w:rsid w:val="004C7F02"/>
    <w:rsid w:val="004C7F5A"/>
    <w:rsid w:val="004D01DE"/>
    <w:rsid w:val="004D0201"/>
    <w:rsid w:val="004D0294"/>
    <w:rsid w:val="004D054C"/>
    <w:rsid w:val="004D060E"/>
    <w:rsid w:val="004D0F4F"/>
    <w:rsid w:val="004D135C"/>
    <w:rsid w:val="004D1365"/>
    <w:rsid w:val="004D13A6"/>
    <w:rsid w:val="004D17B5"/>
    <w:rsid w:val="004D1832"/>
    <w:rsid w:val="004D1CE6"/>
    <w:rsid w:val="004D1E26"/>
    <w:rsid w:val="004D1E77"/>
    <w:rsid w:val="004D294A"/>
    <w:rsid w:val="004D2A49"/>
    <w:rsid w:val="004D2D73"/>
    <w:rsid w:val="004D2EA6"/>
    <w:rsid w:val="004D2F52"/>
    <w:rsid w:val="004D3435"/>
    <w:rsid w:val="004D3688"/>
    <w:rsid w:val="004D3AE4"/>
    <w:rsid w:val="004D3C5D"/>
    <w:rsid w:val="004D3CFE"/>
    <w:rsid w:val="004D4109"/>
    <w:rsid w:val="004D4198"/>
    <w:rsid w:val="004D449E"/>
    <w:rsid w:val="004D45FB"/>
    <w:rsid w:val="004D47F9"/>
    <w:rsid w:val="004D484B"/>
    <w:rsid w:val="004D48B2"/>
    <w:rsid w:val="004D49AA"/>
    <w:rsid w:val="004D5070"/>
    <w:rsid w:val="004D513B"/>
    <w:rsid w:val="004D5858"/>
    <w:rsid w:val="004D586A"/>
    <w:rsid w:val="004D5D58"/>
    <w:rsid w:val="004D5E2C"/>
    <w:rsid w:val="004D5F4A"/>
    <w:rsid w:val="004D5FFB"/>
    <w:rsid w:val="004D602B"/>
    <w:rsid w:val="004D6115"/>
    <w:rsid w:val="004D671F"/>
    <w:rsid w:val="004D690E"/>
    <w:rsid w:val="004D69F9"/>
    <w:rsid w:val="004D6BFF"/>
    <w:rsid w:val="004D6C91"/>
    <w:rsid w:val="004D6CD5"/>
    <w:rsid w:val="004D75C6"/>
    <w:rsid w:val="004D7BE0"/>
    <w:rsid w:val="004D7E25"/>
    <w:rsid w:val="004E0313"/>
    <w:rsid w:val="004E0576"/>
    <w:rsid w:val="004E058D"/>
    <w:rsid w:val="004E0677"/>
    <w:rsid w:val="004E092F"/>
    <w:rsid w:val="004E0C48"/>
    <w:rsid w:val="004E0DD8"/>
    <w:rsid w:val="004E1111"/>
    <w:rsid w:val="004E11BC"/>
    <w:rsid w:val="004E12F8"/>
    <w:rsid w:val="004E1324"/>
    <w:rsid w:val="004E150B"/>
    <w:rsid w:val="004E16A5"/>
    <w:rsid w:val="004E16FB"/>
    <w:rsid w:val="004E1760"/>
    <w:rsid w:val="004E17B9"/>
    <w:rsid w:val="004E1B75"/>
    <w:rsid w:val="004E201D"/>
    <w:rsid w:val="004E228C"/>
    <w:rsid w:val="004E26D0"/>
    <w:rsid w:val="004E26DE"/>
    <w:rsid w:val="004E2CF4"/>
    <w:rsid w:val="004E315D"/>
    <w:rsid w:val="004E3A70"/>
    <w:rsid w:val="004E3BCE"/>
    <w:rsid w:val="004E3D0A"/>
    <w:rsid w:val="004E3D61"/>
    <w:rsid w:val="004E443F"/>
    <w:rsid w:val="004E444E"/>
    <w:rsid w:val="004E4A8C"/>
    <w:rsid w:val="004E4D0E"/>
    <w:rsid w:val="004E4ED7"/>
    <w:rsid w:val="004E4FA1"/>
    <w:rsid w:val="004E5087"/>
    <w:rsid w:val="004E5134"/>
    <w:rsid w:val="004E5398"/>
    <w:rsid w:val="004E58FD"/>
    <w:rsid w:val="004E5A1E"/>
    <w:rsid w:val="004E5A82"/>
    <w:rsid w:val="004E5B05"/>
    <w:rsid w:val="004E69DF"/>
    <w:rsid w:val="004E6D60"/>
    <w:rsid w:val="004E70D0"/>
    <w:rsid w:val="004E751F"/>
    <w:rsid w:val="004E7635"/>
    <w:rsid w:val="004E79A4"/>
    <w:rsid w:val="004E7A69"/>
    <w:rsid w:val="004E7AE8"/>
    <w:rsid w:val="004E7E92"/>
    <w:rsid w:val="004E7FBA"/>
    <w:rsid w:val="004F003C"/>
    <w:rsid w:val="004F0170"/>
    <w:rsid w:val="004F0197"/>
    <w:rsid w:val="004F05FF"/>
    <w:rsid w:val="004F0A1D"/>
    <w:rsid w:val="004F0ABB"/>
    <w:rsid w:val="004F0BAD"/>
    <w:rsid w:val="004F0C19"/>
    <w:rsid w:val="004F0EDC"/>
    <w:rsid w:val="004F0F77"/>
    <w:rsid w:val="004F103F"/>
    <w:rsid w:val="004F1464"/>
    <w:rsid w:val="004F1501"/>
    <w:rsid w:val="004F154C"/>
    <w:rsid w:val="004F165C"/>
    <w:rsid w:val="004F1B93"/>
    <w:rsid w:val="004F1E98"/>
    <w:rsid w:val="004F1EBC"/>
    <w:rsid w:val="004F21D2"/>
    <w:rsid w:val="004F245F"/>
    <w:rsid w:val="004F2690"/>
    <w:rsid w:val="004F2D69"/>
    <w:rsid w:val="004F2E54"/>
    <w:rsid w:val="004F2EFE"/>
    <w:rsid w:val="004F3079"/>
    <w:rsid w:val="004F31CD"/>
    <w:rsid w:val="004F358C"/>
    <w:rsid w:val="004F38EA"/>
    <w:rsid w:val="004F39F7"/>
    <w:rsid w:val="004F3D84"/>
    <w:rsid w:val="004F3DFF"/>
    <w:rsid w:val="004F3E35"/>
    <w:rsid w:val="004F3EAA"/>
    <w:rsid w:val="004F3FAF"/>
    <w:rsid w:val="004F4101"/>
    <w:rsid w:val="004F4142"/>
    <w:rsid w:val="004F42D4"/>
    <w:rsid w:val="004F44B0"/>
    <w:rsid w:val="004F4702"/>
    <w:rsid w:val="004F479B"/>
    <w:rsid w:val="004F487B"/>
    <w:rsid w:val="004F48A3"/>
    <w:rsid w:val="004F4A71"/>
    <w:rsid w:val="004F50B5"/>
    <w:rsid w:val="004F55AA"/>
    <w:rsid w:val="004F5827"/>
    <w:rsid w:val="004F5AFF"/>
    <w:rsid w:val="004F5C9B"/>
    <w:rsid w:val="004F60F4"/>
    <w:rsid w:val="004F6968"/>
    <w:rsid w:val="004F6C8B"/>
    <w:rsid w:val="004F6D01"/>
    <w:rsid w:val="004F6E04"/>
    <w:rsid w:val="004F6E84"/>
    <w:rsid w:val="004F6F82"/>
    <w:rsid w:val="004F775D"/>
    <w:rsid w:val="004F77EE"/>
    <w:rsid w:val="004F7989"/>
    <w:rsid w:val="004F79CD"/>
    <w:rsid w:val="004F7A9A"/>
    <w:rsid w:val="004F7D73"/>
    <w:rsid w:val="004F7DC6"/>
    <w:rsid w:val="004F7ED3"/>
    <w:rsid w:val="004F7F43"/>
    <w:rsid w:val="0050018C"/>
    <w:rsid w:val="00500354"/>
    <w:rsid w:val="00500362"/>
    <w:rsid w:val="00500599"/>
    <w:rsid w:val="005005C7"/>
    <w:rsid w:val="00500604"/>
    <w:rsid w:val="005006F5"/>
    <w:rsid w:val="005009DB"/>
    <w:rsid w:val="00500A47"/>
    <w:rsid w:val="00500B2A"/>
    <w:rsid w:val="00500E0F"/>
    <w:rsid w:val="005010E1"/>
    <w:rsid w:val="00501345"/>
    <w:rsid w:val="005015B0"/>
    <w:rsid w:val="00501957"/>
    <w:rsid w:val="00501A75"/>
    <w:rsid w:val="00501AEA"/>
    <w:rsid w:val="00501D18"/>
    <w:rsid w:val="00501F0A"/>
    <w:rsid w:val="00501F57"/>
    <w:rsid w:val="0050282E"/>
    <w:rsid w:val="00502918"/>
    <w:rsid w:val="00503271"/>
    <w:rsid w:val="005034F5"/>
    <w:rsid w:val="0050353A"/>
    <w:rsid w:val="005035FA"/>
    <w:rsid w:val="00503642"/>
    <w:rsid w:val="005039BF"/>
    <w:rsid w:val="005039D1"/>
    <w:rsid w:val="00503A12"/>
    <w:rsid w:val="00503EA0"/>
    <w:rsid w:val="00503F9A"/>
    <w:rsid w:val="005040AA"/>
    <w:rsid w:val="005043C9"/>
    <w:rsid w:val="0050496A"/>
    <w:rsid w:val="00504976"/>
    <w:rsid w:val="00504B05"/>
    <w:rsid w:val="00504BD7"/>
    <w:rsid w:val="00504EF2"/>
    <w:rsid w:val="0050505C"/>
    <w:rsid w:val="005050B8"/>
    <w:rsid w:val="0050537B"/>
    <w:rsid w:val="005053C4"/>
    <w:rsid w:val="005056CB"/>
    <w:rsid w:val="00505A25"/>
    <w:rsid w:val="00505B78"/>
    <w:rsid w:val="00505D55"/>
    <w:rsid w:val="00505DD2"/>
    <w:rsid w:val="00505F4D"/>
    <w:rsid w:val="00506577"/>
    <w:rsid w:val="0050659E"/>
    <w:rsid w:val="005067E4"/>
    <w:rsid w:val="00506936"/>
    <w:rsid w:val="00506A6D"/>
    <w:rsid w:val="00506F0E"/>
    <w:rsid w:val="00507212"/>
    <w:rsid w:val="00507457"/>
    <w:rsid w:val="00507BA8"/>
    <w:rsid w:val="00507CF0"/>
    <w:rsid w:val="00507D1D"/>
    <w:rsid w:val="00507E8F"/>
    <w:rsid w:val="00510080"/>
    <w:rsid w:val="00510407"/>
    <w:rsid w:val="00510948"/>
    <w:rsid w:val="00510ABD"/>
    <w:rsid w:val="00510AF8"/>
    <w:rsid w:val="00510DE0"/>
    <w:rsid w:val="00510F29"/>
    <w:rsid w:val="005111B8"/>
    <w:rsid w:val="00511207"/>
    <w:rsid w:val="0051122E"/>
    <w:rsid w:val="00511419"/>
    <w:rsid w:val="005115E3"/>
    <w:rsid w:val="0051161B"/>
    <w:rsid w:val="00511A32"/>
    <w:rsid w:val="00511A41"/>
    <w:rsid w:val="00511E2E"/>
    <w:rsid w:val="0051200B"/>
    <w:rsid w:val="005123B4"/>
    <w:rsid w:val="005123D3"/>
    <w:rsid w:val="005126BF"/>
    <w:rsid w:val="00512703"/>
    <w:rsid w:val="005128FA"/>
    <w:rsid w:val="00512EF3"/>
    <w:rsid w:val="0051327F"/>
    <w:rsid w:val="0051396B"/>
    <w:rsid w:val="00513B05"/>
    <w:rsid w:val="00513B50"/>
    <w:rsid w:val="00513FA8"/>
    <w:rsid w:val="00514098"/>
    <w:rsid w:val="005140DF"/>
    <w:rsid w:val="005142F9"/>
    <w:rsid w:val="0051465E"/>
    <w:rsid w:val="00514AEC"/>
    <w:rsid w:val="00514B82"/>
    <w:rsid w:val="00514BE1"/>
    <w:rsid w:val="00514CA7"/>
    <w:rsid w:val="00514E57"/>
    <w:rsid w:val="00514EF8"/>
    <w:rsid w:val="0051532A"/>
    <w:rsid w:val="005155FD"/>
    <w:rsid w:val="00515E16"/>
    <w:rsid w:val="00515E2F"/>
    <w:rsid w:val="00515E52"/>
    <w:rsid w:val="00515E9F"/>
    <w:rsid w:val="005161B6"/>
    <w:rsid w:val="00516223"/>
    <w:rsid w:val="005163CC"/>
    <w:rsid w:val="0051651F"/>
    <w:rsid w:val="005165D6"/>
    <w:rsid w:val="005166E7"/>
    <w:rsid w:val="00516769"/>
    <w:rsid w:val="005167B5"/>
    <w:rsid w:val="00516840"/>
    <w:rsid w:val="005168C7"/>
    <w:rsid w:val="00516B53"/>
    <w:rsid w:val="00516CA8"/>
    <w:rsid w:val="00516DD8"/>
    <w:rsid w:val="00516FB6"/>
    <w:rsid w:val="0051707C"/>
    <w:rsid w:val="005170F2"/>
    <w:rsid w:val="00517235"/>
    <w:rsid w:val="0051760F"/>
    <w:rsid w:val="00517AB8"/>
    <w:rsid w:val="00517B69"/>
    <w:rsid w:val="00517C01"/>
    <w:rsid w:val="005200E6"/>
    <w:rsid w:val="0052013A"/>
    <w:rsid w:val="0052027D"/>
    <w:rsid w:val="005202BD"/>
    <w:rsid w:val="00520505"/>
    <w:rsid w:val="0052071B"/>
    <w:rsid w:val="0052077E"/>
    <w:rsid w:val="0052088E"/>
    <w:rsid w:val="00520ED6"/>
    <w:rsid w:val="00520FC9"/>
    <w:rsid w:val="00521013"/>
    <w:rsid w:val="0052116A"/>
    <w:rsid w:val="005216B0"/>
    <w:rsid w:val="00521710"/>
    <w:rsid w:val="0052183F"/>
    <w:rsid w:val="005218CE"/>
    <w:rsid w:val="00521AAB"/>
    <w:rsid w:val="00521E14"/>
    <w:rsid w:val="005221D9"/>
    <w:rsid w:val="00522296"/>
    <w:rsid w:val="00522510"/>
    <w:rsid w:val="005226C8"/>
    <w:rsid w:val="00522B7C"/>
    <w:rsid w:val="00522D05"/>
    <w:rsid w:val="005231D9"/>
    <w:rsid w:val="00523670"/>
    <w:rsid w:val="0052368C"/>
    <w:rsid w:val="005238AF"/>
    <w:rsid w:val="00523B1A"/>
    <w:rsid w:val="00523D73"/>
    <w:rsid w:val="00523D9A"/>
    <w:rsid w:val="0052405C"/>
    <w:rsid w:val="00524259"/>
    <w:rsid w:val="0052465F"/>
    <w:rsid w:val="00524E65"/>
    <w:rsid w:val="00524E6B"/>
    <w:rsid w:val="0052504A"/>
    <w:rsid w:val="00525056"/>
    <w:rsid w:val="005250A8"/>
    <w:rsid w:val="0052537F"/>
    <w:rsid w:val="00525A2A"/>
    <w:rsid w:val="00525DDF"/>
    <w:rsid w:val="005260CD"/>
    <w:rsid w:val="0052667B"/>
    <w:rsid w:val="0052682E"/>
    <w:rsid w:val="005268E6"/>
    <w:rsid w:val="0052692D"/>
    <w:rsid w:val="00526C8A"/>
    <w:rsid w:val="00526D94"/>
    <w:rsid w:val="0052725E"/>
    <w:rsid w:val="00527959"/>
    <w:rsid w:val="00527967"/>
    <w:rsid w:val="00527C98"/>
    <w:rsid w:val="00527F65"/>
    <w:rsid w:val="00530393"/>
    <w:rsid w:val="0053095C"/>
    <w:rsid w:val="00530CE1"/>
    <w:rsid w:val="0053100E"/>
    <w:rsid w:val="00531273"/>
    <w:rsid w:val="00531463"/>
    <w:rsid w:val="00531553"/>
    <w:rsid w:val="005318BC"/>
    <w:rsid w:val="005319A8"/>
    <w:rsid w:val="00531A83"/>
    <w:rsid w:val="00531C59"/>
    <w:rsid w:val="00531E36"/>
    <w:rsid w:val="0053248C"/>
    <w:rsid w:val="005324FB"/>
    <w:rsid w:val="005328CC"/>
    <w:rsid w:val="00532AFF"/>
    <w:rsid w:val="00532D19"/>
    <w:rsid w:val="00532FA8"/>
    <w:rsid w:val="005335BC"/>
    <w:rsid w:val="00533741"/>
    <w:rsid w:val="00533BF4"/>
    <w:rsid w:val="00533C13"/>
    <w:rsid w:val="00533C17"/>
    <w:rsid w:val="00533C1E"/>
    <w:rsid w:val="00533E6F"/>
    <w:rsid w:val="00533F25"/>
    <w:rsid w:val="0053412A"/>
    <w:rsid w:val="00534378"/>
    <w:rsid w:val="00534506"/>
    <w:rsid w:val="005346AE"/>
    <w:rsid w:val="005346FE"/>
    <w:rsid w:val="005349FB"/>
    <w:rsid w:val="00534B3B"/>
    <w:rsid w:val="00534B8E"/>
    <w:rsid w:val="00534D29"/>
    <w:rsid w:val="00534DE5"/>
    <w:rsid w:val="00534DFF"/>
    <w:rsid w:val="00534E55"/>
    <w:rsid w:val="00535070"/>
    <w:rsid w:val="00535089"/>
    <w:rsid w:val="005350E2"/>
    <w:rsid w:val="005353DE"/>
    <w:rsid w:val="0053552E"/>
    <w:rsid w:val="0053561B"/>
    <w:rsid w:val="0053592D"/>
    <w:rsid w:val="005359DD"/>
    <w:rsid w:val="00536281"/>
    <w:rsid w:val="00536454"/>
    <w:rsid w:val="0053668A"/>
    <w:rsid w:val="00536C61"/>
    <w:rsid w:val="00536DD5"/>
    <w:rsid w:val="005370C7"/>
    <w:rsid w:val="005370CD"/>
    <w:rsid w:val="0053732C"/>
    <w:rsid w:val="0053746E"/>
    <w:rsid w:val="0053751F"/>
    <w:rsid w:val="00537C9D"/>
    <w:rsid w:val="00537E5C"/>
    <w:rsid w:val="005405A7"/>
    <w:rsid w:val="0054063B"/>
    <w:rsid w:val="005407C6"/>
    <w:rsid w:val="00540A30"/>
    <w:rsid w:val="00540AEA"/>
    <w:rsid w:val="00540C44"/>
    <w:rsid w:val="00541862"/>
    <w:rsid w:val="0054195B"/>
    <w:rsid w:val="00541C07"/>
    <w:rsid w:val="00541ED7"/>
    <w:rsid w:val="00541F2B"/>
    <w:rsid w:val="00542394"/>
    <w:rsid w:val="00542535"/>
    <w:rsid w:val="005427AB"/>
    <w:rsid w:val="005427D7"/>
    <w:rsid w:val="00542C3D"/>
    <w:rsid w:val="00542E36"/>
    <w:rsid w:val="00543303"/>
    <w:rsid w:val="00543308"/>
    <w:rsid w:val="00543709"/>
    <w:rsid w:val="00543892"/>
    <w:rsid w:val="005438E9"/>
    <w:rsid w:val="005439F2"/>
    <w:rsid w:val="00543A70"/>
    <w:rsid w:val="00543A8D"/>
    <w:rsid w:val="00543DEC"/>
    <w:rsid w:val="00543F8A"/>
    <w:rsid w:val="0054415F"/>
    <w:rsid w:val="00544522"/>
    <w:rsid w:val="00544843"/>
    <w:rsid w:val="0054510D"/>
    <w:rsid w:val="0054519C"/>
    <w:rsid w:val="005453E3"/>
    <w:rsid w:val="00545C29"/>
    <w:rsid w:val="00546029"/>
    <w:rsid w:val="005460E6"/>
    <w:rsid w:val="0054613E"/>
    <w:rsid w:val="005462E0"/>
    <w:rsid w:val="0054634E"/>
    <w:rsid w:val="00546458"/>
    <w:rsid w:val="00546580"/>
    <w:rsid w:val="00546B43"/>
    <w:rsid w:val="00546B5A"/>
    <w:rsid w:val="00546F55"/>
    <w:rsid w:val="00546F69"/>
    <w:rsid w:val="0054726C"/>
    <w:rsid w:val="0054747C"/>
    <w:rsid w:val="005474FF"/>
    <w:rsid w:val="0054763C"/>
    <w:rsid w:val="0054783F"/>
    <w:rsid w:val="0054785C"/>
    <w:rsid w:val="00547B98"/>
    <w:rsid w:val="00547CC3"/>
    <w:rsid w:val="00547D44"/>
    <w:rsid w:val="00547E65"/>
    <w:rsid w:val="0055005D"/>
    <w:rsid w:val="0055036C"/>
    <w:rsid w:val="0055055B"/>
    <w:rsid w:val="005507DD"/>
    <w:rsid w:val="005508B0"/>
    <w:rsid w:val="00550952"/>
    <w:rsid w:val="0055120F"/>
    <w:rsid w:val="00551781"/>
    <w:rsid w:val="005517AB"/>
    <w:rsid w:val="00551817"/>
    <w:rsid w:val="00551A0D"/>
    <w:rsid w:val="00551E40"/>
    <w:rsid w:val="005522F5"/>
    <w:rsid w:val="00552416"/>
    <w:rsid w:val="00552A40"/>
    <w:rsid w:val="00552A43"/>
    <w:rsid w:val="005530A7"/>
    <w:rsid w:val="005531ED"/>
    <w:rsid w:val="005533D7"/>
    <w:rsid w:val="005533ED"/>
    <w:rsid w:val="00553555"/>
    <w:rsid w:val="005535E7"/>
    <w:rsid w:val="005536F9"/>
    <w:rsid w:val="005537A8"/>
    <w:rsid w:val="005539F0"/>
    <w:rsid w:val="00553DC3"/>
    <w:rsid w:val="00553F5B"/>
    <w:rsid w:val="005540E0"/>
    <w:rsid w:val="0055419D"/>
    <w:rsid w:val="0055422F"/>
    <w:rsid w:val="00554337"/>
    <w:rsid w:val="005543CA"/>
    <w:rsid w:val="005544D9"/>
    <w:rsid w:val="005545F7"/>
    <w:rsid w:val="00554848"/>
    <w:rsid w:val="005549AE"/>
    <w:rsid w:val="00554EF8"/>
    <w:rsid w:val="00555616"/>
    <w:rsid w:val="005557A5"/>
    <w:rsid w:val="00555A1A"/>
    <w:rsid w:val="00555BC9"/>
    <w:rsid w:val="00555D46"/>
    <w:rsid w:val="00555DE1"/>
    <w:rsid w:val="00556222"/>
    <w:rsid w:val="005563B6"/>
    <w:rsid w:val="00556A21"/>
    <w:rsid w:val="00556A51"/>
    <w:rsid w:val="00556CA8"/>
    <w:rsid w:val="005571A3"/>
    <w:rsid w:val="005571BF"/>
    <w:rsid w:val="0055729A"/>
    <w:rsid w:val="00557352"/>
    <w:rsid w:val="00557461"/>
    <w:rsid w:val="005577E7"/>
    <w:rsid w:val="00557B86"/>
    <w:rsid w:val="00557EE4"/>
    <w:rsid w:val="00557F49"/>
    <w:rsid w:val="00560164"/>
    <w:rsid w:val="005603D3"/>
    <w:rsid w:val="00560493"/>
    <w:rsid w:val="005606B1"/>
    <w:rsid w:val="0056072F"/>
    <w:rsid w:val="0056078E"/>
    <w:rsid w:val="005608F5"/>
    <w:rsid w:val="00560B2C"/>
    <w:rsid w:val="00560CD3"/>
    <w:rsid w:val="005612B5"/>
    <w:rsid w:val="005612BF"/>
    <w:rsid w:val="005614B3"/>
    <w:rsid w:val="0056156A"/>
    <w:rsid w:val="005615DD"/>
    <w:rsid w:val="0056178E"/>
    <w:rsid w:val="005619AB"/>
    <w:rsid w:val="005619C5"/>
    <w:rsid w:val="00561BC7"/>
    <w:rsid w:val="00561CCC"/>
    <w:rsid w:val="00561DA8"/>
    <w:rsid w:val="00561F1C"/>
    <w:rsid w:val="00561FE6"/>
    <w:rsid w:val="005620C7"/>
    <w:rsid w:val="005622CE"/>
    <w:rsid w:val="00562558"/>
    <w:rsid w:val="0056257F"/>
    <w:rsid w:val="0056273F"/>
    <w:rsid w:val="00562875"/>
    <w:rsid w:val="005628F9"/>
    <w:rsid w:val="00562D78"/>
    <w:rsid w:val="00563081"/>
    <w:rsid w:val="00563230"/>
    <w:rsid w:val="00563577"/>
    <w:rsid w:val="0056358B"/>
    <w:rsid w:val="00563A75"/>
    <w:rsid w:val="00563A9B"/>
    <w:rsid w:val="00563B34"/>
    <w:rsid w:val="00563CFB"/>
    <w:rsid w:val="00563DCD"/>
    <w:rsid w:val="00564316"/>
    <w:rsid w:val="0056455F"/>
    <w:rsid w:val="0056465C"/>
    <w:rsid w:val="00564858"/>
    <w:rsid w:val="00564E52"/>
    <w:rsid w:val="0056520C"/>
    <w:rsid w:val="005654F0"/>
    <w:rsid w:val="00565990"/>
    <w:rsid w:val="00565B91"/>
    <w:rsid w:val="005660D9"/>
    <w:rsid w:val="005666E1"/>
    <w:rsid w:val="00566B10"/>
    <w:rsid w:val="00566BC7"/>
    <w:rsid w:val="00566CFB"/>
    <w:rsid w:val="00566EE1"/>
    <w:rsid w:val="005672C2"/>
    <w:rsid w:val="005672F8"/>
    <w:rsid w:val="0056732E"/>
    <w:rsid w:val="005676EA"/>
    <w:rsid w:val="00567762"/>
    <w:rsid w:val="0056782D"/>
    <w:rsid w:val="00567A02"/>
    <w:rsid w:val="00567A46"/>
    <w:rsid w:val="00567F73"/>
    <w:rsid w:val="00570818"/>
    <w:rsid w:val="00570B70"/>
    <w:rsid w:val="00570B99"/>
    <w:rsid w:val="00570C76"/>
    <w:rsid w:val="00570D2D"/>
    <w:rsid w:val="00571171"/>
    <w:rsid w:val="005711A8"/>
    <w:rsid w:val="005711B2"/>
    <w:rsid w:val="005717C9"/>
    <w:rsid w:val="00572283"/>
    <w:rsid w:val="0057228F"/>
    <w:rsid w:val="005723E3"/>
    <w:rsid w:val="00572A72"/>
    <w:rsid w:val="00572B38"/>
    <w:rsid w:val="00572D05"/>
    <w:rsid w:val="00573288"/>
    <w:rsid w:val="005738DE"/>
    <w:rsid w:val="00573B2C"/>
    <w:rsid w:val="00573DA8"/>
    <w:rsid w:val="00573F78"/>
    <w:rsid w:val="00574030"/>
    <w:rsid w:val="00574112"/>
    <w:rsid w:val="005742A5"/>
    <w:rsid w:val="005743C9"/>
    <w:rsid w:val="005743E4"/>
    <w:rsid w:val="00574513"/>
    <w:rsid w:val="00574608"/>
    <w:rsid w:val="00574851"/>
    <w:rsid w:val="0057488B"/>
    <w:rsid w:val="00574A1C"/>
    <w:rsid w:val="00574E69"/>
    <w:rsid w:val="005751F5"/>
    <w:rsid w:val="00575285"/>
    <w:rsid w:val="00575357"/>
    <w:rsid w:val="005755CA"/>
    <w:rsid w:val="00575861"/>
    <w:rsid w:val="005758FE"/>
    <w:rsid w:val="005759B7"/>
    <w:rsid w:val="00575A2D"/>
    <w:rsid w:val="00575B8B"/>
    <w:rsid w:val="00575CA9"/>
    <w:rsid w:val="00576164"/>
    <w:rsid w:val="005762F3"/>
    <w:rsid w:val="00576350"/>
    <w:rsid w:val="005764DF"/>
    <w:rsid w:val="00576568"/>
    <w:rsid w:val="00576AA7"/>
    <w:rsid w:val="00576B72"/>
    <w:rsid w:val="00576B92"/>
    <w:rsid w:val="0057720F"/>
    <w:rsid w:val="0057753B"/>
    <w:rsid w:val="0057783C"/>
    <w:rsid w:val="005778B8"/>
    <w:rsid w:val="00577912"/>
    <w:rsid w:val="005779A8"/>
    <w:rsid w:val="00577A98"/>
    <w:rsid w:val="00577B9C"/>
    <w:rsid w:val="00577E22"/>
    <w:rsid w:val="00577F4E"/>
    <w:rsid w:val="005800A6"/>
    <w:rsid w:val="0058013B"/>
    <w:rsid w:val="005801A5"/>
    <w:rsid w:val="005802E6"/>
    <w:rsid w:val="00580351"/>
    <w:rsid w:val="00580B19"/>
    <w:rsid w:val="005814A8"/>
    <w:rsid w:val="00581882"/>
    <w:rsid w:val="005818E1"/>
    <w:rsid w:val="0058199F"/>
    <w:rsid w:val="00581C3E"/>
    <w:rsid w:val="005821F0"/>
    <w:rsid w:val="0058259A"/>
    <w:rsid w:val="005826EF"/>
    <w:rsid w:val="005828AB"/>
    <w:rsid w:val="00582998"/>
    <w:rsid w:val="0058299D"/>
    <w:rsid w:val="00582E34"/>
    <w:rsid w:val="00583343"/>
    <w:rsid w:val="005834DF"/>
    <w:rsid w:val="0058380A"/>
    <w:rsid w:val="00583EE8"/>
    <w:rsid w:val="00583F39"/>
    <w:rsid w:val="0058422A"/>
    <w:rsid w:val="005844C5"/>
    <w:rsid w:val="005846C8"/>
    <w:rsid w:val="00584767"/>
    <w:rsid w:val="00584887"/>
    <w:rsid w:val="00584BD1"/>
    <w:rsid w:val="00584DDC"/>
    <w:rsid w:val="00584E5A"/>
    <w:rsid w:val="00584F11"/>
    <w:rsid w:val="00584F31"/>
    <w:rsid w:val="00584F71"/>
    <w:rsid w:val="005856E3"/>
    <w:rsid w:val="00585C97"/>
    <w:rsid w:val="00585CDB"/>
    <w:rsid w:val="00586057"/>
    <w:rsid w:val="00586161"/>
    <w:rsid w:val="00586175"/>
    <w:rsid w:val="005867DD"/>
    <w:rsid w:val="00586841"/>
    <w:rsid w:val="00586850"/>
    <w:rsid w:val="005869A9"/>
    <w:rsid w:val="00586A88"/>
    <w:rsid w:val="00586DA8"/>
    <w:rsid w:val="00586EBE"/>
    <w:rsid w:val="005870A2"/>
    <w:rsid w:val="00587289"/>
    <w:rsid w:val="005872BA"/>
    <w:rsid w:val="005873AB"/>
    <w:rsid w:val="0058774E"/>
    <w:rsid w:val="005877C3"/>
    <w:rsid w:val="005877EC"/>
    <w:rsid w:val="0058782C"/>
    <w:rsid w:val="0058790E"/>
    <w:rsid w:val="00587A78"/>
    <w:rsid w:val="00587B6B"/>
    <w:rsid w:val="00587DF1"/>
    <w:rsid w:val="00590102"/>
    <w:rsid w:val="0059012F"/>
    <w:rsid w:val="0059084E"/>
    <w:rsid w:val="0059097F"/>
    <w:rsid w:val="00590A58"/>
    <w:rsid w:val="00590A6C"/>
    <w:rsid w:val="00590D6E"/>
    <w:rsid w:val="00591081"/>
    <w:rsid w:val="005911E8"/>
    <w:rsid w:val="00591297"/>
    <w:rsid w:val="0059136C"/>
    <w:rsid w:val="00591780"/>
    <w:rsid w:val="00591976"/>
    <w:rsid w:val="00591B4C"/>
    <w:rsid w:val="0059211F"/>
    <w:rsid w:val="00592417"/>
    <w:rsid w:val="00592619"/>
    <w:rsid w:val="005926F1"/>
    <w:rsid w:val="00592C45"/>
    <w:rsid w:val="00592F07"/>
    <w:rsid w:val="0059313B"/>
    <w:rsid w:val="0059332F"/>
    <w:rsid w:val="005939CD"/>
    <w:rsid w:val="00593E27"/>
    <w:rsid w:val="005940FC"/>
    <w:rsid w:val="005944B9"/>
    <w:rsid w:val="0059474C"/>
    <w:rsid w:val="005948AD"/>
    <w:rsid w:val="005950C4"/>
    <w:rsid w:val="00595422"/>
    <w:rsid w:val="005954C4"/>
    <w:rsid w:val="00595877"/>
    <w:rsid w:val="00595917"/>
    <w:rsid w:val="00595AA8"/>
    <w:rsid w:val="00595B6F"/>
    <w:rsid w:val="00595DD0"/>
    <w:rsid w:val="00595E35"/>
    <w:rsid w:val="00595EC3"/>
    <w:rsid w:val="005963B6"/>
    <w:rsid w:val="005964C7"/>
    <w:rsid w:val="005967BE"/>
    <w:rsid w:val="00596873"/>
    <w:rsid w:val="00596BE5"/>
    <w:rsid w:val="00596CAD"/>
    <w:rsid w:val="00596E15"/>
    <w:rsid w:val="005971DF"/>
    <w:rsid w:val="005974CD"/>
    <w:rsid w:val="00597618"/>
    <w:rsid w:val="005976B3"/>
    <w:rsid w:val="00597AC3"/>
    <w:rsid w:val="00597DD8"/>
    <w:rsid w:val="005A005E"/>
    <w:rsid w:val="005A0152"/>
    <w:rsid w:val="005A0589"/>
    <w:rsid w:val="005A08BF"/>
    <w:rsid w:val="005A0928"/>
    <w:rsid w:val="005A0C0C"/>
    <w:rsid w:val="005A0D40"/>
    <w:rsid w:val="005A0DE9"/>
    <w:rsid w:val="005A10B3"/>
    <w:rsid w:val="005A110F"/>
    <w:rsid w:val="005A1291"/>
    <w:rsid w:val="005A165E"/>
    <w:rsid w:val="005A1675"/>
    <w:rsid w:val="005A1931"/>
    <w:rsid w:val="005A1C98"/>
    <w:rsid w:val="005A1DDC"/>
    <w:rsid w:val="005A1F97"/>
    <w:rsid w:val="005A202A"/>
    <w:rsid w:val="005A20A8"/>
    <w:rsid w:val="005A20F0"/>
    <w:rsid w:val="005A279E"/>
    <w:rsid w:val="005A28F0"/>
    <w:rsid w:val="005A2B79"/>
    <w:rsid w:val="005A2E25"/>
    <w:rsid w:val="005A2F33"/>
    <w:rsid w:val="005A2FB5"/>
    <w:rsid w:val="005A30CC"/>
    <w:rsid w:val="005A3520"/>
    <w:rsid w:val="005A3757"/>
    <w:rsid w:val="005A3BD1"/>
    <w:rsid w:val="005A3CF7"/>
    <w:rsid w:val="005A3D70"/>
    <w:rsid w:val="005A3DC8"/>
    <w:rsid w:val="005A47DA"/>
    <w:rsid w:val="005A4926"/>
    <w:rsid w:val="005A4B80"/>
    <w:rsid w:val="005A4C43"/>
    <w:rsid w:val="005A4D72"/>
    <w:rsid w:val="005A5198"/>
    <w:rsid w:val="005A53AE"/>
    <w:rsid w:val="005A563B"/>
    <w:rsid w:val="005A585D"/>
    <w:rsid w:val="005A5BF1"/>
    <w:rsid w:val="005A5DE1"/>
    <w:rsid w:val="005A5F08"/>
    <w:rsid w:val="005A64DC"/>
    <w:rsid w:val="005A66D3"/>
    <w:rsid w:val="005A6825"/>
    <w:rsid w:val="005A6988"/>
    <w:rsid w:val="005A69EB"/>
    <w:rsid w:val="005A6D16"/>
    <w:rsid w:val="005A7470"/>
    <w:rsid w:val="005A76F1"/>
    <w:rsid w:val="005A7783"/>
    <w:rsid w:val="005A7808"/>
    <w:rsid w:val="005A7D5B"/>
    <w:rsid w:val="005A7F42"/>
    <w:rsid w:val="005A7F75"/>
    <w:rsid w:val="005B00EE"/>
    <w:rsid w:val="005B06EE"/>
    <w:rsid w:val="005B08D2"/>
    <w:rsid w:val="005B0D45"/>
    <w:rsid w:val="005B0F37"/>
    <w:rsid w:val="005B122B"/>
    <w:rsid w:val="005B14DA"/>
    <w:rsid w:val="005B173D"/>
    <w:rsid w:val="005B1BA1"/>
    <w:rsid w:val="005B2022"/>
    <w:rsid w:val="005B206B"/>
    <w:rsid w:val="005B2449"/>
    <w:rsid w:val="005B2736"/>
    <w:rsid w:val="005B2739"/>
    <w:rsid w:val="005B274C"/>
    <w:rsid w:val="005B2899"/>
    <w:rsid w:val="005B2BD8"/>
    <w:rsid w:val="005B2FDB"/>
    <w:rsid w:val="005B3127"/>
    <w:rsid w:val="005B3425"/>
    <w:rsid w:val="005B375B"/>
    <w:rsid w:val="005B37BC"/>
    <w:rsid w:val="005B382F"/>
    <w:rsid w:val="005B3AE1"/>
    <w:rsid w:val="005B3F93"/>
    <w:rsid w:val="005B4116"/>
    <w:rsid w:val="005B4467"/>
    <w:rsid w:val="005B44BC"/>
    <w:rsid w:val="005B46F1"/>
    <w:rsid w:val="005B47E4"/>
    <w:rsid w:val="005B4AF3"/>
    <w:rsid w:val="005B4E30"/>
    <w:rsid w:val="005B5065"/>
    <w:rsid w:val="005B513B"/>
    <w:rsid w:val="005B525A"/>
    <w:rsid w:val="005B52FD"/>
    <w:rsid w:val="005B5C37"/>
    <w:rsid w:val="005B5C97"/>
    <w:rsid w:val="005B5E09"/>
    <w:rsid w:val="005B6221"/>
    <w:rsid w:val="005B629D"/>
    <w:rsid w:val="005B6397"/>
    <w:rsid w:val="005B647B"/>
    <w:rsid w:val="005B6498"/>
    <w:rsid w:val="005B6983"/>
    <w:rsid w:val="005B6AE8"/>
    <w:rsid w:val="005B718E"/>
    <w:rsid w:val="005B7238"/>
    <w:rsid w:val="005B732F"/>
    <w:rsid w:val="005B7520"/>
    <w:rsid w:val="005B76DC"/>
    <w:rsid w:val="005B7722"/>
    <w:rsid w:val="005B782A"/>
    <w:rsid w:val="005B7994"/>
    <w:rsid w:val="005B7A94"/>
    <w:rsid w:val="005C0056"/>
    <w:rsid w:val="005C0347"/>
    <w:rsid w:val="005C051A"/>
    <w:rsid w:val="005C05EF"/>
    <w:rsid w:val="005C0664"/>
    <w:rsid w:val="005C0691"/>
    <w:rsid w:val="005C086C"/>
    <w:rsid w:val="005C0A5F"/>
    <w:rsid w:val="005C0DD8"/>
    <w:rsid w:val="005C0DF1"/>
    <w:rsid w:val="005C0E14"/>
    <w:rsid w:val="005C1047"/>
    <w:rsid w:val="005C1177"/>
    <w:rsid w:val="005C15E4"/>
    <w:rsid w:val="005C17CC"/>
    <w:rsid w:val="005C18A1"/>
    <w:rsid w:val="005C1C4F"/>
    <w:rsid w:val="005C1F03"/>
    <w:rsid w:val="005C1F1D"/>
    <w:rsid w:val="005C2174"/>
    <w:rsid w:val="005C2185"/>
    <w:rsid w:val="005C2441"/>
    <w:rsid w:val="005C2A19"/>
    <w:rsid w:val="005C2A22"/>
    <w:rsid w:val="005C2D1E"/>
    <w:rsid w:val="005C2DAC"/>
    <w:rsid w:val="005C2ED0"/>
    <w:rsid w:val="005C2FB6"/>
    <w:rsid w:val="005C3259"/>
    <w:rsid w:val="005C32E3"/>
    <w:rsid w:val="005C333F"/>
    <w:rsid w:val="005C341A"/>
    <w:rsid w:val="005C3432"/>
    <w:rsid w:val="005C3454"/>
    <w:rsid w:val="005C3A61"/>
    <w:rsid w:val="005C3C7E"/>
    <w:rsid w:val="005C421C"/>
    <w:rsid w:val="005C4818"/>
    <w:rsid w:val="005C49D4"/>
    <w:rsid w:val="005C4A70"/>
    <w:rsid w:val="005C4CF7"/>
    <w:rsid w:val="005C51F4"/>
    <w:rsid w:val="005C5466"/>
    <w:rsid w:val="005C5600"/>
    <w:rsid w:val="005C576D"/>
    <w:rsid w:val="005C5AFC"/>
    <w:rsid w:val="005C5B19"/>
    <w:rsid w:val="005C5E9D"/>
    <w:rsid w:val="005C5F6C"/>
    <w:rsid w:val="005C5F8E"/>
    <w:rsid w:val="005C6293"/>
    <w:rsid w:val="005C62CB"/>
    <w:rsid w:val="005C685E"/>
    <w:rsid w:val="005C6D44"/>
    <w:rsid w:val="005C6EBB"/>
    <w:rsid w:val="005C6F44"/>
    <w:rsid w:val="005C6F63"/>
    <w:rsid w:val="005C71F8"/>
    <w:rsid w:val="005C7538"/>
    <w:rsid w:val="005C78CE"/>
    <w:rsid w:val="005C78D2"/>
    <w:rsid w:val="005C7926"/>
    <w:rsid w:val="005D033D"/>
    <w:rsid w:val="005D0593"/>
    <w:rsid w:val="005D0F9C"/>
    <w:rsid w:val="005D0FE4"/>
    <w:rsid w:val="005D1D20"/>
    <w:rsid w:val="005D1F10"/>
    <w:rsid w:val="005D1F73"/>
    <w:rsid w:val="005D20CA"/>
    <w:rsid w:val="005D20EB"/>
    <w:rsid w:val="005D2382"/>
    <w:rsid w:val="005D23F6"/>
    <w:rsid w:val="005D2512"/>
    <w:rsid w:val="005D266F"/>
    <w:rsid w:val="005D268B"/>
    <w:rsid w:val="005D2B4B"/>
    <w:rsid w:val="005D2EDE"/>
    <w:rsid w:val="005D2F24"/>
    <w:rsid w:val="005D2F26"/>
    <w:rsid w:val="005D3281"/>
    <w:rsid w:val="005D3D67"/>
    <w:rsid w:val="005D4161"/>
    <w:rsid w:val="005D41D8"/>
    <w:rsid w:val="005D4637"/>
    <w:rsid w:val="005D47E0"/>
    <w:rsid w:val="005D4981"/>
    <w:rsid w:val="005D4E7B"/>
    <w:rsid w:val="005D4F00"/>
    <w:rsid w:val="005D53A0"/>
    <w:rsid w:val="005D5505"/>
    <w:rsid w:val="005D57A9"/>
    <w:rsid w:val="005D5899"/>
    <w:rsid w:val="005D5A61"/>
    <w:rsid w:val="005D62A6"/>
    <w:rsid w:val="005D63C4"/>
    <w:rsid w:val="005D6498"/>
    <w:rsid w:val="005D6603"/>
    <w:rsid w:val="005D67F4"/>
    <w:rsid w:val="005D685E"/>
    <w:rsid w:val="005D6CD1"/>
    <w:rsid w:val="005D6F6B"/>
    <w:rsid w:val="005D7407"/>
    <w:rsid w:val="005D7572"/>
    <w:rsid w:val="005D76B8"/>
    <w:rsid w:val="005D77A0"/>
    <w:rsid w:val="005D77A9"/>
    <w:rsid w:val="005D77B4"/>
    <w:rsid w:val="005D7952"/>
    <w:rsid w:val="005D7A09"/>
    <w:rsid w:val="005D7C3B"/>
    <w:rsid w:val="005E0002"/>
    <w:rsid w:val="005E008C"/>
    <w:rsid w:val="005E018C"/>
    <w:rsid w:val="005E05AA"/>
    <w:rsid w:val="005E06FD"/>
    <w:rsid w:val="005E0CDF"/>
    <w:rsid w:val="005E0CED"/>
    <w:rsid w:val="005E0D0E"/>
    <w:rsid w:val="005E0DB1"/>
    <w:rsid w:val="005E0F5F"/>
    <w:rsid w:val="005E1393"/>
    <w:rsid w:val="005E1A36"/>
    <w:rsid w:val="005E1D39"/>
    <w:rsid w:val="005E2131"/>
    <w:rsid w:val="005E23B0"/>
    <w:rsid w:val="005E2988"/>
    <w:rsid w:val="005E2A7E"/>
    <w:rsid w:val="005E2C4D"/>
    <w:rsid w:val="005E30A1"/>
    <w:rsid w:val="005E3119"/>
    <w:rsid w:val="005E3927"/>
    <w:rsid w:val="005E3DE0"/>
    <w:rsid w:val="005E3E35"/>
    <w:rsid w:val="005E3EC7"/>
    <w:rsid w:val="005E3FC4"/>
    <w:rsid w:val="005E440B"/>
    <w:rsid w:val="005E46DE"/>
    <w:rsid w:val="005E46E4"/>
    <w:rsid w:val="005E486F"/>
    <w:rsid w:val="005E4B28"/>
    <w:rsid w:val="005E4F43"/>
    <w:rsid w:val="005E4F8E"/>
    <w:rsid w:val="005E5352"/>
    <w:rsid w:val="005E5A3E"/>
    <w:rsid w:val="005E5E1D"/>
    <w:rsid w:val="005E6454"/>
    <w:rsid w:val="005E6547"/>
    <w:rsid w:val="005E6622"/>
    <w:rsid w:val="005E6801"/>
    <w:rsid w:val="005E6926"/>
    <w:rsid w:val="005E699D"/>
    <w:rsid w:val="005E6B3F"/>
    <w:rsid w:val="005E6D3B"/>
    <w:rsid w:val="005E6DF7"/>
    <w:rsid w:val="005E7063"/>
    <w:rsid w:val="005E71F3"/>
    <w:rsid w:val="005E7312"/>
    <w:rsid w:val="005E76B2"/>
    <w:rsid w:val="005E79AE"/>
    <w:rsid w:val="005E79D6"/>
    <w:rsid w:val="005F0061"/>
    <w:rsid w:val="005F04CF"/>
    <w:rsid w:val="005F067A"/>
    <w:rsid w:val="005F069C"/>
    <w:rsid w:val="005F0CFC"/>
    <w:rsid w:val="005F0D8C"/>
    <w:rsid w:val="005F1134"/>
    <w:rsid w:val="005F120E"/>
    <w:rsid w:val="005F12B0"/>
    <w:rsid w:val="005F1895"/>
    <w:rsid w:val="005F1943"/>
    <w:rsid w:val="005F1A1E"/>
    <w:rsid w:val="005F1C57"/>
    <w:rsid w:val="005F1EA9"/>
    <w:rsid w:val="005F2681"/>
    <w:rsid w:val="005F278D"/>
    <w:rsid w:val="005F2E04"/>
    <w:rsid w:val="005F2EF0"/>
    <w:rsid w:val="005F386D"/>
    <w:rsid w:val="005F3CE0"/>
    <w:rsid w:val="005F3E62"/>
    <w:rsid w:val="005F4039"/>
    <w:rsid w:val="005F4107"/>
    <w:rsid w:val="005F413C"/>
    <w:rsid w:val="005F453C"/>
    <w:rsid w:val="005F482E"/>
    <w:rsid w:val="005F4831"/>
    <w:rsid w:val="005F4A17"/>
    <w:rsid w:val="005F4BB4"/>
    <w:rsid w:val="005F53BF"/>
    <w:rsid w:val="005F5723"/>
    <w:rsid w:val="005F58C1"/>
    <w:rsid w:val="005F59A0"/>
    <w:rsid w:val="005F6201"/>
    <w:rsid w:val="005F66BF"/>
    <w:rsid w:val="005F674A"/>
    <w:rsid w:val="005F68A3"/>
    <w:rsid w:val="005F6A56"/>
    <w:rsid w:val="005F6DF0"/>
    <w:rsid w:val="005F6F70"/>
    <w:rsid w:val="005F715B"/>
    <w:rsid w:val="005F76C6"/>
    <w:rsid w:val="005F7965"/>
    <w:rsid w:val="005F7A59"/>
    <w:rsid w:val="005F7B0B"/>
    <w:rsid w:val="005F7D77"/>
    <w:rsid w:val="005F7EB3"/>
    <w:rsid w:val="0060050C"/>
    <w:rsid w:val="00600523"/>
    <w:rsid w:val="006007BC"/>
    <w:rsid w:val="00600DF2"/>
    <w:rsid w:val="0060154A"/>
    <w:rsid w:val="00601595"/>
    <w:rsid w:val="00602195"/>
    <w:rsid w:val="00602420"/>
    <w:rsid w:val="0060273E"/>
    <w:rsid w:val="00602CA5"/>
    <w:rsid w:val="00603299"/>
    <w:rsid w:val="00603583"/>
    <w:rsid w:val="00603653"/>
    <w:rsid w:val="006037EA"/>
    <w:rsid w:val="00603DCD"/>
    <w:rsid w:val="00603F98"/>
    <w:rsid w:val="00604134"/>
    <w:rsid w:val="006043C8"/>
    <w:rsid w:val="0060442E"/>
    <w:rsid w:val="00604645"/>
    <w:rsid w:val="006046D8"/>
    <w:rsid w:val="006047BC"/>
    <w:rsid w:val="0060493C"/>
    <w:rsid w:val="00604DBE"/>
    <w:rsid w:val="00605489"/>
    <w:rsid w:val="00605737"/>
    <w:rsid w:val="0060583E"/>
    <w:rsid w:val="00605BBF"/>
    <w:rsid w:val="00605DC8"/>
    <w:rsid w:val="00605FC4"/>
    <w:rsid w:val="00605FE0"/>
    <w:rsid w:val="00606445"/>
    <w:rsid w:val="0060647F"/>
    <w:rsid w:val="006069E3"/>
    <w:rsid w:val="00606BA4"/>
    <w:rsid w:val="0060709F"/>
    <w:rsid w:val="00607369"/>
    <w:rsid w:val="0060738E"/>
    <w:rsid w:val="00607BA3"/>
    <w:rsid w:val="00607C64"/>
    <w:rsid w:val="00607CA5"/>
    <w:rsid w:val="00607ED4"/>
    <w:rsid w:val="00607FDE"/>
    <w:rsid w:val="00610109"/>
    <w:rsid w:val="0061030B"/>
    <w:rsid w:val="006104B0"/>
    <w:rsid w:val="00610577"/>
    <w:rsid w:val="006106A2"/>
    <w:rsid w:val="006109C7"/>
    <w:rsid w:val="00610DA8"/>
    <w:rsid w:val="006110D8"/>
    <w:rsid w:val="0061121C"/>
    <w:rsid w:val="00611443"/>
    <w:rsid w:val="00611478"/>
    <w:rsid w:val="006116DA"/>
    <w:rsid w:val="0061196C"/>
    <w:rsid w:val="00611A17"/>
    <w:rsid w:val="00611BDF"/>
    <w:rsid w:val="00611D3D"/>
    <w:rsid w:val="00611E94"/>
    <w:rsid w:val="00611F91"/>
    <w:rsid w:val="0061202C"/>
    <w:rsid w:val="0061218C"/>
    <w:rsid w:val="006121E5"/>
    <w:rsid w:val="006123A7"/>
    <w:rsid w:val="00612453"/>
    <w:rsid w:val="00612D10"/>
    <w:rsid w:val="00612D8C"/>
    <w:rsid w:val="00612EE8"/>
    <w:rsid w:val="00612FB7"/>
    <w:rsid w:val="006133E9"/>
    <w:rsid w:val="00613454"/>
    <w:rsid w:val="006135A6"/>
    <w:rsid w:val="00613C3F"/>
    <w:rsid w:val="00613C64"/>
    <w:rsid w:val="00613ED1"/>
    <w:rsid w:val="00613F75"/>
    <w:rsid w:val="00613F9A"/>
    <w:rsid w:val="006140BD"/>
    <w:rsid w:val="006142DB"/>
    <w:rsid w:val="00614321"/>
    <w:rsid w:val="0061448D"/>
    <w:rsid w:val="006144D5"/>
    <w:rsid w:val="00614760"/>
    <w:rsid w:val="0061478B"/>
    <w:rsid w:val="00614E87"/>
    <w:rsid w:val="006150C6"/>
    <w:rsid w:val="00615151"/>
    <w:rsid w:val="006152C0"/>
    <w:rsid w:val="006154C6"/>
    <w:rsid w:val="0061561E"/>
    <w:rsid w:val="00615BC7"/>
    <w:rsid w:val="00615EAF"/>
    <w:rsid w:val="006161D5"/>
    <w:rsid w:val="0061658F"/>
    <w:rsid w:val="006168EF"/>
    <w:rsid w:val="00616B6A"/>
    <w:rsid w:val="00616BF6"/>
    <w:rsid w:val="00616EC8"/>
    <w:rsid w:val="00616F6B"/>
    <w:rsid w:val="006171C6"/>
    <w:rsid w:val="006172A5"/>
    <w:rsid w:val="00617C17"/>
    <w:rsid w:val="00617DC1"/>
    <w:rsid w:val="00617F64"/>
    <w:rsid w:val="00620C2E"/>
    <w:rsid w:val="00620E80"/>
    <w:rsid w:val="00621065"/>
    <w:rsid w:val="006210DA"/>
    <w:rsid w:val="00621102"/>
    <w:rsid w:val="00621335"/>
    <w:rsid w:val="00621893"/>
    <w:rsid w:val="00621ADD"/>
    <w:rsid w:val="00621C53"/>
    <w:rsid w:val="00622065"/>
    <w:rsid w:val="00622445"/>
    <w:rsid w:val="00622565"/>
    <w:rsid w:val="0062262F"/>
    <w:rsid w:val="0062290E"/>
    <w:rsid w:val="00622B1E"/>
    <w:rsid w:val="00622C2D"/>
    <w:rsid w:val="00622F0D"/>
    <w:rsid w:val="0062351E"/>
    <w:rsid w:val="0062357D"/>
    <w:rsid w:val="006236D1"/>
    <w:rsid w:val="00623DC5"/>
    <w:rsid w:val="00624052"/>
    <w:rsid w:val="00624154"/>
    <w:rsid w:val="00624233"/>
    <w:rsid w:val="006243F9"/>
    <w:rsid w:val="0062459E"/>
    <w:rsid w:val="00624611"/>
    <w:rsid w:val="006248DE"/>
    <w:rsid w:val="00624A3F"/>
    <w:rsid w:val="00624B6D"/>
    <w:rsid w:val="00624CCB"/>
    <w:rsid w:val="00624DB3"/>
    <w:rsid w:val="00624F52"/>
    <w:rsid w:val="00624F9E"/>
    <w:rsid w:val="0062507D"/>
    <w:rsid w:val="00625222"/>
    <w:rsid w:val="006255D9"/>
    <w:rsid w:val="00625798"/>
    <w:rsid w:val="00625B8F"/>
    <w:rsid w:val="00625BFF"/>
    <w:rsid w:val="00625C27"/>
    <w:rsid w:val="00625C76"/>
    <w:rsid w:val="00625D92"/>
    <w:rsid w:val="00625DA8"/>
    <w:rsid w:val="00626207"/>
    <w:rsid w:val="00626276"/>
    <w:rsid w:val="00626363"/>
    <w:rsid w:val="00626488"/>
    <w:rsid w:val="006264BF"/>
    <w:rsid w:val="00626A81"/>
    <w:rsid w:val="00626CCF"/>
    <w:rsid w:val="00626D43"/>
    <w:rsid w:val="006273CE"/>
    <w:rsid w:val="006276D2"/>
    <w:rsid w:val="00627ED6"/>
    <w:rsid w:val="00627F1F"/>
    <w:rsid w:val="00627F26"/>
    <w:rsid w:val="0063000D"/>
    <w:rsid w:val="00630064"/>
    <w:rsid w:val="0063008E"/>
    <w:rsid w:val="0063012C"/>
    <w:rsid w:val="006302C6"/>
    <w:rsid w:val="00630EF0"/>
    <w:rsid w:val="00630F52"/>
    <w:rsid w:val="0063155E"/>
    <w:rsid w:val="00631A00"/>
    <w:rsid w:val="00631C3B"/>
    <w:rsid w:val="00632395"/>
    <w:rsid w:val="00632721"/>
    <w:rsid w:val="00632926"/>
    <w:rsid w:val="00632A43"/>
    <w:rsid w:val="00632C7A"/>
    <w:rsid w:val="00632C98"/>
    <w:rsid w:val="00632F02"/>
    <w:rsid w:val="00632F75"/>
    <w:rsid w:val="0063301D"/>
    <w:rsid w:val="0063315A"/>
    <w:rsid w:val="00633171"/>
    <w:rsid w:val="006331FF"/>
    <w:rsid w:val="00633BA9"/>
    <w:rsid w:val="00633CA2"/>
    <w:rsid w:val="006342D3"/>
    <w:rsid w:val="006347A4"/>
    <w:rsid w:val="0063484B"/>
    <w:rsid w:val="006348CE"/>
    <w:rsid w:val="006349BB"/>
    <w:rsid w:val="00634A1B"/>
    <w:rsid w:val="00634A25"/>
    <w:rsid w:val="00634D59"/>
    <w:rsid w:val="00634E54"/>
    <w:rsid w:val="0063529F"/>
    <w:rsid w:val="006353BC"/>
    <w:rsid w:val="006353CC"/>
    <w:rsid w:val="006356A4"/>
    <w:rsid w:val="0063571C"/>
    <w:rsid w:val="00635CDB"/>
    <w:rsid w:val="00635D84"/>
    <w:rsid w:val="00635FE9"/>
    <w:rsid w:val="0063609F"/>
    <w:rsid w:val="00636646"/>
    <w:rsid w:val="00636672"/>
    <w:rsid w:val="00636678"/>
    <w:rsid w:val="00636A65"/>
    <w:rsid w:val="00636C24"/>
    <w:rsid w:val="00636F25"/>
    <w:rsid w:val="006377ED"/>
    <w:rsid w:val="00637A13"/>
    <w:rsid w:val="00637A7A"/>
    <w:rsid w:val="00637D29"/>
    <w:rsid w:val="00637E03"/>
    <w:rsid w:val="00637E28"/>
    <w:rsid w:val="006402F4"/>
    <w:rsid w:val="00640F86"/>
    <w:rsid w:val="0064100F"/>
    <w:rsid w:val="00641391"/>
    <w:rsid w:val="006414F2"/>
    <w:rsid w:val="00641C7B"/>
    <w:rsid w:val="00641D7B"/>
    <w:rsid w:val="00641DA4"/>
    <w:rsid w:val="00642558"/>
    <w:rsid w:val="0064285D"/>
    <w:rsid w:val="00642866"/>
    <w:rsid w:val="00642973"/>
    <w:rsid w:val="00642DDA"/>
    <w:rsid w:val="0064305D"/>
    <w:rsid w:val="0064313A"/>
    <w:rsid w:val="006431AD"/>
    <w:rsid w:val="00643325"/>
    <w:rsid w:val="00643503"/>
    <w:rsid w:val="0064356A"/>
    <w:rsid w:val="006435B0"/>
    <w:rsid w:val="00643D09"/>
    <w:rsid w:val="006440A8"/>
    <w:rsid w:val="00644504"/>
    <w:rsid w:val="006447AE"/>
    <w:rsid w:val="006449E5"/>
    <w:rsid w:val="00644A4A"/>
    <w:rsid w:val="00644C55"/>
    <w:rsid w:val="00644FB2"/>
    <w:rsid w:val="006453CA"/>
    <w:rsid w:val="0064581E"/>
    <w:rsid w:val="00645C7D"/>
    <w:rsid w:val="00645D7F"/>
    <w:rsid w:val="00645F5D"/>
    <w:rsid w:val="00645FD0"/>
    <w:rsid w:val="00646092"/>
    <w:rsid w:val="00646301"/>
    <w:rsid w:val="006466E8"/>
    <w:rsid w:val="0064673A"/>
    <w:rsid w:val="0064688A"/>
    <w:rsid w:val="00646A14"/>
    <w:rsid w:val="00646B8C"/>
    <w:rsid w:val="00646BA4"/>
    <w:rsid w:val="00646D31"/>
    <w:rsid w:val="00646E15"/>
    <w:rsid w:val="00647849"/>
    <w:rsid w:val="00647929"/>
    <w:rsid w:val="00647B90"/>
    <w:rsid w:val="00647D4B"/>
    <w:rsid w:val="0065072E"/>
    <w:rsid w:val="0065081D"/>
    <w:rsid w:val="006509C9"/>
    <w:rsid w:val="00650B32"/>
    <w:rsid w:val="00650C06"/>
    <w:rsid w:val="00650D6C"/>
    <w:rsid w:val="00650E3E"/>
    <w:rsid w:val="00650F19"/>
    <w:rsid w:val="0065101D"/>
    <w:rsid w:val="006516FC"/>
    <w:rsid w:val="0065180B"/>
    <w:rsid w:val="00651BFA"/>
    <w:rsid w:val="00651CFF"/>
    <w:rsid w:val="00651D59"/>
    <w:rsid w:val="00651E7E"/>
    <w:rsid w:val="0065235E"/>
    <w:rsid w:val="00652556"/>
    <w:rsid w:val="0065258E"/>
    <w:rsid w:val="00652615"/>
    <w:rsid w:val="00652761"/>
    <w:rsid w:val="00652F56"/>
    <w:rsid w:val="00652F9C"/>
    <w:rsid w:val="00653173"/>
    <w:rsid w:val="00653176"/>
    <w:rsid w:val="006531B3"/>
    <w:rsid w:val="0065345C"/>
    <w:rsid w:val="006536CB"/>
    <w:rsid w:val="00653AFB"/>
    <w:rsid w:val="00653D19"/>
    <w:rsid w:val="00654211"/>
    <w:rsid w:val="0065441B"/>
    <w:rsid w:val="006544BE"/>
    <w:rsid w:val="00654917"/>
    <w:rsid w:val="00654D25"/>
    <w:rsid w:val="00654ECC"/>
    <w:rsid w:val="00655042"/>
    <w:rsid w:val="006550F3"/>
    <w:rsid w:val="0065535B"/>
    <w:rsid w:val="006557D7"/>
    <w:rsid w:val="00655C7C"/>
    <w:rsid w:val="00656139"/>
    <w:rsid w:val="00656615"/>
    <w:rsid w:val="00656C6D"/>
    <w:rsid w:val="00656D99"/>
    <w:rsid w:val="00656DA6"/>
    <w:rsid w:val="0065756A"/>
    <w:rsid w:val="006576E4"/>
    <w:rsid w:val="006577D8"/>
    <w:rsid w:val="00657918"/>
    <w:rsid w:val="006579D7"/>
    <w:rsid w:val="00657B0B"/>
    <w:rsid w:val="00660157"/>
    <w:rsid w:val="0066074F"/>
    <w:rsid w:val="00660B61"/>
    <w:rsid w:val="00660FC7"/>
    <w:rsid w:val="006612DB"/>
    <w:rsid w:val="00661421"/>
    <w:rsid w:val="006616AC"/>
    <w:rsid w:val="00661D11"/>
    <w:rsid w:val="00661D7E"/>
    <w:rsid w:val="00662116"/>
    <w:rsid w:val="00662174"/>
    <w:rsid w:val="006621D4"/>
    <w:rsid w:val="006622D1"/>
    <w:rsid w:val="0066259F"/>
    <w:rsid w:val="006628D5"/>
    <w:rsid w:val="0066299F"/>
    <w:rsid w:val="00662C2E"/>
    <w:rsid w:val="00663220"/>
    <w:rsid w:val="006635A6"/>
    <w:rsid w:val="00663D77"/>
    <w:rsid w:val="00663EB3"/>
    <w:rsid w:val="00664335"/>
    <w:rsid w:val="006643CF"/>
    <w:rsid w:val="006645B7"/>
    <w:rsid w:val="006648D7"/>
    <w:rsid w:val="00664B7A"/>
    <w:rsid w:val="00664BCA"/>
    <w:rsid w:val="00664C61"/>
    <w:rsid w:val="00664D36"/>
    <w:rsid w:val="00664EE0"/>
    <w:rsid w:val="00664F92"/>
    <w:rsid w:val="00665435"/>
    <w:rsid w:val="0066561C"/>
    <w:rsid w:val="00665646"/>
    <w:rsid w:val="00665813"/>
    <w:rsid w:val="00665864"/>
    <w:rsid w:val="00665BEC"/>
    <w:rsid w:val="00665C3E"/>
    <w:rsid w:val="00665C5F"/>
    <w:rsid w:val="00665D86"/>
    <w:rsid w:val="0066609B"/>
    <w:rsid w:val="0066619F"/>
    <w:rsid w:val="0066630A"/>
    <w:rsid w:val="00666630"/>
    <w:rsid w:val="00666F01"/>
    <w:rsid w:val="006677E5"/>
    <w:rsid w:val="006678D0"/>
    <w:rsid w:val="0066793E"/>
    <w:rsid w:val="0066798A"/>
    <w:rsid w:val="00667C74"/>
    <w:rsid w:val="00670068"/>
    <w:rsid w:val="006700E2"/>
    <w:rsid w:val="00670870"/>
    <w:rsid w:val="00670B29"/>
    <w:rsid w:val="00670C8D"/>
    <w:rsid w:val="00670DED"/>
    <w:rsid w:val="00670EB1"/>
    <w:rsid w:val="00671031"/>
    <w:rsid w:val="00671073"/>
    <w:rsid w:val="006713A2"/>
    <w:rsid w:val="00671480"/>
    <w:rsid w:val="006714A0"/>
    <w:rsid w:val="006715D6"/>
    <w:rsid w:val="006716FD"/>
    <w:rsid w:val="00672191"/>
    <w:rsid w:val="006723C3"/>
    <w:rsid w:val="00672D37"/>
    <w:rsid w:val="00672ECA"/>
    <w:rsid w:val="006734C0"/>
    <w:rsid w:val="0067351B"/>
    <w:rsid w:val="0067356D"/>
    <w:rsid w:val="0067363F"/>
    <w:rsid w:val="006737E7"/>
    <w:rsid w:val="0067380A"/>
    <w:rsid w:val="006739D3"/>
    <w:rsid w:val="00673A77"/>
    <w:rsid w:val="00673DC0"/>
    <w:rsid w:val="006747DA"/>
    <w:rsid w:val="00674899"/>
    <w:rsid w:val="00674951"/>
    <w:rsid w:val="00674A6D"/>
    <w:rsid w:val="00674B9D"/>
    <w:rsid w:val="00675368"/>
    <w:rsid w:val="00675535"/>
    <w:rsid w:val="00675CA6"/>
    <w:rsid w:val="00675DB4"/>
    <w:rsid w:val="00675F7C"/>
    <w:rsid w:val="00676020"/>
    <w:rsid w:val="00676061"/>
    <w:rsid w:val="00676FFC"/>
    <w:rsid w:val="006770A6"/>
    <w:rsid w:val="006770FF"/>
    <w:rsid w:val="00677280"/>
    <w:rsid w:val="006778B8"/>
    <w:rsid w:val="00677E0A"/>
    <w:rsid w:val="00677E86"/>
    <w:rsid w:val="00677F3F"/>
    <w:rsid w:val="0068008C"/>
    <w:rsid w:val="00680408"/>
    <w:rsid w:val="00680981"/>
    <w:rsid w:val="00680C02"/>
    <w:rsid w:val="00680E6D"/>
    <w:rsid w:val="00680F67"/>
    <w:rsid w:val="00680F83"/>
    <w:rsid w:val="00680FC4"/>
    <w:rsid w:val="006811D0"/>
    <w:rsid w:val="006811E2"/>
    <w:rsid w:val="0068162B"/>
    <w:rsid w:val="006819B0"/>
    <w:rsid w:val="00681BAA"/>
    <w:rsid w:val="00681CE4"/>
    <w:rsid w:val="00681D60"/>
    <w:rsid w:val="00681EDB"/>
    <w:rsid w:val="00682028"/>
    <w:rsid w:val="006821D8"/>
    <w:rsid w:val="006823A5"/>
    <w:rsid w:val="0068251C"/>
    <w:rsid w:val="006829BC"/>
    <w:rsid w:val="00682D60"/>
    <w:rsid w:val="00682FF6"/>
    <w:rsid w:val="00683391"/>
    <w:rsid w:val="006836CB"/>
    <w:rsid w:val="006839F4"/>
    <w:rsid w:val="006839F8"/>
    <w:rsid w:val="00683B01"/>
    <w:rsid w:val="00683B79"/>
    <w:rsid w:val="00683DD3"/>
    <w:rsid w:val="00683F1D"/>
    <w:rsid w:val="00683F25"/>
    <w:rsid w:val="00684382"/>
    <w:rsid w:val="006843F0"/>
    <w:rsid w:val="00684C5A"/>
    <w:rsid w:val="006853EF"/>
    <w:rsid w:val="006854DC"/>
    <w:rsid w:val="00685600"/>
    <w:rsid w:val="00685626"/>
    <w:rsid w:val="00685A4C"/>
    <w:rsid w:val="00685A6E"/>
    <w:rsid w:val="00685E8F"/>
    <w:rsid w:val="006861A8"/>
    <w:rsid w:val="00686872"/>
    <w:rsid w:val="006868DC"/>
    <w:rsid w:val="00686CCE"/>
    <w:rsid w:val="00686CE6"/>
    <w:rsid w:val="006871E1"/>
    <w:rsid w:val="006872FA"/>
    <w:rsid w:val="00687656"/>
    <w:rsid w:val="006876FE"/>
    <w:rsid w:val="006877E7"/>
    <w:rsid w:val="00687997"/>
    <w:rsid w:val="00687AB6"/>
    <w:rsid w:val="00687B39"/>
    <w:rsid w:val="00687CA7"/>
    <w:rsid w:val="00687CC7"/>
    <w:rsid w:val="0069001E"/>
    <w:rsid w:val="0069014D"/>
    <w:rsid w:val="006905AE"/>
    <w:rsid w:val="006909DD"/>
    <w:rsid w:val="00690CF9"/>
    <w:rsid w:val="00690D2D"/>
    <w:rsid w:val="00690F35"/>
    <w:rsid w:val="006911D8"/>
    <w:rsid w:val="006912E2"/>
    <w:rsid w:val="00691A24"/>
    <w:rsid w:val="00691C14"/>
    <w:rsid w:val="00692214"/>
    <w:rsid w:val="006923B5"/>
    <w:rsid w:val="006925A3"/>
    <w:rsid w:val="00692CA8"/>
    <w:rsid w:val="00692D4B"/>
    <w:rsid w:val="00692EFB"/>
    <w:rsid w:val="00692F41"/>
    <w:rsid w:val="00693069"/>
    <w:rsid w:val="006930DC"/>
    <w:rsid w:val="0069326E"/>
    <w:rsid w:val="0069331E"/>
    <w:rsid w:val="00693870"/>
    <w:rsid w:val="006938D2"/>
    <w:rsid w:val="00693F32"/>
    <w:rsid w:val="00693FCF"/>
    <w:rsid w:val="00694229"/>
    <w:rsid w:val="00694561"/>
    <w:rsid w:val="006949B9"/>
    <w:rsid w:val="00694DB7"/>
    <w:rsid w:val="00694E02"/>
    <w:rsid w:val="00694EF8"/>
    <w:rsid w:val="00694EFF"/>
    <w:rsid w:val="00695481"/>
    <w:rsid w:val="0069550D"/>
    <w:rsid w:val="006955DF"/>
    <w:rsid w:val="00695CCE"/>
    <w:rsid w:val="00696021"/>
    <w:rsid w:val="0069607F"/>
    <w:rsid w:val="0069612C"/>
    <w:rsid w:val="0069623A"/>
    <w:rsid w:val="00696270"/>
    <w:rsid w:val="00696646"/>
    <w:rsid w:val="0069673C"/>
    <w:rsid w:val="00696A62"/>
    <w:rsid w:val="00696AF4"/>
    <w:rsid w:val="00696DB3"/>
    <w:rsid w:val="00696DE5"/>
    <w:rsid w:val="006970D7"/>
    <w:rsid w:val="00697353"/>
    <w:rsid w:val="00697505"/>
    <w:rsid w:val="006975EB"/>
    <w:rsid w:val="00697837"/>
    <w:rsid w:val="0069785F"/>
    <w:rsid w:val="00697CE3"/>
    <w:rsid w:val="00697DCF"/>
    <w:rsid w:val="006A0446"/>
    <w:rsid w:val="006A057A"/>
    <w:rsid w:val="006A0604"/>
    <w:rsid w:val="006A064C"/>
    <w:rsid w:val="006A0E82"/>
    <w:rsid w:val="006A0EA9"/>
    <w:rsid w:val="006A0F16"/>
    <w:rsid w:val="006A0F42"/>
    <w:rsid w:val="006A12CE"/>
    <w:rsid w:val="006A136A"/>
    <w:rsid w:val="006A13A7"/>
    <w:rsid w:val="006A1E04"/>
    <w:rsid w:val="006A20C7"/>
    <w:rsid w:val="006A2642"/>
    <w:rsid w:val="006A26CA"/>
    <w:rsid w:val="006A286F"/>
    <w:rsid w:val="006A2C54"/>
    <w:rsid w:val="006A2D9F"/>
    <w:rsid w:val="006A3096"/>
    <w:rsid w:val="006A3380"/>
    <w:rsid w:val="006A33E6"/>
    <w:rsid w:val="006A3702"/>
    <w:rsid w:val="006A3AA6"/>
    <w:rsid w:val="006A3C5D"/>
    <w:rsid w:val="006A3CE4"/>
    <w:rsid w:val="006A3F84"/>
    <w:rsid w:val="006A431B"/>
    <w:rsid w:val="006A44B2"/>
    <w:rsid w:val="006A4509"/>
    <w:rsid w:val="006A4796"/>
    <w:rsid w:val="006A4835"/>
    <w:rsid w:val="006A4894"/>
    <w:rsid w:val="006A4D0E"/>
    <w:rsid w:val="006A4D5F"/>
    <w:rsid w:val="006A4DFE"/>
    <w:rsid w:val="006A4FA2"/>
    <w:rsid w:val="006A4FD7"/>
    <w:rsid w:val="006A5104"/>
    <w:rsid w:val="006A52ED"/>
    <w:rsid w:val="006A5309"/>
    <w:rsid w:val="006A5773"/>
    <w:rsid w:val="006A58BD"/>
    <w:rsid w:val="006A590F"/>
    <w:rsid w:val="006A5D99"/>
    <w:rsid w:val="006A5FD9"/>
    <w:rsid w:val="006A6163"/>
    <w:rsid w:val="006A61D8"/>
    <w:rsid w:val="006A662C"/>
    <w:rsid w:val="006A680C"/>
    <w:rsid w:val="006A6924"/>
    <w:rsid w:val="006A6B00"/>
    <w:rsid w:val="006A6B6F"/>
    <w:rsid w:val="006A6D41"/>
    <w:rsid w:val="006A6F7E"/>
    <w:rsid w:val="006A7024"/>
    <w:rsid w:val="006A70E9"/>
    <w:rsid w:val="006A744F"/>
    <w:rsid w:val="006A7460"/>
    <w:rsid w:val="006A758E"/>
    <w:rsid w:val="006A77C3"/>
    <w:rsid w:val="006A7879"/>
    <w:rsid w:val="006A79BB"/>
    <w:rsid w:val="006A7A46"/>
    <w:rsid w:val="006A7A7E"/>
    <w:rsid w:val="006A7E90"/>
    <w:rsid w:val="006A7EBD"/>
    <w:rsid w:val="006B02E0"/>
    <w:rsid w:val="006B032B"/>
    <w:rsid w:val="006B035C"/>
    <w:rsid w:val="006B03AC"/>
    <w:rsid w:val="006B0462"/>
    <w:rsid w:val="006B046E"/>
    <w:rsid w:val="006B04F9"/>
    <w:rsid w:val="006B05C2"/>
    <w:rsid w:val="006B0653"/>
    <w:rsid w:val="006B0830"/>
    <w:rsid w:val="006B0F1A"/>
    <w:rsid w:val="006B0F41"/>
    <w:rsid w:val="006B0FE0"/>
    <w:rsid w:val="006B0FEB"/>
    <w:rsid w:val="006B1283"/>
    <w:rsid w:val="006B1BF7"/>
    <w:rsid w:val="006B236B"/>
    <w:rsid w:val="006B2754"/>
    <w:rsid w:val="006B2883"/>
    <w:rsid w:val="006B29CD"/>
    <w:rsid w:val="006B29F3"/>
    <w:rsid w:val="006B29FC"/>
    <w:rsid w:val="006B2A7D"/>
    <w:rsid w:val="006B2AE5"/>
    <w:rsid w:val="006B2BF7"/>
    <w:rsid w:val="006B3788"/>
    <w:rsid w:val="006B3AA3"/>
    <w:rsid w:val="006B3DF9"/>
    <w:rsid w:val="006B3F83"/>
    <w:rsid w:val="006B403F"/>
    <w:rsid w:val="006B41C9"/>
    <w:rsid w:val="006B49AD"/>
    <w:rsid w:val="006B49FD"/>
    <w:rsid w:val="006B4E6D"/>
    <w:rsid w:val="006B5DDD"/>
    <w:rsid w:val="006B60E5"/>
    <w:rsid w:val="006B6185"/>
    <w:rsid w:val="006B6416"/>
    <w:rsid w:val="006B66ED"/>
    <w:rsid w:val="006B6A1C"/>
    <w:rsid w:val="006B6A8D"/>
    <w:rsid w:val="006B6AAC"/>
    <w:rsid w:val="006B6C4C"/>
    <w:rsid w:val="006B6CF5"/>
    <w:rsid w:val="006B6EA2"/>
    <w:rsid w:val="006B6EF4"/>
    <w:rsid w:val="006B6F19"/>
    <w:rsid w:val="006B6F6D"/>
    <w:rsid w:val="006B719D"/>
    <w:rsid w:val="006B71CE"/>
    <w:rsid w:val="006B72F1"/>
    <w:rsid w:val="006B75FC"/>
    <w:rsid w:val="006B7769"/>
    <w:rsid w:val="006B797B"/>
    <w:rsid w:val="006B79EB"/>
    <w:rsid w:val="006B7B6E"/>
    <w:rsid w:val="006B7BF5"/>
    <w:rsid w:val="006B7C7C"/>
    <w:rsid w:val="006B7C97"/>
    <w:rsid w:val="006B7D63"/>
    <w:rsid w:val="006B7E3C"/>
    <w:rsid w:val="006B7FFA"/>
    <w:rsid w:val="006C00D7"/>
    <w:rsid w:val="006C0425"/>
    <w:rsid w:val="006C0434"/>
    <w:rsid w:val="006C08EF"/>
    <w:rsid w:val="006C09D9"/>
    <w:rsid w:val="006C0A3C"/>
    <w:rsid w:val="006C0B30"/>
    <w:rsid w:val="006C0E80"/>
    <w:rsid w:val="006C0EAB"/>
    <w:rsid w:val="006C10B3"/>
    <w:rsid w:val="006C12F4"/>
    <w:rsid w:val="006C17B8"/>
    <w:rsid w:val="006C1818"/>
    <w:rsid w:val="006C1B11"/>
    <w:rsid w:val="006C1B5D"/>
    <w:rsid w:val="006C1B85"/>
    <w:rsid w:val="006C1C33"/>
    <w:rsid w:val="006C1F40"/>
    <w:rsid w:val="006C1F57"/>
    <w:rsid w:val="006C219F"/>
    <w:rsid w:val="006C2F0F"/>
    <w:rsid w:val="006C30D8"/>
    <w:rsid w:val="006C348D"/>
    <w:rsid w:val="006C363E"/>
    <w:rsid w:val="006C37AD"/>
    <w:rsid w:val="006C3BDC"/>
    <w:rsid w:val="006C3E37"/>
    <w:rsid w:val="006C3EB8"/>
    <w:rsid w:val="006C3ED9"/>
    <w:rsid w:val="006C3FD2"/>
    <w:rsid w:val="006C408F"/>
    <w:rsid w:val="006C41FE"/>
    <w:rsid w:val="006C4555"/>
    <w:rsid w:val="006C45B9"/>
    <w:rsid w:val="006C466F"/>
    <w:rsid w:val="006C46CD"/>
    <w:rsid w:val="006C49D4"/>
    <w:rsid w:val="006C4A71"/>
    <w:rsid w:val="006C4A85"/>
    <w:rsid w:val="006C4D84"/>
    <w:rsid w:val="006C4DC1"/>
    <w:rsid w:val="006C5969"/>
    <w:rsid w:val="006C5A52"/>
    <w:rsid w:val="006C5D18"/>
    <w:rsid w:val="006C64CC"/>
    <w:rsid w:val="006C6543"/>
    <w:rsid w:val="006C6BC4"/>
    <w:rsid w:val="006C6BC6"/>
    <w:rsid w:val="006C7086"/>
    <w:rsid w:val="006C70F5"/>
    <w:rsid w:val="006C718F"/>
    <w:rsid w:val="006C72B8"/>
    <w:rsid w:val="006C74F4"/>
    <w:rsid w:val="006C76F0"/>
    <w:rsid w:val="006C7705"/>
    <w:rsid w:val="006C7BC6"/>
    <w:rsid w:val="006C7C04"/>
    <w:rsid w:val="006C7DD1"/>
    <w:rsid w:val="006C7EB7"/>
    <w:rsid w:val="006C7F44"/>
    <w:rsid w:val="006C7F8B"/>
    <w:rsid w:val="006D00C2"/>
    <w:rsid w:val="006D03A4"/>
    <w:rsid w:val="006D0561"/>
    <w:rsid w:val="006D06A8"/>
    <w:rsid w:val="006D0773"/>
    <w:rsid w:val="006D07E7"/>
    <w:rsid w:val="006D0AE6"/>
    <w:rsid w:val="006D0C04"/>
    <w:rsid w:val="006D0D0A"/>
    <w:rsid w:val="006D0D77"/>
    <w:rsid w:val="006D0EE0"/>
    <w:rsid w:val="006D0F8D"/>
    <w:rsid w:val="006D1280"/>
    <w:rsid w:val="006D12DB"/>
    <w:rsid w:val="006D14EA"/>
    <w:rsid w:val="006D15DF"/>
    <w:rsid w:val="006D17D9"/>
    <w:rsid w:val="006D195E"/>
    <w:rsid w:val="006D1D78"/>
    <w:rsid w:val="006D1F26"/>
    <w:rsid w:val="006D1F54"/>
    <w:rsid w:val="006D2302"/>
    <w:rsid w:val="006D2663"/>
    <w:rsid w:val="006D2742"/>
    <w:rsid w:val="006D2864"/>
    <w:rsid w:val="006D28F8"/>
    <w:rsid w:val="006D2AAC"/>
    <w:rsid w:val="006D2CCF"/>
    <w:rsid w:val="006D308F"/>
    <w:rsid w:val="006D3210"/>
    <w:rsid w:val="006D331F"/>
    <w:rsid w:val="006D3439"/>
    <w:rsid w:val="006D34C2"/>
    <w:rsid w:val="006D35DD"/>
    <w:rsid w:val="006D375C"/>
    <w:rsid w:val="006D3C01"/>
    <w:rsid w:val="006D3DB0"/>
    <w:rsid w:val="006D3DB8"/>
    <w:rsid w:val="006D3FA3"/>
    <w:rsid w:val="006D43CB"/>
    <w:rsid w:val="006D472D"/>
    <w:rsid w:val="006D4923"/>
    <w:rsid w:val="006D49E5"/>
    <w:rsid w:val="006D4A9D"/>
    <w:rsid w:val="006D4BC6"/>
    <w:rsid w:val="006D4C1C"/>
    <w:rsid w:val="006D4E77"/>
    <w:rsid w:val="006D4F09"/>
    <w:rsid w:val="006D508D"/>
    <w:rsid w:val="006D5293"/>
    <w:rsid w:val="006D541C"/>
    <w:rsid w:val="006D58A7"/>
    <w:rsid w:val="006D620A"/>
    <w:rsid w:val="006D63ED"/>
    <w:rsid w:val="006D640C"/>
    <w:rsid w:val="006D654E"/>
    <w:rsid w:val="006D66B5"/>
    <w:rsid w:val="006D6785"/>
    <w:rsid w:val="006D68CC"/>
    <w:rsid w:val="006D6A26"/>
    <w:rsid w:val="006D6A3F"/>
    <w:rsid w:val="006D6A7F"/>
    <w:rsid w:val="006D6A9F"/>
    <w:rsid w:val="006D6B73"/>
    <w:rsid w:val="006D6E87"/>
    <w:rsid w:val="006D7174"/>
    <w:rsid w:val="006D7262"/>
    <w:rsid w:val="006D733E"/>
    <w:rsid w:val="006D78A0"/>
    <w:rsid w:val="006D79DE"/>
    <w:rsid w:val="006D7A51"/>
    <w:rsid w:val="006D7BE6"/>
    <w:rsid w:val="006D7D02"/>
    <w:rsid w:val="006D7F93"/>
    <w:rsid w:val="006E0134"/>
    <w:rsid w:val="006E018D"/>
    <w:rsid w:val="006E037F"/>
    <w:rsid w:val="006E0393"/>
    <w:rsid w:val="006E0479"/>
    <w:rsid w:val="006E060C"/>
    <w:rsid w:val="006E0E4C"/>
    <w:rsid w:val="006E0EE5"/>
    <w:rsid w:val="006E0F0D"/>
    <w:rsid w:val="006E0F1E"/>
    <w:rsid w:val="006E0F5A"/>
    <w:rsid w:val="006E0F72"/>
    <w:rsid w:val="006E10E7"/>
    <w:rsid w:val="006E115C"/>
    <w:rsid w:val="006E1412"/>
    <w:rsid w:val="006E161F"/>
    <w:rsid w:val="006E1703"/>
    <w:rsid w:val="006E19B4"/>
    <w:rsid w:val="006E1E7E"/>
    <w:rsid w:val="006E2894"/>
    <w:rsid w:val="006E2917"/>
    <w:rsid w:val="006E2A0A"/>
    <w:rsid w:val="006E2B6D"/>
    <w:rsid w:val="006E2C37"/>
    <w:rsid w:val="006E2F71"/>
    <w:rsid w:val="006E3034"/>
    <w:rsid w:val="006E315A"/>
    <w:rsid w:val="006E326F"/>
    <w:rsid w:val="006E361E"/>
    <w:rsid w:val="006E38A6"/>
    <w:rsid w:val="006E395A"/>
    <w:rsid w:val="006E3A7A"/>
    <w:rsid w:val="006E3D96"/>
    <w:rsid w:val="006E3E6D"/>
    <w:rsid w:val="006E4151"/>
    <w:rsid w:val="006E434E"/>
    <w:rsid w:val="006E49E0"/>
    <w:rsid w:val="006E4A9C"/>
    <w:rsid w:val="006E4AE9"/>
    <w:rsid w:val="006E4CB5"/>
    <w:rsid w:val="006E4D6F"/>
    <w:rsid w:val="006E4E1A"/>
    <w:rsid w:val="006E4E9E"/>
    <w:rsid w:val="006E512D"/>
    <w:rsid w:val="006E51B5"/>
    <w:rsid w:val="006E5371"/>
    <w:rsid w:val="006E568D"/>
    <w:rsid w:val="006E56D3"/>
    <w:rsid w:val="006E5874"/>
    <w:rsid w:val="006E58FA"/>
    <w:rsid w:val="006E5E30"/>
    <w:rsid w:val="006E629C"/>
    <w:rsid w:val="006E645D"/>
    <w:rsid w:val="006E6738"/>
    <w:rsid w:val="006E683C"/>
    <w:rsid w:val="006E6901"/>
    <w:rsid w:val="006E6A9D"/>
    <w:rsid w:val="006E6C1E"/>
    <w:rsid w:val="006E6DAB"/>
    <w:rsid w:val="006E6E1D"/>
    <w:rsid w:val="006E733C"/>
    <w:rsid w:val="006E766D"/>
    <w:rsid w:val="006E7949"/>
    <w:rsid w:val="006F05EC"/>
    <w:rsid w:val="006F0760"/>
    <w:rsid w:val="006F08F6"/>
    <w:rsid w:val="006F0B0E"/>
    <w:rsid w:val="006F0B3F"/>
    <w:rsid w:val="006F0DF9"/>
    <w:rsid w:val="006F10F3"/>
    <w:rsid w:val="006F14E1"/>
    <w:rsid w:val="006F150A"/>
    <w:rsid w:val="006F1718"/>
    <w:rsid w:val="006F197E"/>
    <w:rsid w:val="006F1980"/>
    <w:rsid w:val="006F1BEF"/>
    <w:rsid w:val="006F1C30"/>
    <w:rsid w:val="006F2183"/>
    <w:rsid w:val="006F2929"/>
    <w:rsid w:val="006F2DC1"/>
    <w:rsid w:val="006F2F89"/>
    <w:rsid w:val="006F3464"/>
    <w:rsid w:val="006F35BF"/>
    <w:rsid w:val="006F35C6"/>
    <w:rsid w:val="006F38E4"/>
    <w:rsid w:val="006F3A6E"/>
    <w:rsid w:val="006F3A7B"/>
    <w:rsid w:val="006F3DE2"/>
    <w:rsid w:val="006F4382"/>
    <w:rsid w:val="006F43ED"/>
    <w:rsid w:val="006F44FB"/>
    <w:rsid w:val="006F46E1"/>
    <w:rsid w:val="006F4756"/>
    <w:rsid w:val="006F4F5E"/>
    <w:rsid w:val="006F50B1"/>
    <w:rsid w:val="006F510F"/>
    <w:rsid w:val="006F5125"/>
    <w:rsid w:val="006F5597"/>
    <w:rsid w:val="006F571D"/>
    <w:rsid w:val="006F573A"/>
    <w:rsid w:val="006F5A5B"/>
    <w:rsid w:val="006F5D16"/>
    <w:rsid w:val="006F62AB"/>
    <w:rsid w:val="006F6573"/>
    <w:rsid w:val="006F659B"/>
    <w:rsid w:val="006F65E4"/>
    <w:rsid w:val="006F6774"/>
    <w:rsid w:val="006F6A56"/>
    <w:rsid w:val="006F6C2B"/>
    <w:rsid w:val="006F6C83"/>
    <w:rsid w:val="006F6C93"/>
    <w:rsid w:val="006F74BD"/>
    <w:rsid w:val="006F78B4"/>
    <w:rsid w:val="006F79D0"/>
    <w:rsid w:val="006F7CB0"/>
    <w:rsid w:val="006F7E01"/>
    <w:rsid w:val="006F7E1C"/>
    <w:rsid w:val="006F7E83"/>
    <w:rsid w:val="006F7EF7"/>
    <w:rsid w:val="006F7F12"/>
    <w:rsid w:val="006F7F1B"/>
    <w:rsid w:val="00700019"/>
    <w:rsid w:val="00700078"/>
    <w:rsid w:val="007001B6"/>
    <w:rsid w:val="007001C7"/>
    <w:rsid w:val="007002DE"/>
    <w:rsid w:val="007005C7"/>
    <w:rsid w:val="00700781"/>
    <w:rsid w:val="0070080D"/>
    <w:rsid w:val="007008D3"/>
    <w:rsid w:val="00700BF0"/>
    <w:rsid w:val="00700C2F"/>
    <w:rsid w:val="00700D82"/>
    <w:rsid w:val="00701073"/>
    <w:rsid w:val="007010AD"/>
    <w:rsid w:val="00701141"/>
    <w:rsid w:val="00701256"/>
    <w:rsid w:val="007012E9"/>
    <w:rsid w:val="0070168F"/>
    <w:rsid w:val="007016B6"/>
    <w:rsid w:val="00701853"/>
    <w:rsid w:val="0070193E"/>
    <w:rsid w:val="00701C26"/>
    <w:rsid w:val="00701D37"/>
    <w:rsid w:val="00701D40"/>
    <w:rsid w:val="00701F3E"/>
    <w:rsid w:val="00701F86"/>
    <w:rsid w:val="007026BD"/>
    <w:rsid w:val="00702770"/>
    <w:rsid w:val="00702B70"/>
    <w:rsid w:val="00702BA2"/>
    <w:rsid w:val="00702CA8"/>
    <w:rsid w:val="00702E5F"/>
    <w:rsid w:val="00703048"/>
    <w:rsid w:val="007031CC"/>
    <w:rsid w:val="007034A2"/>
    <w:rsid w:val="0070359D"/>
    <w:rsid w:val="0070368D"/>
    <w:rsid w:val="00703767"/>
    <w:rsid w:val="007037F4"/>
    <w:rsid w:val="007039B2"/>
    <w:rsid w:val="007039BC"/>
    <w:rsid w:val="00703BAE"/>
    <w:rsid w:val="00703BCE"/>
    <w:rsid w:val="00703CC8"/>
    <w:rsid w:val="00703E7C"/>
    <w:rsid w:val="00703F41"/>
    <w:rsid w:val="00703FA7"/>
    <w:rsid w:val="0070420B"/>
    <w:rsid w:val="007043DE"/>
    <w:rsid w:val="007044EA"/>
    <w:rsid w:val="00704714"/>
    <w:rsid w:val="007051DC"/>
    <w:rsid w:val="007054E2"/>
    <w:rsid w:val="007054FF"/>
    <w:rsid w:val="007059A4"/>
    <w:rsid w:val="00705B80"/>
    <w:rsid w:val="00705C47"/>
    <w:rsid w:val="00705C66"/>
    <w:rsid w:val="00705D03"/>
    <w:rsid w:val="00706327"/>
    <w:rsid w:val="007066D2"/>
    <w:rsid w:val="00706E61"/>
    <w:rsid w:val="00707010"/>
    <w:rsid w:val="00707045"/>
    <w:rsid w:val="007070E6"/>
    <w:rsid w:val="00707184"/>
    <w:rsid w:val="00707254"/>
    <w:rsid w:val="00707532"/>
    <w:rsid w:val="00707AF4"/>
    <w:rsid w:val="00710084"/>
    <w:rsid w:val="007101A2"/>
    <w:rsid w:val="00710387"/>
    <w:rsid w:val="00710446"/>
    <w:rsid w:val="00710769"/>
    <w:rsid w:val="00710CE7"/>
    <w:rsid w:val="00710F96"/>
    <w:rsid w:val="00711263"/>
    <w:rsid w:val="007112F9"/>
    <w:rsid w:val="007112FA"/>
    <w:rsid w:val="007116A4"/>
    <w:rsid w:val="007116C8"/>
    <w:rsid w:val="007117E8"/>
    <w:rsid w:val="00711A31"/>
    <w:rsid w:val="00711A69"/>
    <w:rsid w:val="0071208D"/>
    <w:rsid w:val="00712428"/>
    <w:rsid w:val="007126EC"/>
    <w:rsid w:val="007127F9"/>
    <w:rsid w:val="00712B00"/>
    <w:rsid w:val="00712C0A"/>
    <w:rsid w:val="00713298"/>
    <w:rsid w:val="00713606"/>
    <w:rsid w:val="0071370A"/>
    <w:rsid w:val="00713A2B"/>
    <w:rsid w:val="00713C3D"/>
    <w:rsid w:val="00713D99"/>
    <w:rsid w:val="0071431C"/>
    <w:rsid w:val="0071439D"/>
    <w:rsid w:val="00714526"/>
    <w:rsid w:val="00714748"/>
    <w:rsid w:val="00714B63"/>
    <w:rsid w:val="00714CA7"/>
    <w:rsid w:val="00714D90"/>
    <w:rsid w:val="00714FFD"/>
    <w:rsid w:val="00715319"/>
    <w:rsid w:val="00715727"/>
    <w:rsid w:val="00715906"/>
    <w:rsid w:val="00715ABB"/>
    <w:rsid w:val="00715B4A"/>
    <w:rsid w:val="00715F33"/>
    <w:rsid w:val="0071607E"/>
    <w:rsid w:val="0071624E"/>
    <w:rsid w:val="007162CA"/>
    <w:rsid w:val="007165D8"/>
    <w:rsid w:val="00717584"/>
    <w:rsid w:val="007175D7"/>
    <w:rsid w:val="0071773F"/>
    <w:rsid w:val="007179C4"/>
    <w:rsid w:val="007179CB"/>
    <w:rsid w:val="00717D2A"/>
    <w:rsid w:val="0072003D"/>
    <w:rsid w:val="007201F5"/>
    <w:rsid w:val="00720380"/>
    <w:rsid w:val="00720432"/>
    <w:rsid w:val="00720567"/>
    <w:rsid w:val="007206B7"/>
    <w:rsid w:val="007206E3"/>
    <w:rsid w:val="00720A04"/>
    <w:rsid w:val="00720DED"/>
    <w:rsid w:val="00720F17"/>
    <w:rsid w:val="00721031"/>
    <w:rsid w:val="007212E4"/>
    <w:rsid w:val="00721734"/>
    <w:rsid w:val="00721B09"/>
    <w:rsid w:val="00721B11"/>
    <w:rsid w:val="00721D43"/>
    <w:rsid w:val="00721D4E"/>
    <w:rsid w:val="00721DC5"/>
    <w:rsid w:val="007222BF"/>
    <w:rsid w:val="00722475"/>
    <w:rsid w:val="00722749"/>
    <w:rsid w:val="00722AA8"/>
    <w:rsid w:val="00722F9E"/>
    <w:rsid w:val="00722FB8"/>
    <w:rsid w:val="00723182"/>
    <w:rsid w:val="00723235"/>
    <w:rsid w:val="007237B0"/>
    <w:rsid w:val="00723974"/>
    <w:rsid w:val="007239AB"/>
    <w:rsid w:val="00723F56"/>
    <w:rsid w:val="007241AA"/>
    <w:rsid w:val="007241BA"/>
    <w:rsid w:val="0072456E"/>
    <w:rsid w:val="0072474F"/>
    <w:rsid w:val="00724957"/>
    <w:rsid w:val="00724B27"/>
    <w:rsid w:val="00724D39"/>
    <w:rsid w:val="007250EF"/>
    <w:rsid w:val="007258CB"/>
    <w:rsid w:val="00725EEC"/>
    <w:rsid w:val="00725F93"/>
    <w:rsid w:val="00726118"/>
    <w:rsid w:val="007263C1"/>
    <w:rsid w:val="0072655D"/>
    <w:rsid w:val="007266EF"/>
    <w:rsid w:val="00726884"/>
    <w:rsid w:val="00726CC0"/>
    <w:rsid w:val="00726DBF"/>
    <w:rsid w:val="00726DF0"/>
    <w:rsid w:val="00726E1F"/>
    <w:rsid w:val="00726F70"/>
    <w:rsid w:val="007272C4"/>
    <w:rsid w:val="0072733E"/>
    <w:rsid w:val="007274B3"/>
    <w:rsid w:val="0072752A"/>
    <w:rsid w:val="00727CF2"/>
    <w:rsid w:val="0073008F"/>
    <w:rsid w:val="0073014E"/>
    <w:rsid w:val="007301D0"/>
    <w:rsid w:val="0073026D"/>
    <w:rsid w:val="00730326"/>
    <w:rsid w:val="0073081D"/>
    <w:rsid w:val="00730ADC"/>
    <w:rsid w:val="00730BBA"/>
    <w:rsid w:val="007310D3"/>
    <w:rsid w:val="007312F3"/>
    <w:rsid w:val="00731618"/>
    <w:rsid w:val="0073188B"/>
    <w:rsid w:val="007326A2"/>
    <w:rsid w:val="007328A6"/>
    <w:rsid w:val="00732A1F"/>
    <w:rsid w:val="00732F65"/>
    <w:rsid w:val="0073303E"/>
    <w:rsid w:val="0073315F"/>
    <w:rsid w:val="007333F0"/>
    <w:rsid w:val="0073355A"/>
    <w:rsid w:val="007335AC"/>
    <w:rsid w:val="0073366E"/>
    <w:rsid w:val="007339AE"/>
    <w:rsid w:val="00733C49"/>
    <w:rsid w:val="0073407F"/>
    <w:rsid w:val="0073428E"/>
    <w:rsid w:val="0073462D"/>
    <w:rsid w:val="007346C5"/>
    <w:rsid w:val="00734744"/>
    <w:rsid w:val="007349BD"/>
    <w:rsid w:val="007349F7"/>
    <w:rsid w:val="00734B21"/>
    <w:rsid w:val="00734D64"/>
    <w:rsid w:val="0073539D"/>
    <w:rsid w:val="00735555"/>
    <w:rsid w:val="007356C0"/>
    <w:rsid w:val="007356FC"/>
    <w:rsid w:val="00735E30"/>
    <w:rsid w:val="00736150"/>
    <w:rsid w:val="00736541"/>
    <w:rsid w:val="007366B9"/>
    <w:rsid w:val="0073692D"/>
    <w:rsid w:val="00736C2E"/>
    <w:rsid w:val="00737178"/>
    <w:rsid w:val="00737355"/>
    <w:rsid w:val="00737595"/>
    <w:rsid w:val="00737686"/>
    <w:rsid w:val="0073768C"/>
    <w:rsid w:val="00737D77"/>
    <w:rsid w:val="00737D85"/>
    <w:rsid w:val="00737F1E"/>
    <w:rsid w:val="00737FEA"/>
    <w:rsid w:val="00740118"/>
    <w:rsid w:val="00740683"/>
    <w:rsid w:val="00740833"/>
    <w:rsid w:val="0074103F"/>
    <w:rsid w:val="0074113A"/>
    <w:rsid w:val="00741553"/>
    <w:rsid w:val="0074173A"/>
    <w:rsid w:val="007417E9"/>
    <w:rsid w:val="00741849"/>
    <w:rsid w:val="00741A6B"/>
    <w:rsid w:val="00741D27"/>
    <w:rsid w:val="00741E3B"/>
    <w:rsid w:val="0074203B"/>
    <w:rsid w:val="007422EE"/>
    <w:rsid w:val="007423AC"/>
    <w:rsid w:val="00742444"/>
    <w:rsid w:val="007428DC"/>
    <w:rsid w:val="00742A97"/>
    <w:rsid w:val="0074322A"/>
    <w:rsid w:val="0074373F"/>
    <w:rsid w:val="007437DA"/>
    <w:rsid w:val="007439D2"/>
    <w:rsid w:val="00743A00"/>
    <w:rsid w:val="00743A71"/>
    <w:rsid w:val="00743E92"/>
    <w:rsid w:val="00744C0F"/>
    <w:rsid w:val="007450A2"/>
    <w:rsid w:val="007451B5"/>
    <w:rsid w:val="00745568"/>
    <w:rsid w:val="00745CF7"/>
    <w:rsid w:val="00745D17"/>
    <w:rsid w:val="00746116"/>
    <w:rsid w:val="00746223"/>
    <w:rsid w:val="007464C3"/>
    <w:rsid w:val="00746508"/>
    <w:rsid w:val="00746947"/>
    <w:rsid w:val="00746B11"/>
    <w:rsid w:val="00746B59"/>
    <w:rsid w:val="00746DF4"/>
    <w:rsid w:val="00746F0E"/>
    <w:rsid w:val="00747116"/>
    <w:rsid w:val="00747740"/>
    <w:rsid w:val="00747750"/>
    <w:rsid w:val="00747931"/>
    <w:rsid w:val="00747B64"/>
    <w:rsid w:val="00747C19"/>
    <w:rsid w:val="00747C84"/>
    <w:rsid w:val="00747C8F"/>
    <w:rsid w:val="00747D43"/>
    <w:rsid w:val="00747DB6"/>
    <w:rsid w:val="0075045E"/>
    <w:rsid w:val="007507A2"/>
    <w:rsid w:val="007508C8"/>
    <w:rsid w:val="0075095B"/>
    <w:rsid w:val="007510D8"/>
    <w:rsid w:val="00751898"/>
    <w:rsid w:val="00751B17"/>
    <w:rsid w:val="00751F77"/>
    <w:rsid w:val="0075225F"/>
    <w:rsid w:val="007523E0"/>
    <w:rsid w:val="00752816"/>
    <w:rsid w:val="0075296A"/>
    <w:rsid w:val="00752A57"/>
    <w:rsid w:val="00752E2A"/>
    <w:rsid w:val="00752FA3"/>
    <w:rsid w:val="00753483"/>
    <w:rsid w:val="007535BE"/>
    <w:rsid w:val="007536D5"/>
    <w:rsid w:val="0075384F"/>
    <w:rsid w:val="00753CBD"/>
    <w:rsid w:val="00753FD0"/>
    <w:rsid w:val="00754090"/>
    <w:rsid w:val="007540AE"/>
    <w:rsid w:val="0075411B"/>
    <w:rsid w:val="007542DE"/>
    <w:rsid w:val="00754BC4"/>
    <w:rsid w:val="00754F2A"/>
    <w:rsid w:val="007550A1"/>
    <w:rsid w:val="007554D1"/>
    <w:rsid w:val="00755623"/>
    <w:rsid w:val="0075579D"/>
    <w:rsid w:val="007558C8"/>
    <w:rsid w:val="007558E8"/>
    <w:rsid w:val="00755A70"/>
    <w:rsid w:val="00755B94"/>
    <w:rsid w:val="00755D60"/>
    <w:rsid w:val="007563C4"/>
    <w:rsid w:val="007564FC"/>
    <w:rsid w:val="0075678A"/>
    <w:rsid w:val="00756B0D"/>
    <w:rsid w:val="00757033"/>
    <w:rsid w:val="00757139"/>
    <w:rsid w:val="007575EF"/>
    <w:rsid w:val="0075781C"/>
    <w:rsid w:val="00757965"/>
    <w:rsid w:val="00757B6B"/>
    <w:rsid w:val="007603F8"/>
    <w:rsid w:val="007605A0"/>
    <w:rsid w:val="00760685"/>
    <w:rsid w:val="00760858"/>
    <w:rsid w:val="00760A08"/>
    <w:rsid w:val="00760B00"/>
    <w:rsid w:val="00760BF1"/>
    <w:rsid w:val="00760CEA"/>
    <w:rsid w:val="00761220"/>
    <w:rsid w:val="00761D60"/>
    <w:rsid w:val="00761D69"/>
    <w:rsid w:val="00761D7C"/>
    <w:rsid w:val="00761D81"/>
    <w:rsid w:val="00761ECC"/>
    <w:rsid w:val="007620D6"/>
    <w:rsid w:val="0076211F"/>
    <w:rsid w:val="007624CD"/>
    <w:rsid w:val="007625D5"/>
    <w:rsid w:val="0076294B"/>
    <w:rsid w:val="007629AA"/>
    <w:rsid w:val="00762C5F"/>
    <w:rsid w:val="00762DBE"/>
    <w:rsid w:val="00763121"/>
    <w:rsid w:val="007631CB"/>
    <w:rsid w:val="0076320A"/>
    <w:rsid w:val="0076344B"/>
    <w:rsid w:val="00763672"/>
    <w:rsid w:val="00763680"/>
    <w:rsid w:val="00763685"/>
    <w:rsid w:val="00763693"/>
    <w:rsid w:val="00763A72"/>
    <w:rsid w:val="00763AD3"/>
    <w:rsid w:val="00763B5A"/>
    <w:rsid w:val="00763CAB"/>
    <w:rsid w:val="00763D0C"/>
    <w:rsid w:val="00763DAE"/>
    <w:rsid w:val="00764474"/>
    <w:rsid w:val="007644AC"/>
    <w:rsid w:val="00764721"/>
    <w:rsid w:val="007648A5"/>
    <w:rsid w:val="00764D42"/>
    <w:rsid w:val="00764D55"/>
    <w:rsid w:val="00764DF7"/>
    <w:rsid w:val="00765267"/>
    <w:rsid w:val="0076548A"/>
    <w:rsid w:val="007655B3"/>
    <w:rsid w:val="0076571B"/>
    <w:rsid w:val="007657E8"/>
    <w:rsid w:val="007657ED"/>
    <w:rsid w:val="00765A9A"/>
    <w:rsid w:val="00765DF4"/>
    <w:rsid w:val="007661DF"/>
    <w:rsid w:val="007661EE"/>
    <w:rsid w:val="00766278"/>
    <w:rsid w:val="00766439"/>
    <w:rsid w:val="0076654E"/>
    <w:rsid w:val="00766A4F"/>
    <w:rsid w:val="00766CD9"/>
    <w:rsid w:val="00766E69"/>
    <w:rsid w:val="00767646"/>
    <w:rsid w:val="0076780C"/>
    <w:rsid w:val="00767872"/>
    <w:rsid w:val="00767B7A"/>
    <w:rsid w:val="00767C37"/>
    <w:rsid w:val="00767CC6"/>
    <w:rsid w:val="00767DB6"/>
    <w:rsid w:val="00767DCB"/>
    <w:rsid w:val="00767E1A"/>
    <w:rsid w:val="00767F29"/>
    <w:rsid w:val="007700A2"/>
    <w:rsid w:val="007700E3"/>
    <w:rsid w:val="0077018A"/>
    <w:rsid w:val="007701C4"/>
    <w:rsid w:val="00770217"/>
    <w:rsid w:val="007702DD"/>
    <w:rsid w:val="00770473"/>
    <w:rsid w:val="007707D5"/>
    <w:rsid w:val="00770900"/>
    <w:rsid w:val="00770934"/>
    <w:rsid w:val="007709A0"/>
    <w:rsid w:val="00771499"/>
    <w:rsid w:val="0077172B"/>
    <w:rsid w:val="00771798"/>
    <w:rsid w:val="00771C65"/>
    <w:rsid w:val="00771D61"/>
    <w:rsid w:val="007720B7"/>
    <w:rsid w:val="0077254F"/>
    <w:rsid w:val="007725BB"/>
    <w:rsid w:val="00772BB9"/>
    <w:rsid w:val="00772CDD"/>
    <w:rsid w:val="00772D08"/>
    <w:rsid w:val="00772FB1"/>
    <w:rsid w:val="0077316A"/>
    <w:rsid w:val="00773187"/>
    <w:rsid w:val="00773316"/>
    <w:rsid w:val="0077339C"/>
    <w:rsid w:val="00773705"/>
    <w:rsid w:val="00773743"/>
    <w:rsid w:val="00773912"/>
    <w:rsid w:val="00773936"/>
    <w:rsid w:val="0077396D"/>
    <w:rsid w:val="00773ADA"/>
    <w:rsid w:val="00773AE9"/>
    <w:rsid w:val="00773C13"/>
    <w:rsid w:val="00773F8C"/>
    <w:rsid w:val="007740C6"/>
    <w:rsid w:val="0077427F"/>
    <w:rsid w:val="007742FF"/>
    <w:rsid w:val="007747EB"/>
    <w:rsid w:val="007748D0"/>
    <w:rsid w:val="0077496B"/>
    <w:rsid w:val="00774ADB"/>
    <w:rsid w:val="00774EE3"/>
    <w:rsid w:val="00775047"/>
    <w:rsid w:val="007750DD"/>
    <w:rsid w:val="007751D0"/>
    <w:rsid w:val="007752A8"/>
    <w:rsid w:val="00775633"/>
    <w:rsid w:val="007757FD"/>
    <w:rsid w:val="007759B3"/>
    <w:rsid w:val="00775A07"/>
    <w:rsid w:val="00775C88"/>
    <w:rsid w:val="00775CF7"/>
    <w:rsid w:val="00775D4E"/>
    <w:rsid w:val="00775DF1"/>
    <w:rsid w:val="00775E25"/>
    <w:rsid w:val="00775E7D"/>
    <w:rsid w:val="007763D1"/>
    <w:rsid w:val="00776509"/>
    <w:rsid w:val="0077673C"/>
    <w:rsid w:val="00776772"/>
    <w:rsid w:val="0077677F"/>
    <w:rsid w:val="00776785"/>
    <w:rsid w:val="00776AD6"/>
    <w:rsid w:val="00776D64"/>
    <w:rsid w:val="0077700A"/>
    <w:rsid w:val="00777566"/>
    <w:rsid w:val="007775B2"/>
    <w:rsid w:val="00777AFE"/>
    <w:rsid w:val="00777B49"/>
    <w:rsid w:val="00777CDC"/>
    <w:rsid w:val="00777EA1"/>
    <w:rsid w:val="00777FF2"/>
    <w:rsid w:val="00780555"/>
    <w:rsid w:val="0078069C"/>
    <w:rsid w:val="00780DBA"/>
    <w:rsid w:val="00780FB9"/>
    <w:rsid w:val="00781127"/>
    <w:rsid w:val="00781255"/>
    <w:rsid w:val="00781827"/>
    <w:rsid w:val="00781987"/>
    <w:rsid w:val="00781FEE"/>
    <w:rsid w:val="007820FA"/>
    <w:rsid w:val="00782164"/>
    <w:rsid w:val="00782543"/>
    <w:rsid w:val="0078268E"/>
    <w:rsid w:val="0078270B"/>
    <w:rsid w:val="007828B0"/>
    <w:rsid w:val="007828B7"/>
    <w:rsid w:val="00782A82"/>
    <w:rsid w:val="007830CF"/>
    <w:rsid w:val="00783117"/>
    <w:rsid w:val="00783334"/>
    <w:rsid w:val="007833D4"/>
    <w:rsid w:val="0078344C"/>
    <w:rsid w:val="0078345C"/>
    <w:rsid w:val="0078357B"/>
    <w:rsid w:val="0078394F"/>
    <w:rsid w:val="007839C8"/>
    <w:rsid w:val="00783B2F"/>
    <w:rsid w:val="007840F7"/>
    <w:rsid w:val="0078419C"/>
    <w:rsid w:val="007844D3"/>
    <w:rsid w:val="0078480E"/>
    <w:rsid w:val="00784A4A"/>
    <w:rsid w:val="00784C6C"/>
    <w:rsid w:val="00784CC3"/>
    <w:rsid w:val="00784F4A"/>
    <w:rsid w:val="0078541E"/>
    <w:rsid w:val="00785508"/>
    <w:rsid w:val="0078564B"/>
    <w:rsid w:val="00785F1B"/>
    <w:rsid w:val="00786088"/>
    <w:rsid w:val="007860BB"/>
    <w:rsid w:val="00786146"/>
    <w:rsid w:val="007861E9"/>
    <w:rsid w:val="007866DA"/>
    <w:rsid w:val="00786808"/>
    <w:rsid w:val="00786943"/>
    <w:rsid w:val="00786A0A"/>
    <w:rsid w:val="00786AC5"/>
    <w:rsid w:val="00786AD2"/>
    <w:rsid w:val="00786F48"/>
    <w:rsid w:val="007871B4"/>
    <w:rsid w:val="00787282"/>
    <w:rsid w:val="00787638"/>
    <w:rsid w:val="00787716"/>
    <w:rsid w:val="00787892"/>
    <w:rsid w:val="007878EB"/>
    <w:rsid w:val="00787B76"/>
    <w:rsid w:val="00787E1F"/>
    <w:rsid w:val="00790161"/>
    <w:rsid w:val="0079050D"/>
    <w:rsid w:val="007906FE"/>
    <w:rsid w:val="0079071E"/>
    <w:rsid w:val="00790BCB"/>
    <w:rsid w:val="00790BFA"/>
    <w:rsid w:val="00790DC2"/>
    <w:rsid w:val="00790FCC"/>
    <w:rsid w:val="007912D5"/>
    <w:rsid w:val="00791455"/>
    <w:rsid w:val="00791643"/>
    <w:rsid w:val="0079167D"/>
    <w:rsid w:val="007918F9"/>
    <w:rsid w:val="0079191B"/>
    <w:rsid w:val="00791982"/>
    <w:rsid w:val="007919D9"/>
    <w:rsid w:val="00792001"/>
    <w:rsid w:val="00792085"/>
    <w:rsid w:val="00792244"/>
    <w:rsid w:val="00792549"/>
    <w:rsid w:val="00792663"/>
    <w:rsid w:val="00792683"/>
    <w:rsid w:val="007926B3"/>
    <w:rsid w:val="00792AF0"/>
    <w:rsid w:val="00792B4D"/>
    <w:rsid w:val="00792C86"/>
    <w:rsid w:val="00792CB2"/>
    <w:rsid w:val="00792DD8"/>
    <w:rsid w:val="00792F51"/>
    <w:rsid w:val="007930DA"/>
    <w:rsid w:val="007931E7"/>
    <w:rsid w:val="007934F5"/>
    <w:rsid w:val="0079355C"/>
    <w:rsid w:val="007936E0"/>
    <w:rsid w:val="007936FF"/>
    <w:rsid w:val="007937B6"/>
    <w:rsid w:val="007938C2"/>
    <w:rsid w:val="00793AA1"/>
    <w:rsid w:val="00793C65"/>
    <w:rsid w:val="00793C6C"/>
    <w:rsid w:val="007940FA"/>
    <w:rsid w:val="00794198"/>
    <w:rsid w:val="007942E1"/>
    <w:rsid w:val="0079451E"/>
    <w:rsid w:val="007946DC"/>
    <w:rsid w:val="00794BC2"/>
    <w:rsid w:val="00794F3B"/>
    <w:rsid w:val="00795160"/>
    <w:rsid w:val="007952C6"/>
    <w:rsid w:val="007953C2"/>
    <w:rsid w:val="007953FD"/>
    <w:rsid w:val="00795720"/>
    <w:rsid w:val="00795853"/>
    <w:rsid w:val="007958DE"/>
    <w:rsid w:val="00796936"/>
    <w:rsid w:val="00796BFE"/>
    <w:rsid w:val="00796FED"/>
    <w:rsid w:val="00797032"/>
    <w:rsid w:val="007970D1"/>
    <w:rsid w:val="00797141"/>
    <w:rsid w:val="0079787D"/>
    <w:rsid w:val="007978A1"/>
    <w:rsid w:val="00797A18"/>
    <w:rsid w:val="00797C62"/>
    <w:rsid w:val="007A04BB"/>
    <w:rsid w:val="007A04CC"/>
    <w:rsid w:val="007A06EF"/>
    <w:rsid w:val="007A07FC"/>
    <w:rsid w:val="007A0910"/>
    <w:rsid w:val="007A092E"/>
    <w:rsid w:val="007A13D7"/>
    <w:rsid w:val="007A15F5"/>
    <w:rsid w:val="007A1682"/>
    <w:rsid w:val="007A17D7"/>
    <w:rsid w:val="007A1A32"/>
    <w:rsid w:val="007A1DE9"/>
    <w:rsid w:val="007A1FDA"/>
    <w:rsid w:val="007A21CF"/>
    <w:rsid w:val="007A2292"/>
    <w:rsid w:val="007A239A"/>
    <w:rsid w:val="007A2536"/>
    <w:rsid w:val="007A2612"/>
    <w:rsid w:val="007A27CC"/>
    <w:rsid w:val="007A287E"/>
    <w:rsid w:val="007A2F0A"/>
    <w:rsid w:val="007A2F60"/>
    <w:rsid w:val="007A3075"/>
    <w:rsid w:val="007A3189"/>
    <w:rsid w:val="007A32D7"/>
    <w:rsid w:val="007A33AC"/>
    <w:rsid w:val="007A36BB"/>
    <w:rsid w:val="007A3832"/>
    <w:rsid w:val="007A38A7"/>
    <w:rsid w:val="007A3BDF"/>
    <w:rsid w:val="007A3C5F"/>
    <w:rsid w:val="007A3CE4"/>
    <w:rsid w:val="007A3DF8"/>
    <w:rsid w:val="007A3E71"/>
    <w:rsid w:val="007A4132"/>
    <w:rsid w:val="007A4135"/>
    <w:rsid w:val="007A416E"/>
    <w:rsid w:val="007A4436"/>
    <w:rsid w:val="007A44E6"/>
    <w:rsid w:val="007A4ADF"/>
    <w:rsid w:val="007A5172"/>
    <w:rsid w:val="007A51F4"/>
    <w:rsid w:val="007A5235"/>
    <w:rsid w:val="007A533C"/>
    <w:rsid w:val="007A56E6"/>
    <w:rsid w:val="007A59FA"/>
    <w:rsid w:val="007A5A64"/>
    <w:rsid w:val="007A5D7F"/>
    <w:rsid w:val="007A5E32"/>
    <w:rsid w:val="007A5E3E"/>
    <w:rsid w:val="007A5E69"/>
    <w:rsid w:val="007A5EB7"/>
    <w:rsid w:val="007A5FDF"/>
    <w:rsid w:val="007A625F"/>
    <w:rsid w:val="007A653C"/>
    <w:rsid w:val="007A6626"/>
    <w:rsid w:val="007A6C93"/>
    <w:rsid w:val="007A6F1E"/>
    <w:rsid w:val="007A6FF0"/>
    <w:rsid w:val="007A7434"/>
    <w:rsid w:val="007A74B3"/>
    <w:rsid w:val="007A7681"/>
    <w:rsid w:val="007A77E4"/>
    <w:rsid w:val="007B066C"/>
    <w:rsid w:val="007B0872"/>
    <w:rsid w:val="007B0B67"/>
    <w:rsid w:val="007B0D73"/>
    <w:rsid w:val="007B0DD9"/>
    <w:rsid w:val="007B0FCF"/>
    <w:rsid w:val="007B1023"/>
    <w:rsid w:val="007B1731"/>
    <w:rsid w:val="007B1ACB"/>
    <w:rsid w:val="007B1BBF"/>
    <w:rsid w:val="007B1BF6"/>
    <w:rsid w:val="007B2027"/>
    <w:rsid w:val="007B213C"/>
    <w:rsid w:val="007B2163"/>
    <w:rsid w:val="007B237B"/>
    <w:rsid w:val="007B23FB"/>
    <w:rsid w:val="007B2967"/>
    <w:rsid w:val="007B29C0"/>
    <w:rsid w:val="007B2AAC"/>
    <w:rsid w:val="007B2AD3"/>
    <w:rsid w:val="007B2E3D"/>
    <w:rsid w:val="007B3169"/>
    <w:rsid w:val="007B3336"/>
    <w:rsid w:val="007B3474"/>
    <w:rsid w:val="007B374F"/>
    <w:rsid w:val="007B37EC"/>
    <w:rsid w:val="007B41E6"/>
    <w:rsid w:val="007B4207"/>
    <w:rsid w:val="007B420A"/>
    <w:rsid w:val="007B427A"/>
    <w:rsid w:val="007B42D6"/>
    <w:rsid w:val="007B43E4"/>
    <w:rsid w:val="007B444E"/>
    <w:rsid w:val="007B4525"/>
    <w:rsid w:val="007B48F9"/>
    <w:rsid w:val="007B49A5"/>
    <w:rsid w:val="007B4C2F"/>
    <w:rsid w:val="007B4F81"/>
    <w:rsid w:val="007B4FCE"/>
    <w:rsid w:val="007B5015"/>
    <w:rsid w:val="007B528B"/>
    <w:rsid w:val="007B5650"/>
    <w:rsid w:val="007B5808"/>
    <w:rsid w:val="007B5963"/>
    <w:rsid w:val="007B5BC6"/>
    <w:rsid w:val="007B5F83"/>
    <w:rsid w:val="007B6013"/>
    <w:rsid w:val="007B654B"/>
    <w:rsid w:val="007B66AA"/>
    <w:rsid w:val="007B6ACC"/>
    <w:rsid w:val="007B6ECE"/>
    <w:rsid w:val="007B72C9"/>
    <w:rsid w:val="007B7942"/>
    <w:rsid w:val="007B7B3D"/>
    <w:rsid w:val="007B7FE8"/>
    <w:rsid w:val="007C0062"/>
    <w:rsid w:val="007C0205"/>
    <w:rsid w:val="007C031E"/>
    <w:rsid w:val="007C044A"/>
    <w:rsid w:val="007C05D1"/>
    <w:rsid w:val="007C07F6"/>
    <w:rsid w:val="007C0A7A"/>
    <w:rsid w:val="007C1039"/>
    <w:rsid w:val="007C1170"/>
    <w:rsid w:val="007C18F2"/>
    <w:rsid w:val="007C1C06"/>
    <w:rsid w:val="007C1FFE"/>
    <w:rsid w:val="007C216A"/>
    <w:rsid w:val="007C2438"/>
    <w:rsid w:val="007C274B"/>
    <w:rsid w:val="007C2848"/>
    <w:rsid w:val="007C2853"/>
    <w:rsid w:val="007C285F"/>
    <w:rsid w:val="007C2D7F"/>
    <w:rsid w:val="007C30D7"/>
    <w:rsid w:val="007C331C"/>
    <w:rsid w:val="007C384F"/>
    <w:rsid w:val="007C387B"/>
    <w:rsid w:val="007C3FF9"/>
    <w:rsid w:val="007C4212"/>
    <w:rsid w:val="007C424A"/>
    <w:rsid w:val="007C43EB"/>
    <w:rsid w:val="007C4609"/>
    <w:rsid w:val="007C4723"/>
    <w:rsid w:val="007C4B82"/>
    <w:rsid w:val="007C4FA9"/>
    <w:rsid w:val="007C50BD"/>
    <w:rsid w:val="007C5134"/>
    <w:rsid w:val="007C529D"/>
    <w:rsid w:val="007C5343"/>
    <w:rsid w:val="007C550C"/>
    <w:rsid w:val="007C5B34"/>
    <w:rsid w:val="007C5F06"/>
    <w:rsid w:val="007C60E3"/>
    <w:rsid w:val="007C64C0"/>
    <w:rsid w:val="007C6648"/>
    <w:rsid w:val="007C6D69"/>
    <w:rsid w:val="007C6F92"/>
    <w:rsid w:val="007C70A2"/>
    <w:rsid w:val="007C72DA"/>
    <w:rsid w:val="007C7380"/>
    <w:rsid w:val="007C76EC"/>
    <w:rsid w:val="007C788A"/>
    <w:rsid w:val="007C78DC"/>
    <w:rsid w:val="007C7A32"/>
    <w:rsid w:val="007C7B35"/>
    <w:rsid w:val="007C7D6E"/>
    <w:rsid w:val="007D02EE"/>
    <w:rsid w:val="007D0574"/>
    <w:rsid w:val="007D067B"/>
    <w:rsid w:val="007D08CB"/>
    <w:rsid w:val="007D0C79"/>
    <w:rsid w:val="007D0C94"/>
    <w:rsid w:val="007D0D5A"/>
    <w:rsid w:val="007D0EBB"/>
    <w:rsid w:val="007D1260"/>
    <w:rsid w:val="007D13DC"/>
    <w:rsid w:val="007D1547"/>
    <w:rsid w:val="007D1560"/>
    <w:rsid w:val="007D1668"/>
    <w:rsid w:val="007D175C"/>
    <w:rsid w:val="007D1881"/>
    <w:rsid w:val="007D19EE"/>
    <w:rsid w:val="007D1AFE"/>
    <w:rsid w:val="007D1B4A"/>
    <w:rsid w:val="007D1CAE"/>
    <w:rsid w:val="007D1EA2"/>
    <w:rsid w:val="007D1FEF"/>
    <w:rsid w:val="007D22AD"/>
    <w:rsid w:val="007D2305"/>
    <w:rsid w:val="007D257F"/>
    <w:rsid w:val="007D261F"/>
    <w:rsid w:val="007D267D"/>
    <w:rsid w:val="007D2697"/>
    <w:rsid w:val="007D3360"/>
    <w:rsid w:val="007D33B4"/>
    <w:rsid w:val="007D3615"/>
    <w:rsid w:val="007D3771"/>
    <w:rsid w:val="007D37A4"/>
    <w:rsid w:val="007D46E5"/>
    <w:rsid w:val="007D46FF"/>
    <w:rsid w:val="007D496A"/>
    <w:rsid w:val="007D4C34"/>
    <w:rsid w:val="007D4DC7"/>
    <w:rsid w:val="007D4F49"/>
    <w:rsid w:val="007D5031"/>
    <w:rsid w:val="007D5240"/>
    <w:rsid w:val="007D52F5"/>
    <w:rsid w:val="007D546A"/>
    <w:rsid w:val="007D54A9"/>
    <w:rsid w:val="007D5580"/>
    <w:rsid w:val="007D57B3"/>
    <w:rsid w:val="007D5B58"/>
    <w:rsid w:val="007D5EB5"/>
    <w:rsid w:val="007D5F11"/>
    <w:rsid w:val="007D617D"/>
    <w:rsid w:val="007D623E"/>
    <w:rsid w:val="007D68A6"/>
    <w:rsid w:val="007D6DC8"/>
    <w:rsid w:val="007D6EEB"/>
    <w:rsid w:val="007D7100"/>
    <w:rsid w:val="007D7163"/>
    <w:rsid w:val="007D73F6"/>
    <w:rsid w:val="007D771C"/>
    <w:rsid w:val="007D7A5D"/>
    <w:rsid w:val="007D7AF5"/>
    <w:rsid w:val="007D7D55"/>
    <w:rsid w:val="007D7D84"/>
    <w:rsid w:val="007D7E77"/>
    <w:rsid w:val="007D7F7F"/>
    <w:rsid w:val="007E0247"/>
    <w:rsid w:val="007E03E8"/>
    <w:rsid w:val="007E06BE"/>
    <w:rsid w:val="007E0880"/>
    <w:rsid w:val="007E0973"/>
    <w:rsid w:val="007E09CA"/>
    <w:rsid w:val="007E0BDC"/>
    <w:rsid w:val="007E101F"/>
    <w:rsid w:val="007E1029"/>
    <w:rsid w:val="007E107C"/>
    <w:rsid w:val="007E108A"/>
    <w:rsid w:val="007E1138"/>
    <w:rsid w:val="007E1202"/>
    <w:rsid w:val="007E1224"/>
    <w:rsid w:val="007E1285"/>
    <w:rsid w:val="007E12EA"/>
    <w:rsid w:val="007E165E"/>
    <w:rsid w:val="007E168C"/>
    <w:rsid w:val="007E1832"/>
    <w:rsid w:val="007E2224"/>
    <w:rsid w:val="007E22C6"/>
    <w:rsid w:val="007E234B"/>
    <w:rsid w:val="007E2697"/>
    <w:rsid w:val="007E273F"/>
    <w:rsid w:val="007E2A29"/>
    <w:rsid w:val="007E2AA0"/>
    <w:rsid w:val="007E2D8A"/>
    <w:rsid w:val="007E2E9A"/>
    <w:rsid w:val="007E2FED"/>
    <w:rsid w:val="007E3323"/>
    <w:rsid w:val="007E356B"/>
    <w:rsid w:val="007E3916"/>
    <w:rsid w:val="007E3B7D"/>
    <w:rsid w:val="007E3D79"/>
    <w:rsid w:val="007E3F13"/>
    <w:rsid w:val="007E3F89"/>
    <w:rsid w:val="007E4095"/>
    <w:rsid w:val="007E4225"/>
    <w:rsid w:val="007E47FD"/>
    <w:rsid w:val="007E4803"/>
    <w:rsid w:val="007E4973"/>
    <w:rsid w:val="007E4A75"/>
    <w:rsid w:val="007E4CF8"/>
    <w:rsid w:val="007E4E01"/>
    <w:rsid w:val="007E5285"/>
    <w:rsid w:val="007E52C2"/>
    <w:rsid w:val="007E52DE"/>
    <w:rsid w:val="007E54C3"/>
    <w:rsid w:val="007E5546"/>
    <w:rsid w:val="007E5A7F"/>
    <w:rsid w:val="007E603E"/>
    <w:rsid w:val="007E6291"/>
    <w:rsid w:val="007E6308"/>
    <w:rsid w:val="007E641B"/>
    <w:rsid w:val="007E6467"/>
    <w:rsid w:val="007E64FD"/>
    <w:rsid w:val="007E64FE"/>
    <w:rsid w:val="007E6505"/>
    <w:rsid w:val="007E68DB"/>
    <w:rsid w:val="007E6B19"/>
    <w:rsid w:val="007E6B97"/>
    <w:rsid w:val="007E6DD3"/>
    <w:rsid w:val="007E6EB6"/>
    <w:rsid w:val="007E71BA"/>
    <w:rsid w:val="007E7334"/>
    <w:rsid w:val="007E7D1F"/>
    <w:rsid w:val="007E7E1E"/>
    <w:rsid w:val="007E7F4F"/>
    <w:rsid w:val="007F06D1"/>
    <w:rsid w:val="007F0F0D"/>
    <w:rsid w:val="007F1A3D"/>
    <w:rsid w:val="007F1B20"/>
    <w:rsid w:val="007F1EDF"/>
    <w:rsid w:val="007F22BD"/>
    <w:rsid w:val="007F22C9"/>
    <w:rsid w:val="007F2674"/>
    <w:rsid w:val="007F2720"/>
    <w:rsid w:val="007F285E"/>
    <w:rsid w:val="007F2CFF"/>
    <w:rsid w:val="007F30BE"/>
    <w:rsid w:val="007F35A6"/>
    <w:rsid w:val="007F3801"/>
    <w:rsid w:val="007F3965"/>
    <w:rsid w:val="007F3B87"/>
    <w:rsid w:val="007F3D89"/>
    <w:rsid w:val="007F3E11"/>
    <w:rsid w:val="007F3EA8"/>
    <w:rsid w:val="007F3F47"/>
    <w:rsid w:val="007F4120"/>
    <w:rsid w:val="007F41EB"/>
    <w:rsid w:val="007F44A3"/>
    <w:rsid w:val="007F44E9"/>
    <w:rsid w:val="007F457D"/>
    <w:rsid w:val="007F45D1"/>
    <w:rsid w:val="007F4688"/>
    <w:rsid w:val="007F470D"/>
    <w:rsid w:val="007F4786"/>
    <w:rsid w:val="007F48E6"/>
    <w:rsid w:val="007F4B03"/>
    <w:rsid w:val="007F4BC7"/>
    <w:rsid w:val="007F4D8A"/>
    <w:rsid w:val="007F4E95"/>
    <w:rsid w:val="007F4F12"/>
    <w:rsid w:val="007F533B"/>
    <w:rsid w:val="007F5A56"/>
    <w:rsid w:val="007F5B8D"/>
    <w:rsid w:val="007F5D80"/>
    <w:rsid w:val="007F6186"/>
    <w:rsid w:val="007F625C"/>
    <w:rsid w:val="007F649C"/>
    <w:rsid w:val="007F673B"/>
    <w:rsid w:val="007F6A98"/>
    <w:rsid w:val="007F6AD6"/>
    <w:rsid w:val="007F6C70"/>
    <w:rsid w:val="007F6E82"/>
    <w:rsid w:val="007F7576"/>
    <w:rsid w:val="007F7578"/>
    <w:rsid w:val="007F7621"/>
    <w:rsid w:val="007F78E5"/>
    <w:rsid w:val="007F7B5D"/>
    <w:rsid w:val="007F7B67"/>
    <w:rsid w:val="007F7F11"/>
    <w:rsid w:val="00800196"/>
    <w:rsid w:val="008002AE"/>
    <w:rsid w:val="0080043E"/>
    <w:rsid w:val="008004C8"/>
    <w:rsid w:val="0080069F"/>
    <w:rsid w:val="008007C2"/>
    <w:rsid w:val="008008E2"/>
    <w:rsid w:val="0080164A"/>
    <w:rsid w:val="00801726"/>
    <w:rsid w:val="00801ACC"/>
    <w:rsid w:val="008029D6"/>
    <w:rsid w:val="00802CE4"/>
    <w:rsid w:val="00802CF4"/>
    <w:rsid w:val="00802DFF"/>
    <w:rsid w:val="0080371B"/>
    <w:rsid w:val="00803B15"/>
    <w:rsid w:val="008046BA"/>
    <w:rsid w:val="0080486F"/>
    <w:rsid w:val="00804EE4"/>
    <w:rsid w:val="00804F93"/>
    <w:rsid w:val="00805339"/>
    <w:rsid w:val="00805896"/>
    <w:rsid w:val="00805CC9"/>
    <w:rsid w:val="00805CCD"/>
    <w:rsid w:val="00805CDA"/>
    <w:rsid w:val="00805EEA"/>
    <w:rsid w:val="00805F42"/>
    <w:rsid w:val="008064DB"/>
    <w:rsid w:val="00806722"/>
    <w:rsid w:val="00806C7A"/>
    <w:rsid w:val="00806F49"/>
    <w:rsid w:val="008073E0"/>
    <w:rsid w:val="008075C7"/>
    <w:rsid w:val="00807654"/>
    <w:rsid w:val="008076BA"/>
    <w:rsid w:val="00807DD1"/>
    <w:rsid w:val="00807F44"/>
    <w:rsid w:val="00810010"/>
    <w:rsid w:val="00810233"/>
    <w:rsid w:val="00810434"/>
    <w:rsid w:val="00810482"/>
    <w:rsid w:val="00810685"/>
    <w:rsid w:val="008106DB"/>
    <w:rsid w:val="0081099B"/>
    <w:rsid w:val="00810A68"/>
    <w:rsid w:val="00811145"/>
    <w:rsid w:val="0081153C"/>
    <w:rsid w:val="00811574"/>
    <w:rsid w:val="008122FF"/>
    <w:rsid w:val="00812486"/>
    <w:rsid w:val="00812678"/>
    <w:rsid w:val="008126C4"/>
    <w:rsid w:val="00812B0A"/>
    <w:rsid w:val="00812B87"/>
    <w:rsid w:val="00813032"/>
    <w:rsid w:val="00813137"/>
    <w:rsid w:val="008132A8"/>
    <w:rsid w:val="008133C3"/>
    <w:rsid w:val="00813785"/>
    <w:rsid w:val="00813817"/>
    <w:rsid w:val="00813A38"/>
    <w:rsid w:val="00813A73"/>
    <w:rsid w:val="00813DAE"/>
    <w:rsid w:val="00813DD4"/>
    <w:rsid w:val="008140A3"/>
    <w:rsid w:val="0081428B"/>
    <w:rsid w:val="008142AC"/>
    <w:rsid w:val="008147C8"/>
    <w:rsid w:val="0081498F"/>
    <w:rsid w:val="00814BEE"/>
    <w:rsid w:val="00814F5F"/>
    <w:rsid w:val="0081511A"/>
    <w:rsid w:val="00815274"/>
    <w:rsid w:val="008153ED"/>
    <w:rsid w:val="008155FE"/>
    <w:rsid w:val="0081582B"/>
    <w:rsid w:val="008158FC"/>
    <w:rsid w:val="00815C20"/>
    <w:rsid w:val="00815CC8"/>
    <w:rsid w:val="00815F18"/>
    <w:rsid w:val="00815F57"/>
    <w:rsid w:val="0081615C"/>
    <w:rsid w:val="00816435"/>
    <w:rsid w:val="008165BF"/>
    <w:rsid w:val="0081673F"/>
    <w:rsid w:val="00816B73"/>
    <w:rsid w:val="00816C0D"/>
    <w:rsid w:val="00816D22"/>
    <w:rsid w:val="00816D92"/>
    <w:rsid w:val="00817117"/>
    <w:rsid w:val="00817139"/>
    <w:rsid w:val="00817169"/>
    <w:rsid w:val="00817522"/>
    <w:rsid w:val="0081754E"/>
    <w:rsid w:val="00817A0E"/>
    <w:rsid w:val="00817DD6"/>
    <w:rsid w:val="008200AD"/>
    <w:rsid w:val="00820104"/>
    <w:rsid w:val="0082089D"/>
    <w:rsid w:val="00820A88"/>
    <w:rsid w:val="00820C5F"/>
    <w:rsid w:val="00820DCE"/>
    <w:rsid w:val="0082116E"/>
    <w:rsid w:val="0082176B"/>
    <w:rsid w:val="00821908"/>
    <w:rsid w:val="00822122"/>
    <w:rsid w:val="008222AF"/>
    <w:rsid w:val="008222DD"/>
    <w:rsid w:val="00822470"/>
    <w:rsid w:val="00822846"/>
    <w:rsid w:val="00822C3C"/>
    <w:rsid w:val="00822CBF"/>
    <w:rsid w:val="0082318D"/>
    <w:rsid w:val="00823856"/>
    <w:rsid w:val="008238D3"/>
    <w:rsid w:val="00823917"/>
    <w:rsid w:val="00823C9C"/>
    <w:rsid w:val="00824188"/>
    <w:rsid w:val="0082480C"/>
    <w:rsid w:val="00824AF0"/>
    <w:rsid w:val="00824B6F"/>
    <w:rsid w:val="00825030"/>
    <w:rsid w:val="0082543F"/>
    <w:rsid w:val="00825CC6"/>
    <w:rsid w:val="00825DC8"/>
    <w:rsid w:val="00825F80"/>
    <w:rsid w:val="00826536"/>
    <w:rsid w:val="008265A4"/>
    <w:rsid w:val="0082676C"/>
    <w:rsid w:val="00826A9B"/>
    <w:rsid w:val="00826B27"/>
    <w:rsid w:val="00826C4F"/>
    <w:rsid w:val="008270AC"/>
    <w:rsid w:val="00830155"/>
    <w:rsid w:val="00830197"/>
    <w:rsid w:val="00830300"/>
    <w:rsid w:val="00830C15"/>
    <w:rsid w:val="00831089"/>
    <w:rsid w:val="00831356"/>
    <w:rsid w:val="0083169D"/>
    <w:rsid w:val="008316BD"/>
    <w:rsid w:val="0083181A"/>
    <w:rsid w:val="008319D7"/>
    <w:rsid w:val="00831EBA"/>
    <w:rsid w:val="00831F38"/>
    <w:rsid w:val="0083203B"/>
    <w:rsid w:val="008320D0"/>
    <w:rsid w:val="00832239"/>
    <w:rsid w:val="00832F00"/>
    <w:rsid w:val="00832FA2"/>
    <w:rsid w:val="0083323D"/>
    <w:rsid w:val="00833312"/>
    <w:rsid w:val="00833429"/>
    <w:rsid w:val="00833A89"/>
    <w:rsid w:val="00833E50"/>
    <w:rsid w:val="00833F82"/>
    <w:rsid w:val="00833FC5"/>
    <w:rsid w:val="0083420E"/>
    <w:rsid w:val="00834309"/>
    <w:rsid w:val="008345DF"/>
    <w:rsid w:val="008345E8"/>
    <w:rsid w:val="00834680"/>
    <w:rsid w:val="00834BAE"/>
    <w:rsid w:val="00834C9E"/>
    <w:rsid w:val="00834E10"/>
    <w:rsid w:val="00834E9A"/>
    <w:rsid w:val="00834F00"/>
    <w:rsid w:val="00834F6E"/>
    <w:rsid w:val="00835000"/>
    <w:rsid w:val="008352BF"/>
    <w:rsid w:val="008352CF"/>
    <w:rsid w:val="0083530C"/>
    <w:rsid w:val="0083533D"/>
    <w:rsid w:val="008353CA"/>
    <w:rsid w:val="008354FE"/>
    <w:rsid w:val="008359B9"/>
    <w:rsid w:val="00835A0A"/>
    <w:rsid w:val="00835B40"/>
    <w:rsid w:val="00835B4C"/>
    <w:rsid w:val="00835FC4"/>
    <w:rsid w:val="008363C9"/>
    <w:rsid w:val="00836682"/>
    <w:rsid w:val="008367AB"/>
    <w:rsid w:val="00836C1F"/>
    <w:rsid w:val="00836F92"/>
    <w:rsid w:val="008370AF"/>
    <w:rsid w:val="008376C8"/>
    <w:rsid w:val="008378D8"/>
    <w:rsid w:val="00840584"/>
    <w:rsid w:val="00840918"/>
    <w:rsid w:val="00840B6A"/>
    <w:rsid w:val="00840FE9"/>
    <w:rsid w:val="008410FE"/>
    <w:rsid w:val="0084122E"/>
    <w:rsid w:val="0084143F"/>
    <w:rsid w:val="0084165A"/>
    <w:rsid w:val="008419AE"/>
    <w:rsid w:val="00841E30"/>
    <w:rsid w:val="00841E74"/>
    <w:rsid w:val="008422DF"/>
    <w:rsid w:val="0084249B"/>
    <w:rsid w:val="00842600"/>
    <w:rsid w:val="008427D1"/>
    <w:rsid w:val="00842865"/>
    <w:rsid w:val="00842C48"/>
    <w:rsid w:val="0084328A"/>
    <w:rsid w:val="008432FF"/>
    <w:rsid w:val="008435CB"/>
    <w:rsid w:val="00843600"/>
    <w:rsid w:val="0084370D"/>
    <w:rsid w:val="00843759"/>
    <w:rsid w:val="00843804"/>
    <w:rsid w:val="00843893"/>
    <w:rsid w:val="008438CF"/>
    <w:rsid w:val="008438E7"/>
    <w:rsid w:val="00843AEB"/>
    <w:rsid w:val="00843B41"/>
    <w:rsid w:val="008440A5"/>
    <w:rsid w:val="0084421E"/>
    <w:rsid w:val="008442BB"/>
    <w:rsid w:val="008444DB"/>
    <w:rsid w:val="00844721"/>
    <w:rsid w:val="0084477E"/>
    <w:rsid w:val="008448C1"/>
    <w:rsid w:val="00844928"/>
    <w:rsid w:val="00844F75"/>
    <w:rsid w:val="00845013"/>
    <w:rsid w:val="00845065"/>
    <w:rsid w:val="0084538D"/>
    <w:rsid w:val="008453B1"/>
    <w:rsid w:val="0084541C"/>
    <w:rsid w:val="0084548A"/>
    <w:rsid w:val="00845AB5"/>
    <w:rsid w:val="0084638B"/>
    <w:rsid w:val="00846488"/>
    <w:rsid w:val="00846BCE"/>
    <w:rsid w:val="00846CB5"/>
    <w:rsid w:val="00846CF7"/>
    <w:rsid w:val="00846F1B"/>
    <w:rsid w:val="00846F2B"/>
    <w:rsid w:val="00846FDA"/>
    <w:rsid w:val="00846FFB"/>
    <w:rsid w:val="0084759C"/>
    <w:rsid w:val="00847BA9"/>
    <w:rsid w:val="00847D56"/>
    <w:rsid w:val="00847DC5"/>
    <w:rsid w:val="00847DCA"/>
    <w:rsid w:val="00847DD0"/>
    <w:rsid w:val="00850393"/>
    <w:rsid w:val="00850547"/>
    <w:rsid w:val="00850583"/>
    <w:rsid w:val="0085094E"/>
    <w:rsid w:val="008509D9"/>
    <w:rsid w:val="00850DF3"/>
    <w:rsid w:val="0085104B"/>
    <w:rsid w:val="0085136A"/>
    <w:rsid w:val="00851F13"/>
    <w:rsid w:val="0085201B"/>
    <w:rsid w:val="008525AC"/>
    <w:rsid w:val="0085268F"/>
    <w:rsid w:val="008529E0"/>
    <w:rsid w:val="00852ABD"/>
    <w:rsid w:val="00853029"/>
    <w:rsid w:val="00853123"/>
    <w:rsid w:val="0085358D"/>
    <w:rsid w:val="0085374C"/>
    <w:rsid w:val="008537E0"/>
    <w:rsid w:val="00853CA2"/>
    <w:rsid w:val="00853DD0"/>
    <w:rsid w:val="008540F8"/>
    <w:rsid w:val="00854373"/>
    <w:rsid w:val="00854589"/>
    <w:rsid w:val="00854612"/>
    <w:rsid w:val="00854792"/>
    <w:rsid w:val="00854DAC"/>
    <w:rsid w:val="00854FC6"/>
    <w:rsid w:val="00855348"/>
    <w:rsid w:val="008558CC"/>
    <w:rsid w:val="00855CB8"/>
    <w:rsid w:val="00855DBE"/>
    <w:rsid w:val="00855FF6"/>
    <w:rsid w:val="0085612F"/>
    <w:rsid w:val="0085631D"/>
    <w:rsid w:val="00856579"/>
    <w:rsid w:val="008565D1"/>
    <w:rsid w:val="00856704"/>
    <w:rsid w:val="00856820"/>
    <w:rsid w:val="008568E6"/>
    <w:rsid w:val="00856F5C"/>
    <w:rsid w:val="0085787E"/>
    <w:rsid w:val="00857889"/>
    <w:rsid w:val="00857B1D"/>
    <w:rsid w:val="008606A4"/>
    <w:rsid w:val="00860CB5"/>
    <w:rsid w:val="00860D85"/>
    <w:rsid w:val="00860DC0"/>
    <w:rsid w:val="00860F04"/>
    <w:rsid w:val="008612EE"/>
    <w:rsid w:val="0086132A"/>
    <w:rsid w:val="008615DB"/>
    <w:rsid w:val="0086186B"/>
    <w:rsid w:val="00861AD3"/>
    <w:rsid w:val="00861B97"/>
    <w:rsid w:val="00861D8D"/>
    <w:rsid w:val="00861D95"/>
    <w:rsid w:val="00861ED9"/>
    <w:rsid w:val="0086201D"/>
    <w:rsid w:val="00862361"/>
    <w:rsid w:val="0086262B"/>
    <w:rsid w:val="00862749"/>
    <w:rsid w:val="0086276C"/>
    <w:rsid w:val="008627C1"/>
    <w:rsid w:val="008627C7"/>
    <w:rsid w:val="00862A33"/>
    <w:rsid w:val="00862AE9"/>
    <w:rsid w:val="00862BCB"/>
    <w:rsid w:val="00862D5F"/>
    <w:rsid w:val="00862D95"/>
    <w:rsid w:val="00862E2E"/>
    <w:rsid w:val="0086318D"/>
    <w:rsid w:val="0086363F"/>
    <w:rsid w:val="00863AAB"/>
    <w:rsid w:val="00863E9F"/>
    <w:rsid w:val="0086406C"/>
    <w:rsid w:val="008640B1"/>
    <w:rsid w:val="00864135"/>
    <w:rsid w:val="008642C6"/>
    <w:rsid w:val="0086444E"/>
    <w:rsid w:val="00864467"/>
    <w:rsid w:val="00864B59"/>
    <w:rsid w:val="00864F3F"/>
    <w:rsid w:val="00865034"/>
    <w:rsid w:val="00865111"/>
    <w:rsid w:val="00865298"/>
    <w:rsid w:val="008654FD"/>
    <w:rsid w:val="008655D4"/>
    <w:rsid w:val="00865686"/>
    <w:rsid w:val="008656AB"/>
    <w:rsid w:val="008658EA"/>
    <w:rsid w:val="00865B9E"/>
    <w:rsid w:val="00865D9E"/>
    <w:rsid w:val="00865DA3"/>
    <w:rsid w:val="00865DBB"/>
    <w:rsid w:val="00865DCC"/>
    <w:rsid w:val="00865DFB"/>
    <w:rsid w:val="00865FF6"/>
    <w:rsid w:val="00866019"/>
    <w:rsid w:val="008660EE"/>
    <w:rsid w:val="008661E3"/>
    <w:rsid w:val="00866359"/>
    <w:rsid w:val="0086645D"/>
    <w:rsid w:val="00866580"/>
    <w:rsid w:val="0086666D"/>
    <w:rsid w:val="00866892"/>
    <w:rsid w:val="00866952"/>
    <w:rsid w:val="00866C6A"/>
    <w:rsid w:val="00866D76"/>
    <w:rsid w:val="00866E31"/>
    <w:rsid w:val="00866E65"/>
    <w:rsid w:val="00866F38"/>
    <w:rsid w:val="00866FED"/>
    <w:rsid w:val="008670FC"/>
    <w:rsid w:val="00867215"/>
    <w:rsid w:val="00867254"/>
    <w:rsid w:val="00867326"/>
    <w:rsid w:val="008673D6"/>
    <w:rsid w:val="00867498"/>
    <w:rsid w:val="008674B7"/>
    <w:rsid w:val="008676FC"/>
    <w:rsid w:val="00867C38"/>
    <w:rsid w:val="00867C75"/>
    <w:rsid w:val="00867CAD"/>
    <w:rsid w:val="00867D09"/>
    <w:rsid w:val="00867E36"/>
    <w:rsid w:val="008700FA"/>
    <w:rsid w:val="00870284"/>
    <w:rsid w:val="008702AD"/>
    <w:rsid w:val="00870313"/>
    <w:rsid w:val="008705F9"/>
    <w:rsid w:val="00870867"/>
    <w:rsid w:val="008708B8"/>
    <w:rsid w:val="00870A7A"/>
    <w:rsid w:val="00870AD6"/>
    <w:rsid w:val="00870B3F"/>
    <w:rsid w:val="00870C13"/>
    <w:rsid w:val="008710EE"/>
    <w:rsid w:val="00871241"/>
    <w:rsid w:val="0087131C"/>
    <w:rsid w:val="0087149B"/>
    <w:rsid w:val="008718CA"/>
    <w:rsid w:val="00871DD7"/>
    <w:rsid w:val="00871F0B"/>
    <w:rsid w:val="008720E8"/>
    <w:rsid w:val="00872206"/>
    <w:rsid w:val="0087220C"/>
    <w:rsid w:val="00872212"/>
    <w:rsid w:val="008722BA"/>
    <w:rsid w:val="00872743"/>
    <w:rsid w:val="008727BC"/>
    <w:rsid w:val="00872961"/>
    <w:rsid w:val="00872EF9"/>
    <w:rsid w:val="00873175"/>
    <w:rsid w:val="008732FE"/>
    <w:rsid w:val="00873392"/>
    <w:rsid w:val="008735F4"/>
    <w:rsid w:val="00873BF5"/>
    <w:rsid w:val="00873EC0"/>
    <w:rsid w:val="00873F2B"/>
    <w:rsid w:val="00874008"/>
    <w:rsid w:val="008740BD"/>
    <w:rsid w:val="00874180"/>
    <w:rsid w:val="008743F3"/>
    <w:rsid w:val="00874662"/>
    <w:rsid w:val="00874762"/>
    <w:rsid w:val="008747C0"/>
    <w:rsid w:val="008748D1"/>
    <w:rsid w:val="0087491B"/>
    <w:rsid w:val="00874B4F"/>
    <w:rsid w:val="00874DD2"/>
    <w:rsid w:val="0087509B"/>
    <w:rsid w:val="00875174"/>
    <w:rsid w:val="0087546D"/>
    <w:rsid w:val="00875890"/>
    <w:rsid w:val="00875902"/>
    <w:rsid w:val="00875A5F"/>
    <w:rsid w:val="00875B86"/>
    <w:rsid w:val="00875BD5"/>
    <w:rsid w:val="00875BFB"/>
    <w:rsid w:val="00875C1F"/>
    <w:rsid w:val="00876227"/>
    <w:rsid w:val="00876252"/>
    <w:rsid w:val="008764AD"/>
    <w:rsid w:val="00876531"/>
    <w:rsid w:val="008765B9"/>
    <w:rsid w:val="0087693F"/>
    <w:rsid w:val="00876A2A"/>
    <w:rsid w:val="00876A96"/>
    <w:rsid w:val="00876ABC"/>
    <w:rsid w:val="00876DD9"/>
    <w:rsid w:val="00876E9C"/>
    <w:rsid w:val="0087708B"/>
    <w:rsid w:val="00877791"/>
    <w:rsid w:val="00877947"/>
    <w:rsid w:val="00877A24"/>
    <w:rsid w:val="00877AAB"/>
    <w:rsid w:val="00877B52"/>
    <w:rsid w:val="00877BB6"/>
    <w:rsid w:val="00877C53"/>
    <w:rsid w:val="008806F2"/>
    <w:rsid w:val="008808E6"/>
    <w:rsid w:val="00880B55"/>
    <w:rsid w:val="00880BBA"/>
    <w:rsid w:val="00880BDA"/>
    <w:rsid w:val="00880DBD"/>
    <w:rsid w:val="00880FA9"/>
    <w:rsid w:val="0088101A"/>
    <w:rsid w:val="0088114D"/>
    <w:rsid w:val="0088115A"/>
    <w:rsid w:val="008819F9"/>
    <w:rsid w:val="00881A25"/>
    <w:rsid w:val="00881B30"/>
    <w:rsid w:val="00881BFE"/>
    <w:rsid w:val="00881D3E"/>
    <w:rsid w:val="00881D9A"/>
    <w:rsid w:val="00881E0C"/>
    <w:rsid w:val="00882063"/>
    <w:rsid w:val="00882065"/>
    <w:rsid w:val="0088224E"/>
    <w:rsid w:val="008824EE"/>
    <w:rsid w:val="008826C9"/>
    <w:rsid w:val="008827F6"/>
    <w:rsid w:val="00882B77"/>
    <w:rsid w:val="00882C78"/>
    <w:rsid w:val="00882ED8"/>
    <w:rsid w:val="00882F97"/>
    <w:rsid w:val="0088300F"/>
    <w:rsid w:val="00883156"/>
    <w:rsid w:val="00883235"/>
    <w:rsid w:val="00883661"/>
    <w:rsid w:val="0088380D"/>
    <w:rsid w:val="008839B8"/>
    <w:rsid w:val="00883C1B"/>
    <w:rsid w:val="00884314"/>
    <w:rsid w:val="0088446F"/>
    <w:rsid w:val="00884501"/>
    <w:rsid w:val="0088462A"/>
    <w:rsid w:val="00884717"/>
    <w:rsid w:val="0088488E"/>
    <w:rsid w:val="00884A4D"/>
    <w:rsid w:val="00884A63"/>
    <w:rsid w:val="00884CE6"/>
    <w:rsid w:val="00884D18"/>
    <w:rsid w:val="00884FDB"/>
    <w:rsid w:val="00885088"/>
    <w:rsid w:val="00885AD5"/>
    <w:rsid w:val="00885C49"/>
    <w:rsid w:val="00885D58"/>
    <w:rsid w:val="008860A3"/>
    <w:rsid w:val="0088616A"/>
    <w:rsid w:val="008862AF"/>
    <w:rsid w:val="0088674B"/>
    <w:rsid w:val="00886876"/>
    <w:rsid w:val="00886901"/>
    <w:rsid w:val="008869F9"/>
    <w:rsid w:val="00886DA4"/>
    <w:rsid w:val="008870F2"/>
    <w:rsid w:val="00887482"/>
    <w:rsid w:val="00887775"/>
    <w:rsid w:val="00887B1F"/>
    <w:rsid w:val="00887BC6"/>
    <w:rsid w:val="00887C30"/>
    <w:rsid w:val="00887CCF"/>
    <w:rsid w:val="00887F32"/>
    <w:rsid w:val="00890364"/>
    <w:rsid w:val="0089076C"/>
    <w:rsid w:val="00890C9F"/>
    <w:rsid w:val="008912C9"/>
    <w:rsid w:val="008916D7"/>
    <w:rsid w:val="008918DE"/>
    <w:rsid w:val="00891941"/>
    <w:rsid w:val="00891970"/>
    <w:rsid w:val="00891F9C"/>
    <w:rsid w:val="00892152"/>
    <w:rsid w:val="00892180"/>
    <w:rsid w:val="008921EE"/>
    <w:rsid w:val="00892328"/>
    <w:rsid w:val="008925C3"/>
    <w:rsid w:val="00892600"/>
    <w:rsid w:val="00892812"/>
    <w:rsid w:val="00892861"/>
    <w:rsid w:val="00892913"/>
    <w:rsid w:val="00892E2E"/>
    <w:rsid w:val="00893078"/>
    <w:rsid w:val="0089328F"/>
    <w:rsid w:val="008933FB"/>
    <w:rsid w:val="00893403"/>
    <w:rsid w:val="008934AD"/>
    <w:rsid w:val="0089356A"/>
    <w:rsid w:val="0089360C"/>
    <w:rsid w:val="0089379A"/>
    <w:rsid w:val="0089398F"/>
    <w:rsid w:val="008939D1"/>
    <w:rsid w:val="00893DB5"/>
    <w:rsid w:val="00893E08"/>
    <w:rsid w:val="00893F43"/>
    <w:rsid w:val="00893FCB"/>
    <w:rsid w:val="00894634"/>
    <w:rsid w:val="00894710"/>
    <w:rsid w:val="00894A29"/>
    <w:rsid w:val="00894B26"/>
    <w:rsid w:val="00894B92"/>
    <w:rsid w:val="00894BDC"/>
    <w:rsid w:val="00894F08"/>
    <w:rsid w:val="008950DB"/>
    <w:rsid w:val="0089546E"/>
    <w:rsid w:val="008957FD"/>
    <w:rsid w:val="00895A48"/>
    <w:rsid w:val="00895D9B"/>
    <w:rsid w:val="00895F41"/>
    <w:rsid w:val="00895F86"/>
    <w:rsid w:val="008963BD"/>
    <w:rsid w:val="00896570"/>
    <w:rsid w:val="00896A19"/>
    <w:rsid w:val="00896A4E"/>
    <w:rsid w:val="00896B9F"/>
    <w:rsid w:val="00896C54"/>
    <w:rsid w:val="00896D2F"/>
    <w:rsid w:val="00897123"/>
    <w:rsid w:val="0089722A"/>
    <w:rsid w:val="0089733E"/>
    <w:rsid w:val="008973E3"/>
    <w:rsid w:val="00897511"/>
    <w:rsid w:val="00897624"/>
    <w:rsid w:val="00897750"/>
    <w:rsid w:val="00897772"/>
    <w:rsid w:val="00897A25"/>
    <w:rsid w:val="00897BFF"/>
    <w:rsid w:val="008A0094"/>
    <w:rsid w:val="008A0213"/>
    <w:rsid w:val="008A02B2"/>
    <w:rsid w:val="008A123C"/>
    <w:rsid w:val="008A132D"/>
    <w:rsid w:val="008A1586"/>
    <w:rsid w:val="008A195D"/>
    <w:rsid w:val="008A1A9E"/>
    <w:rsid w:val="008A1C88"/>
    <w:rsid w:val="008A1D1A"/>
    <w:rsid w:val="008A225A"/>
    <w:rsid w:val="008A24CA"/>
    <w:rsid w:val="008A2729"/>
    <w:rsid w:val="008A28C2"/>
    <w:rsid w:val="008A2938"/>
    <w:rsid w:val="008A2A11"/>
    <w:rsid w:val="008A2C67"/>
    <w:rsid w:val="008A350F"/>
    <w:rsid w:val="008A386C"/>
    <w:rsid w:val="008A3872"/>
    <w:rsid w:val="008A3A8C"/>
    <w:rsid w:val="008A3B7F"/>
    <w:rsid w:val="008A3E91"/>
    <w:rsid w:val="008A4078"/>
    <w:rsid w:val="008A41D4"/>
    <w:rsid w:val="008A4257"/>
    <w:rsid w:val="008A4350"/>
    <w:rsid w:val="008A44FF"/>
    <w:rsid w:val="008A5633"/>
    <w:rsid w:val="008A57E4"/>
    <w:rsid w:val="008A58DC"/>
    <w:rsid w:val="008A5928"/>
    <w:rsid w:val="008A6257"/>
    <w:rsid w:val="008A669F"/>
    <w:rsid w:val="008A687E"/>
    <w:rsid w:val="008A6AB5"/>
    <w:rsid w:val="008A6ABB"/>
    <w:rsid w:val="008A6C5D"/>
    <w:rsid w:val="008A7019"/>
    <w:rsid w:val="008A7240"/>
    <w:rsid w:val="008A76BF"/>
    <w:rsid w:val="008A785B"/>
    <w:rsid w:val="008A78EC"/>
    <w:rsid w:val="008A7934"/>
    <w:rsid w:val="008A7A96"/>
    <w:rsid w:val="008A7C64"/>
    <w:rsid w:val="008A7D6F"/>
    <w:rsid w:val="008A7D73"/>
    <w:rsid w:val="008A7DB1"/>
    <w:rsid w:val="008B0172"/>
    <w:rsid w:val="008B0AF9"/>
    <w:rsid w:val="008B0C86"/>
    <w:rsid w:val="008B0FA9"/>
    <w:rsid w:val="008B1081"/>
    <w:rsid w:val="008B10FE"/>
    <w:rsid w:val="008B19F7"/>
    <w:rsid w:val="008B1A7D"/>
    <w:rsid w:val="008B1CDE"/>
    <w:rsid w:val="008B1CDF"/>
    <w:rsid w:val="008B1F39"/>
    <w:rsid w:val="008B1F9B"/>
    <w:rsid w:val="008B2192"/>
    <w:rsid w:val="008B23A5"/>
    <w:rsid w:val="008B28B4"/>
    <w:rsid w:val="008B2AB5"/>
    <w:rsid w:val="008B2B78"/>
    <w:rsid w:val="008B2CB8"/>
    <w:rsid w:val="008B2D67"/>
    <w:rsid w:val="008B2D86"/>
    <w:rsid w:val="008B2F49"/>
    <w:rsid w:val="008B301B"/>
    <w:rsid w:val="008B3036"/>
    <w:rsid w:val="008B31E5"/>
    <w:rsid w:val="008B342B"/>
    <w:rsid w:val="008B3468"/>
    <w:rsid w:val="008B369F"/>
    <w:rsid w:val="008B3778"/>
    <w:rsid w:val="008B404D"/>
    <w:rsid w:val="008B44D3"/>
    <w:rsid w:val="008B45EC"/>
    <w:rsid w:val="008B4673"/>
    <w:rsid w:val="008B4EEA"/>
    <w:rsid w:val="008B50B2"/>
    <w:rsid w:val="008B51A4"/>
    <w:rsid w:val="008B52A6"/>
    <w:rsid w:val="008B530B"/>
    <w:rsid w:val="008B53AE"/>
    <w:rsid w:val="008B54E1"/>
    <w:rsid w:val="008B570B"/>
    <w:rsid w:val="008B577C"/>
    <w:rsid w:val="008B58E0"/>
    <w:rsid w:val="008B5B05"/>
    <w:rsid w:val="008B66F3"/>
    <w:rsid w:val="008B680D"/>
    <w:rsid w:val="008B6DC6"/>
    <w:rsid w:val="008B6F2D"/>
    <w:rsid w:val="008B6F80"/>
    <w:rsid w:val="008B70F9"/>
    <w:rsid w:val="008B7141"/>
    <w:rsid w:val="008B7276"/>
    <w:rsid w:val="008B731F"/>
    <w:rsid w:val="008B7983"/>
    <w:rsid w:val="008C0110"/>
    <w:rsid w:val="008C0188"/>
    <w:rsid w:val="008C034B"/>
    <w:rsid w:val="008C03B8"/>
    <w:rsid w:val="008C05CD"/>
    <w:rsid w:val="008C06C9"/>
    <w:rsid w:val="008C0761"/>
    <w:rsid w:val="008C0C3B"/>
    <w:rsid w:val="008C0D3B"/>
    <w:rsid w:val="008C0DB1"/>
    <w:rsid w:val="008C0E44"/>
    <w:rsid w:val="008C10BB"/>
    <w:rsid w:val="008C1123"/>
    <w:rsid w:val="008C117A"/>
    <w:rsid w:val="008C1794"/>
    <w:rsid w:val="008C1842"/>
    <w:rsid w:val="008C18E8"/>
    <w:rsid w:val="008C1946"/>
    <w:rsid w:val="008C1AC4"/>
    <w:rsid w:val="008C1C2C"/>
    <w:rsid w:val="008C1E8F"/>
    <w:rsid w:val="008C21CF"/>
    <w:rsid w:val="008C22D1"/>
    <w:rsid w:val="008C23EB"/>
    <w:rsid w:val="008C25A5"/>
    <w:rsid w:val="008C26CE"/>
    <w:rsid w:val="008C28AD"/>
    <w:rsid w:val="008C2B9D"/>
    <w:rsid w:val="008C2CE2"/>
    <w:rsid w:val="008C2E1B"/>
    <w:rsid w:val="008C2FFB"/>
    <w:rsid w:val="008C30C1"/>
    <w:rsid w:val="008C32FE"/>
    <w:rsid w:val="008C33E1"/>
    <w:rsid w:val="008C34CC"/>
    <w:rsid w:val="008C3604"/>
    <w:rsid w:val="008C3740"/>
    <w:rsid w:val="008C3786"/>
    <w:rsid w:val="008C3D00"/>
    <w:rsid w:val="008C41EC"/>
    <w:rsid w:val="008C43A6"/>
    <w:rsid w:val="008C47F5"/>
    <w:rsid w:val="008C4DF8"/>
    <w:rsid w:val="008C4DFE"/>
    <w:rsid w:val="008C51CB"/>
    <w:rsid w:val="008C567E"/>
    <w:rsid w:val="008C592E"/>
    <w:rsid w:val="008C5AE8"/>
    <w:rsid w:val="008C5C28"/>
    <w:rsid w:val="008C5E6B"/>
    <w:rsid w:val="008C5F4D"/>
    <w:rsid w:val="008C6470"/>
    <w:rsid w:val="008C66D1"/>
    <w:rsid w:val="008C69B3"/>
    <w:rsid w:val="008C6B8F"/>
    <w:rsid w:val="008C6C52"/>
    <w:rsid w:val="008C77A9"/>
    <w:rsid w:val="008C7C0F"/>
    <w:rsid w:val="008C7E24"/>
    <w:rsid w:val="008C7F17"/>
    <w:rsid w:val="008D0337"/>
    <w:rsid w:val="008D0818"/>
    <w:rsid w:val="008D0A1B"/>
    <w:rsid w:val="008D0D5B"/>
    <w:rsid w:val="008D0E57"/>
    <w:rsid w:val="008D12B0"/>
    <w:rsid w:val="008D164D"/>
    <w:rsid w:val="008D1C35"/>
    <w:rsid w:val="008D1C71"/>
    <w:rsid w:val="008D1CAE"/>
    <w:rsid w:val="008D1E4A"/>
    <w:rsid w:val="008D1EDE"/>
    <w:rsid w:val="008D2110"/>
    <w:rsid w:val="008D2189"/>
    <w:rsid w:val="008D220B"/>
    <w:rsid w:val="008D24C4"/>
    <w:rsid w:val="008D24E7"/>
    <w:rsid w:val="008D253C"/>
    <w:rsid w:val="008D27F8"/>
    <w:rsid w:val="008D2B44"/>
    <w:rsid w:val="008D2E93"/>
    <w:rsid w:val="008D2F05"/>
    <w:rsid w:val="008D2FC6"/>
    <w:rsid w:val="008D30D8"/>
    <w:rsid w:val="008D3283"/>
    <w:rsid w:val="008D3434"/>
    <w:rsid w:val="008D373A"/>
    <w:rsid w:val="008D39D7"/>
    <w:rsid w:val="008D39EC"/>
    <w:rsid w:val="008D3EC8"/>
    <w:rsid w:val="008D4032"/>
    <w:rsid w:val="008D410C"/>
    <w:rsid w:val="008D462A"/>
    <w:rsid w:val="008D4640"/>
    <w:rsid w:val="008D48D5"/>
    <w:rsid w:val="008D490A"/>
    <w:rsid w:val="008D4A94"/>
    <w:rsid w:val="008D4C57"/>
    <w:rsid w:val="008D4DDA"/>
    <w:rsid w:val="008D4E55"/>
    <w:rsid w:val="008D4FE9"/>
    <w:rsid w:val="008D52D6"/>
    <w:rsid w:val="008D53D5"/>
    <w:rsid w:val="008D5509"/>
    <w:rsid w:val="008D59F0"/>
    <w:rsid w:val="008D5A42"/>
    <w:rsid w:val="008D5B9C"/>
    <w:rsid w:val="008D5C13"/>
    <w:rsid w:val="008D5ED6"/>
    <w:rsid w:val="008D5F36"/>
    <w:rsid w:val="008D6454"/>
    <w:rsid w:val="008D6A06"/>
    <w:rsid w:val="008D6A52"/>
    <w:rsid w:val="008D6AAF"/>
    <w:rsid w:val="008D6EDC"/>
    <w:rsid w:val="008D7018"/>
    <w:rsid w:val="008D704F"/>
    <w:rsid w:val="008D70C1"/>
    <w:rsid w:val="008D7262"/>
    <w:rsid w:val="008D7343"/>
    <w:rsid w:val="008D744C"/>
    <w:rsid w:val="008D77EC"/>
    <w:rsid w:val="008D7BCC"/>
    <w:rsid w:val="008D7CB9"/>
    <w:rsid w:val="008D7D2F"/>
    <w:rsid w:val="008D7DB8"/>
    <w:rsid w:val="008D7DE1"/>
    <w:rsid w:val="008E0094"/>
    <w:rsid w:val="008E0278"/>
    <w:rsid w:val="008E02B7"/>
    <w:rsid w:val="008E04CA"/>
    <w:rsid w:val="008E0583"/>
    <w:rsid w:val="008E0974"/>
    <w:rsid w:val="008E0A3D"/>
    <w:rsid w:val="008E0B1A"/>
    <w:rsid w:val="008E0BD4"/>
    <w:rsid w:val="008E0C5A"/>
    <w:rsid w:val="008E11F8"/>
    <w:rsid w:val="008E12C5"/>
    <w:rsid w:val="008E13DF"/>
    <w:rsid w:val="008E15BE"/>
    <w:rsid w:val="008E1629"/>
    <w:rsid w:val="008E18A2"/>
    <w:rsid w:val="008E1910"/>
    <w:rsid w:val="008E196C"/>
    <w:rsid w:val="008E1B36"/>
    <w:rsid w:val="008E1C00"/>
    <w:rsid w:val="008E233D"/>
    <w:rsid w:val="008E255B"/>
    <w:rsid w:val="008E27ED"/>
    <w:rsid w:val="008E2BA0"/>
    <w:rsid w:val="008E2FC5"/>
    <w:rsid w:val="008E30D3"/>
    <w:rsid w:val="008E3127"/>
    <w:rsid w:val="008E35EF"/>
    <w:rsid w:val="008E3627"/>
    <w:rsid w:val="008E372D"/>
    <w:rsid w:val="008E3759"/>
    <w:rsid w:val="008E3B53"/>
    <w:rsid w:val="008E3F08"/>
    <w:rsid w:val="008E4053"/>
    <w:rsid w:val="008E4429"/>
    <w:rsid w:val="008E457E"/>
    <w:rsid w:val="008E45F7"/>
    <w:rsid w:val="008E469F"/>
    <w:rsid w:val="008E47C3"/>
    <w:rsid w:val="008E47E6"/>
    <w:rsid w:val="008E48C3"/>
    <w:rsid w:val="008E4916"/>
    <w:rsid w:val="008E499F"/>
    <w:rsid w:val="008E4B32"/>
    <w:rsid w:val="008E4B67"/>
    <w:rsid w:val="008E4F55"/>
    <w:rsid w:val="008E4F62"/>
    <w:rsid w:val="008E5086"/>
    <w:rsid w:val="008E5662"/>
    <w:rsid w:val="008E5B1D"/>
    <w:rsid w:val="008E5D68"/>
    <w:rsid w:val="008E5F2A"/>
    <w:rsid w:val="008E62DA"/>
    <w:rsid w:val="008E6495"/>
    <w:rsid w:val="008E6885"/>
    <w:rsid w:val="008E68A1"/>
    <w:rsid w:val="008E6A40"/>
    <w:rsid w:val="008E6AC7"/>
    <w:rsid w:val="008E6BEF"/>
    <w:rsid w:val="008E6FDC"/>
    <w:rsid w:val="008E70BF"/>
    <w:rsid w:val="008E73EA"/>
    <w:rsid w:val="008E77CC"/>
    <w:rsid w:val="008E7E35"/>
    <w:rsid w:val="008E7F1F"/>
    <w:rsid w:val="008E7F8A"/>
    <w:rsid w:val="008F05D3"/>
    <w:rsid w:val="008F068C"/>
    <w:rsid w:val="008F06A8"/>
    <w:rsid w:val="008F06CF"/>
    <w:rsid w:val="008F06DB"/>
    <w:rsid w:val="008F09B2"/>
    <w:rsid w:val="008F0A66"/>
    <w:rsid w:val="008F0E92"/>
    <w:rsid w:val="008F101D"/>
    <w:rsid w:val="008F1166"/>
    <w:rsid w:val="008F119A"/>
    <w:rsid w:val="008F11C3"/>
    <w:rsid w:val="008F14D2"/>
    <w:rsid w:val="008F1561"/>
    <w:rsid w:val="008F1EF4"/>
    <w:rsid w:val="008F2001"/>
    <w:rsid w:val="008F20E9"/>
    <w:rsid w:val="008F21A7"/>
    <w:rsid w:val="008F21F0"/>
    <w:rsid w:val="008F2925"/>
    <w:rsid w:val="008F2A88"/>
    <w:rsid w:val="008F2C4F"/>
    <w:rsid w:val="008F2CC2"/>
    <w:rsid w:val="008F302F"/>
    <w:rsid w:val="008F3455"/>
    <w:rsid w:val="008F36D5"/>
    <w:rsid w:val="008F373C"/>
    <w:rsid w:val="008F385F"/>
    <w:rsid w:val="008F38E4"/>
    <w:rsid w:val="008F390B"/>
    <w:rsid w:val="008F3A7C"/>
    <w:rsid w:val="008F3C51"/>
    <w:rsid w:val="008F3DDF"/>
    <w:rsid w:val="008F3FF3"/>
    <w:rsid w:val="008F4175"/>
    <w:rsid w:val="008F4279"/>
    <w:rsid w:val="008F42D8"/>
    <w:rsid w:val="008F4478"/>
    <w:rsid w:val="008F44B1"/>
    <w:rsid w:val="008F4900"/>
    <w:rsid w:val="008F4C4F"/>
    <w:rsid w:val="008F4EC6"/>
    <w:rsid w:val="008F4F17"/>
    <w:rsid w:val="008F517E"/>
    <w:rsid w:val="008F5367"/>
    <w:rsid w:val="008F56B6"/>
    <w:rsid w:val="008F5804"/>
    <w:rsid w:val="008F5C2E"/>
    <w:rsid w:val="008F5DA6"/>
    <w:rsid w:val="008F60D3"/>
    <w:rsid w:val="008F689C"/>
    <w:rsid w:val="008F6BDC"/>
    <w:rsid w:val="008F6D7B"/>
    <w:rsid w:val="008F6E1F"/>
    <w:rsid w:val="008F6FB2"/>
    <w:rsid w:val="008F721B"/>
    <w:rsid w:val="008F76A7"/>
    <w:rsid w:val="008F76D1"/>
    <w:rsid w:val="008F77B9"/>
    <w:rsid w:val="008F7C47"/>
    <w:rsid w:val="008F7E1E"/>
    <w:rsid w:val="008F7EE0"/>
    <w:rsid w:val="008F7F67"/>
    <w:rsid w:val="00900586"/>
    <w:rsid w:val="00900B70"/>
    <w:rsid w:val="00900D12"/>
    <w:rsid w:val="00900EC0"/>
    <w:rsid w:val="00900EC7"/>
    <w:rsid w:val="00900FC3"/>
    <w:rsid w:val="0090149F"/>
    <w:rsid w:val="00901737"/>
    <w:rsid w:val="0090182C"/>
    <w:rsid w:val="00901B4B"/>
    <w:rsid w:val="00901F20"/>
    <w:rsid w:val="00901F67"/>
    <w:rsid w:val="009020EB"/>
    <w:rsid w:val="00902306"/>
    <w:rsid w:val="00902370"/>
    <w:rsid w:val="009023D2"/>
    <w:rsid w:val="009024FD"/>
    <w:rsid w:val="00902AE6"/>
    <w:rsid w:val="009031BD"/>
    <w:rsid w:val="009032C9"/>
    <w:rsid w:val="009033A6"/>
    <w:rsid w:val="00903569"/>
    <w:rsid w:val="00903616"/>
    <w:rsid w:val="009036B6"/>
    <w:rsid w:val="009038D5"/>
    <w:rsid w:val="009038DD"/>
    <w:rsid w:val="00903A1D"/>
    <w:rsid w:val="00903B31"/>
    <w:rsid w:val="00903B5D"/>
    <w:rsid w:val="00903EC7"/>
    <w:rsid w:val="0090400F"/>
    <w:rsid w:val="009045B5"/>
    <w:rsid w:val="00904A87"/>
    <w:rsid w:val="00904B49"/>
    <w:rsid w:val="00904F3C"/>
    <w:rsid w:val="009050FD"/>
    <w:rsid w:val="00905724"/>
    <w:rsid w:val="009058A9"/>
    <w:rsid w:val="00905956"/>
    <w:rsid w:val="00905A49"/>
    <w:rsid w:val="00905AEA"/>
    <w:rsid w:val="00905D65"/>
    <w:rsid w:val="00905EB1"/>
    <w:rsid w:val="00905EF7"/>
    <w:rsid w:val="00905EFD"/>
    <w:rsid w:val="009060D7"/>
    <w:rsid w:val="00906175"/>
    <w:rsid w:val="009066EB"/>
    <w:rsid w:val="0090684E"/>
    <w:rsid w:val="00906CA0"/>
    <w:rsid w:val="00906D98"/>
    <w:rsid w:val="00906E31"/>
    <w:rsid w:val="00907030"/>
    <w:rsid w:val="00907796"/>
    <w:rsid w:val="00907820"/>
    <w:rsid w:val="00907A4F"/>
    <w:rsid w:val="00907B01"/>
    <w:rsid w:val="00907C38"/>
    <w:rsid w:val="00907E43"/>
    <w:rsid w:val="00910E58"/>
    <w:rsid w:val="00910E68"/>
    <w:rsid w:val="00910EE9"/>
    <w:rsid w:val="009112E3"/>
    <w:rsid w:val="00911531"/>
    <w:rsid w:val="009115E6"/>
    <w:rsid w:val="0091162E"/>
    <w:rsid w:val="00911709"/>
    <w:rsid w:val="0091184A"/>
    <w:rsid w:val="00911D55"/>
    <w:rsid w:val="00911F45"/>
    <w:rsid w:val="00911FC6"/>
    <w:rsid w:val="009122D9"/>
    <w:rsid w:val="0091258C"/>
    <w:rsid w:val="00912595"/>
    <w:rsid w:val="0091288E"/>
    <w:rsid w:val="00912A08"/>
    <w:rsid w:val="00912A10"/>
    <w:rsid w:val="00912C1F"/>
    <w:rsid w:val="00912C2A"/>
    <w:rsid w:val="0091367C"/>
    <w:rsid w:val="00913A69"/>
    <w:rsid w:val="00913B94"/>
    <w:rsid w:val="009140DF"/>
    <w:rsid w:val="00914400"/>
    <w:rsid w:val="0091445B"/>
    <w:rsid w:val="00914506"/>
    <w:rsid w:val="00914630"/>
    <w:rsid w:val="00914921"/>
    <w:rsid w:val="00914CB2"/>
    <w:rsid w:val="00915160"/>
    <w:rsid w:val="0091529D"/>
    <w:rsid w:val="0091576A"/>
    <w:rsid w:val="0091596D"/>
    <w:rsid w:val="00915A74"/>
    <w:rsid w:val="00915A97"/>
    <w:rsid w:val="00915A9C"/>
    <w:rsid w:val="00915B03"/>
    <w:rsid w:val="00915D41"/>
    <w:rsid w:val="00915E7C"/>
    <w:rsid w:val="009162AE"/>
    <w:rsid w:val="009162ED"/>
    <w:rsid w:val="00916926"/>
    <w:rsid w:val="0091695B"/>
    <w:rsid w:val="00916A0E"/>
    <w:rsid w:val="00916B55"/>
    <w:rsid w:val="00916E93"/>
    <w:rsid w:val="00916F0A"/>
    <w:rsid w:val="00916FD6"/>
    <w:rsid w:val="00917A28"/>
    <w:rsid w:val="00920049"/>
    <w:rsid w:val="00920350"/>
    <w:rsid w:val="00920746"/>
    <w:rsid w:val="00920A31"/>
    <w:rsid w:val="00920AAA"/>
    <w:rsid w:val="00920CDC"/>
    <w:rsid w:val="00920DFD"/>
    <w:rsid w:val="0092113C"/>
    <w:rsid w:val="009212C2"/>
    <w:rsid w:val="0092148E"/>
    <w:rsid w:val="0092149A"/>
    <w:rsid w:val="00921655"/>
    <w:rsid w:val="00921894"/>
    <w:rsid w:val="009218BB"/>
    <w:rsid w:val="00921A8C"/>
    <w:rsid w:val="00921ADF"/>
    <w:rsid w:val="00921AFC"/>
    <w:rsid w:val="00921E14"/>
    <w:rsid w:val="009220E6"/>
    <w:rsid w:val="0092267F"/>
    <w:rsid w:val="00922908"/>
    <w:rsid w:val="009229A0"/>
    <w:rsid w:val="00922CFE"/>
    <w:rsid w:val="009232FF"/>
    <w:rsid w:val="009233AF"/>
    <w:rsid w:val="0092365D"/>
    <w:rsid w:val="009236A6"/>
    <w:rsid w:val="009241F3"/>
    <w:rsid w:val="00924320"/>
    <w:rsid w:val="00924629"/>
    <w:rsid w:val="00924BC6"/>
    <w:rsid w:val="00924C22"/>
    <w:rsid w:val="00924DFC"/>
    <w:rsid w:val="00925033"/>
    <w:rsid w:val="00925454"/>
    <w:rsid w:val="00925833"/>
    <w:rsid w:val="0092590A"/>
    <w:rsid w:val="00925A62"/>
    <w:rsid w:val="00925FD5"/>
    <w:rsid w:val="009261C3"/>
    <w:rsid w:val="009266CF"/>
    <w:rsid w:val="0092673B"/>
    <w:rsid w:val="009267EE"/>
    <w:rsid w:val="009269EF"/>
    <w:rsid w:val="00926EB7"/>
    <w:rsid w:val="009270CB"/>
    <w:rsid w:val="009273AF"/>
    <w:rsid w:val="009276F5"/>
    <w:rsid w:val="0093021E"/>
    <w:rsid w:val="009305D0"/>
    <w:rsid w:val="009306EB"/>
    <w:rsid w:val="00930824"/>
    <w:rsid w:val="00930B5F"/>
    <w:rsid w:val="00931030"/>
    <w:rsid w:val="00931118"/>
    <w:rsid w:val="009312B4"/>
    <w:rsid w:val="009312B8"/>
    <w:rsid w:val="009317D7"/>
    <w:rsid w:val="00931995"/>
    <w:rsid w:val="00931AE4"/>
    <w:rsid w:val="00931E84"/>
    <w:rsid w:val="00931FA5"/>
    <w:rsid w:val="0093268E"/>
    <w:rsid w:val="00932A98"/>
    <w:rsid w:val="00932B13"/>
    <w:rsid w:val="00932D15"/>
    <w:rsid w:val="00932D1E"/>
    <w:rsid w:val="009332C7"/>
    <w:rsid w:val="00933398"/>
    <w:rsid w:val="009333F4"/>
    <w:rsid w:val="00933466"/>
    <w:rsid w:val="009336E7"/>
    <w:rsid w:val="00933702"/>
    <w:rsid w:val="009338B2"/>
    <w:rsid w:val="00933918"/>
    <w:rsid w:val="00933C4E"/>
    <w:rsid w:val="00933E52"/>
    <w:rsid w:val="00933ECE"/>
    <w:rsid w:val="0093411F"/>
    <w:rsid w:val="009343D2"/>
    <w:rsid w:val="0093443B"/>
    <w:rsid w:val="00934507"/>
    <w:rsid w:val="00934671"/>
    <w:rsid w:val="0093474A"/>
    <w:rsid w:val="00934F68"/>
    <w:rsid w:val="00934F6A"/>
    <w:rsid w:val="00935197"/>
    <w:rsid w:val="009351D7"/>
    <w:rsid w:val="009352B3"/>
    <w:rsid w:val="009354E4"/>
    <w:rsid w:val="00935570"/>
    <w:rsid w:val="00935725"/>
    <w:rsid w:val="00935980"/>
    <w:rsid w:val="00935ABC"/>
    <w:rsid w:val="00935CD9"/>
    <w:rsid w:val="00936255"/>
    <w:rsid w:val="0093645A"/>
    <w:rsid w:val="00936772"/>
    <w:rsid w:val="009368F3"/>
    <w:rsid w:val="00936AE9"/>
    <w:rsid w:val="00936F71"/>
    <w:rsid w:val="009371CE"/>
    <w:rsid w:val="009373E0"/>
    <w:rsid w:val="009376C8"/>
    <w:rsid w:val="0093798F"/>
    <w:rsid w:val="00937A9E"/>
    <w:rsid w:val="00940033"/>
    <w:rsid w:val="00940097"/>
    <w:rsid w:val="00940296"/>
    <w:rsid w:val="009403E0"/>
    <w:rsid w:val="0094050B"/>
    <w:rsid w:val="00940B09"/>
    <w:rsid w:val="00940D39"/>
    <w:rsid w:val="00941666"/>
    <w:rsid w:val="009416C3"/>
    <w:rsid w:val="00941E31"/>
    <w:rsid w:val="00941E75"/>
    <w:rsid w:val="00941FD0"/>
    <w:rsid w:val="00942352"/>
    <w:rsid w:val="009425F3"/>
    <w:rsid w:val="00942821"/>
    <w:rsid w:val="00942C60"/>
    <w:rsid w:val="00943312"/>
    <w:rsid w:val="009433B5"/>
    <w:rsid w:val="0094353D"/>
    <w:rsid w:val="0094368A"/>
    <w:rsid w:val="0094377B"/>
    <w:rsid w:val="00943932"/>
    <w:rsid w:val="00943A20"/>
    <w:rsid w:val="00943B32"/>
    <w:rsid w:val="00943CBD"/>
    <w:rsid w:val="00943CCA"/>
    <w:rsid w:val="00943E95"/>
    <w:rsid w:val="00943F34"/>
    <w:rsid w:val="00943FC2"/>
    <w:rsid w:val="0094405A"/>
    <w:rsid w:val="00944971"/>
    <w:rsid w:val="009449DC"/>
    <w:rsid w:val="00944A0A"/>
    <w:rsid w:val="00944BE0"/>
    <w:rsid w:val="00944E38"/>
    <w:rsid w:val="00944F7F"/>
    <w:rsid w:val="00944FBC"/>
    <w:rsid w:val="00944FCE"/>
    <w:rsid w:val="00945056"/>
    <w:rsid w:val="009451B4"/>
    <w:rsid w:val="0094527C"/>
    <w:rsid w:val="009457EF"/>
    <w:rsid w:val="00945895"/>
    <w:rsid w:val="00945C3C"/>
    <w:rsid w:val="00945D13"/>
    <w:rsid w:val="00945DDD"/>
    <w:rsid w:val="00946070"/>
    <w:rsid w:val="009461B6"/>
    <w:rsid w:val="00946309"/>
    <w:rsid w:val="0094673D"/>
    <w:rsid w:val="00946863"/>
    <w:rsid w:val="00946A69"/>
    <w:rsid w:val="00946B4D"/>
    <w:rsid w:val="00946F3D"/>
    <w:rsid w:val="00947576"/>
    <w:rsid w:val="0094772C"/>
    <w:rsid w:val="009478AA"/>
    <w:rsid w:val="00947E03"/>
    <w:rsid w:val="00947F21"/>
    <w:rsid w:val="00950090"/>
    <w:rsid w:val="00950206"/>
    <w:rsid w:val="009503B9"/>
    <w:rsid w:val="009509D5"/>
    <w:rsid w:val="00950BE2"/>
    <w:rsid w:val="00950E1E"/>
    <w:rsid w:val="009510F3"/>
    <w:rsid w:val="0095136C"/>
    <w:rsid w:val="0095147A"/>
    <w:rsid w:val="009519CB"/>
    <w:rsid w:val="00951A11"/>
    <w:rsid w:val="00951BDD"/>
    <w:rsid w:val="00951C2B"/>
    <w:rsid w:val="00951C56"/>
    <w:rsid w:val="00951D23"/>
    <w:rsid w:val="00951E27"/>
    <w:rsid w:val="00952335"/>
    <w:rsid w:val="009526E6"/>
    <w:rsid w:val="00952C11"/>
    <w:rsid w:val="00953495"/>
    <w:rsid w:val="009536E7"/>
    <w:rsid w:val="0095388A"/>
    <w:rsid w:val="00953A19"/>
    <w:rsid w:val="00953C31"/>
    <w:rsid w:val="00953E08"/>
    <w:rsid w:val="0095447A"/>
    <w:rsid w:val="00954575"/>
    <w:rsid w:val="00955390"/>
    <w:rsid w:val="00955653"/>
    <w:rsid w:val="0095591A"/>
    <w:rsid w:val="0095596B"/>
    <w:rsid w:val="00955A9E"/>
    <w:rsid w:val="00955BDE"/>
    <w:rsid w:val="00955CCB"/>
    <w:rsid w:val="00955CF9"/>
    <w:rsid w:val="00955D30"/>
    <w:rsid w:val="009560EE"/>
    <w:rsid w:val="00956189"/>
    <w:rsid w:val="009562C6"/>
    <w:rsid w:val="00956409"/>
    <w:rsid w:val="0095654B"/>
    <w:rsid w:val="00956571"/>
    <w:rsid w:val="00956904"/>
    <w:rsid w:val="00956AA5"/>
    <w:rsid w:val="00956D2D"/>
    <w:rsid w:val="00956D9F"/>
    <w:rsid w:val="00956F09"/>
    <w:rsid w:val="009570F7"/>
    <w:rsid w:val="009573C9"/>
    <w:rsid w:val="00957552"/>
    <w:rsid w:val="00957885"/>
    <w:rsid w:val="0095791A"/>
    <w:rsid w:val="00957954"/>
    <w:rsid w:val="00957C93"/>
    <w:rsid w:val="00960536"/>
    <w:rsid w:val="00960A8B"/>
    <w:rsid w:val="00960B7F"/>
    <w:rsid w:val="00960D88"/>
    <w:rsid w:val="00960F8B"/>
    <w:rsid w:val="00961086"/>
    <w:rsid w:val="00961121"/>
    <w:rsid w:val="0096141D"/>
    <w:rsid w:val="00961634"/>
    <w:rsid w:val="00961923"/>
    <w:rsid w:val="00961DEA"/>
    <w:rsid w:val="00962160"/>
    <w:rsid w:val="0096227D"/>
    <w:rsid w:val="009622A9"/>
    <w:rsid w:val="009622D1"/>
    <w:rsid w:val="009624A9"/>
    <w:rsid w:val="009627F8"/>
    <w:rsid w:val="00962895"/>
    <w:rsid w:val="00962AC3"/>
    <w:rsid w:val="00962BE3"/>
    <w:rsid w:val="00962D43"/>
    <w:rsid w:val="00962D8C"/>
    <w:rsid w:val="00963442"/>
    <w:rsid w:val="009635E8"/>
    <w:rsid w:val="00963633"/>
    <w:rsid w:val="00963652"/>
    <w:rsid w:val="0096379E"/>
    <w:rsid w:val="009638D3"/>
    <w:rsid w:val="00963DDB"/>
    <w:rsid w:val="00963E2E"/>
    <w:rsid w:val="00963FD9"/>
    <w:rsid w:val="009640AA"/>
    <w:rsid w:val="00964137"/>
    <w:rsid w:val="009641C3"/>
    <w:rsid w:val="009642CA"/>
    <w:rsid w:val="0096431C"/>
    <w:rsid w:val="00964553"/>
    <w:rsid w:val="009648EC"/>
    <w:rsid w:val="00964B7B"/>
    <w:rsid w:val="00965031"/>
    <w:rsid w:val="009654FE"/>
    <w:rsid w:val="0096576E"/>
    <w:rsid w:val="00965776"/>
    <w:rsid w:val="00965860"/>
    <w:rsid w:val="00965AD4"/>
    <w:rsid w:val="00965DAC"/>
    <w:rsid w:val="00965FA6"/>
    <w:rsid w:val="00966018"/>
    <w:rsid w:val="00966112"/>
    <w:rsid w:val="009661D8"/>
    <w:rsid w:val="009664F5"/>
    <w:rsid w:val="009667BC"/>
    <w:rsid w:val="009667BE"/>
    <w:rsid w:val="00966ADA"/>
    <w:rsid w:val="00966B97"/>
    <w:rsid w:val="00966C8F"/>
    <w:rsid w:val="00966D74"/>
    <w:rsid w:val="00966D99"/>
    <w:rsid w:val="0096744D"/>
    <w:rsid w:val="00967963"/>
    <w:rsid w:val="009700AC"/>
    <w:rsid w:val="0097058A"/>
    <w:rsid w:val="00970765"/>
    <w:rsid w:val="0097086A"/>
    <w:rsid w:val="009708B3"/>
    <w:rsid w:val="009709F1"/>
    <w:rsid w:val="00970E21"/>
    <w:rsid w:val="00970E63"/>
    <w:rsid w:val="00970F8E"/>
    <w:rsid w:val="0097105A"/>
    <w:rsid w:val="0097150B"/>
    <w:rsid w:val="0097169C"/>
    <w:rsid w:val="00971A72"/>
    <w:rsid w:val="00971AFA"/>
    <w:rsid w:val="00971CF3"/>
    <w:rsid w:val="00972650"/>
    <w:rsid w:val="00972698"/>
    <w:rsid w:val="00972993"/>
    <w:rsid w:val="00972C6E"/>
    <w:rsid w:val="00972E49"/>
    <w:rsid w:val="00973246"/>
    <w:rsid w:val="0097340F"/>
    <w:rsid w:val="0097367C"/>
    <w:rsid w:val="00973940"/>
    <w:rsid w:val="00973BA7"/>
    <w:rsid w:val="00973CA5"/>
    <w:rsid w:val="00973D73"/>
    <w:rsid w:val="00973DBB"/>
    <w:rsid w:val="00973DCD"/>
    <w:rsid w:val="0097415E"/>
    <w:rsid w:val="009741FE"/>
    <w:rsid w:val="00974444"/>
    <w:rsid w:val="0097459A"/>
    <w:rsid w:val="009746CF"/>
    <w:rsid w:val="00974743"/>
    <w:rsid w:val="0097481F"/>
    <w:rsid w:val="009749A7"/>
    <w:rsid w:val="00974AA1"/>
    <w:rsid w:val="00974BB3"/>
    <w:rsid w:val="00974C96"/>
    <w:rsid w:val="00974D94"/>
    <w:rsid w:val="00974E09"/>
    <w:rsid w:val="00974EB8"/>
    <w:rsid w:val="00974F2B"/>
    <w:rsid w:val="00974FB3"/>
    <w:rsid w:val="0097502E"/>
    <w:rsid w:val="00975737"/>
    <w:rsid w:val="00975A69"/>
    <w:rsid w:val="00975CBE"/>
    <w:rsid w:val="00975DE6"/>
    <w:rsid w:val="00975F12"/>
    <w:rsid w:val="009760FF"/>
    <w:rsid w:val="0097612C"/>
    <w:rsid w:val="00976135"/>
    <w:rsid w:val="009762D0"/>
    <w:rsid w:val="00976864"/>
    <w:rsid w:val="00976A6A"/>
    <w:rsid w:val="00976D0F"/>
    <w:rsid w:val="00976D8B"/>
    <w:rsid w:val="00976FAA"/>
    <w:rsid w:val="00977B1D"/>
    <w:rsid w:val="00977EB6"/>
    <w:rsid w:val="009800A5"/>
    <w:rsid w:val="009803D9"/>
    <w:rsid w:val="00980454"/>
    <w:rsid w:val="00980B1F"/>
    <w:rsid w:val="00980CEF"/>
    <w:rsid w:val="00981317"/>
    <w:rsid w:val="00981A63"/>
    <w:rsid w:val="00981E0C"/>
    <w:rsid w:val="00981F9E"/>
    <w:rsid w:val="00982036"/>
    <w:rsid w:val="0098217E"/>
    <w:rsid w:val="00982397"/>
    <w:rsid w:val="0098247A"/>
    <w:rsid w:val="0098272F"/>
    <w:rsid w:val="009829E2"/>
    <w:rsid w:val="00982AA7"/>
    <w:rsid w:val="00982D41"/>
    <w:rsid w:val="00982DAC"/>
    <w:rsid w:val="0098306D"/>
    <w:rsid w:val="0098338A"/>
    <w:rsid w:val="00983474"/>
    <w:rsid w:val="009837E3"/>
    <w:rsid w:val="00983809"/>
    <w:rsid w:val="0098384C"/>
    <w:rsid w:val="00983B88"/>
    <w:rsid w:val="00983D16"/>
    <w:rsid w:val="00983E83"/>
    <w:rsid w:val="00983F59"/>
    <w:rsid w:val="009842D0"/>
    <w:rsid w:val="009848AE"/>
    <w:rsid w:val="00984B67"/>
    <w:rsid w:val="00984BFF"/>
    <w:rsid w:val="00984DCA"/>
    <w:rsid w:val="00984F17"/>
    <w:rsid w:val="00984F1B"/>
    <w:rsid w:val="009851F2"/>
    <w:rsid w:val="00985209"/>
    <w:rsid w:val="00985418"/>
    <w:rsid w:val="00985510"/>
    <w:rsid w:val="00985541"/>
    <w:rsid w:val="00985B54"/>
    <w:rsid w:val="00985C1C"/>
    <w:rsid w:val="00985C28"/>
    <w:rsid w:val="00985DF5"/>
    <w:rsid w:val="00986291"/>
    <w:rsid w:val="00986293"/>
    <w:rsid w:val="0098638A"/>
    <w:rsid w:val="00986498"/>
    <w:rsid w:val="00986611"/>
    <w:rsid w:val="00986912"/>
    <w:rsid w:val="0098699E"/>
    <w:rsid w:val="00986AA4"/>
    <w:rsid w:val="00986F76"/>
    <w:rsid w:val="0098713F"/>
    <w:rsid w:val="00987169"/>
    <w:rsid w:val="00987263"/>
    <w:rsid w:val="00987503"/>
    <w:rsid w:val="0098753F"/>
    <w:rsid w:val="00987C8B"/>
    <w:rsid w:val="00987E4B"/>
    <w:rsid w:val="00990073"/>
    <w:rsid w:val="00990275"/>
    <w:rsid w:val="00990CC0"/>
    <w:rsid w:val="00990D58"/>
    <w:rsid w:val="00990FA5"/>
    <w:rsid w:val="009913A0"/>
    <w:rsid w:val="009914BE"/>
    <w:rsid w:val="009915CD"/>
    <w:rsid w:val="009915E3"/>
    <w:rsid w:val="00991657"/>
    <w:rsid w:val="0099165E"/>
    <w:rsid w:val="009916B9"/>
    <w:rsid w:val="00991C03"/>
    <w:rsid w:val="00991C82"/>
    <w:rsid w:val="00991CB7"/>
    <w:rsid w:val="00991CC3"/>
    <w:rsid w:val="00991E32"/>
    <w:rsid w:val="00991EC4"/>
    <w:rsid w:val="00992721"/>
    <w:rsid w:val="00992900"/>
    <w:rsid w:val="00992AE2"/>
    <w:rsid w:val="00992DF0"/>
    <w:rsid w:val="00992E53"/>
    <w:rsid w:val="00992E68"/>
    <w:rsid w:val="00992F02"/>
    <w:rsid w:val="00993092"/>
    <w:rsid w:val="009930A0"/>
    <w:rsid w:val="00993225"/>
    <w:rsid w:val="009935D6"/>
    <w:rsid w:val="0099376B"/>
    <w:rsid w:val="00993974"/>
    <w:rsid w:val="00993A02"/>
    <w:rsid w:val="00993E28"/>
    <w:rsid w:val="0099412A"/>
    <w:rsid w:val="009941D3"/>
    <w:rsid w:val="00994222"/>
    <w:rsid w:val="00994235"/>
    <w:rsid w:val="00994357"/>
    <w:rsid w:val="00994C95"/>
    <w:rsid w:val="00995242"/>
    <w:rsid w:val="0099582C"/>
    <w:rsid w:val="00995854"/>
    <w:rsid w:val="009958BA"/>
    <w:rsid w:val="00995BC9"/>
    <w:rsid w:val="00995EE9"/>
    <w:rsid w:val="009961DF"/>
    <w:rsid w:val="009966FF"/>
    <w:rsid w:val="0099694C"/>
    <w:rsid w:val="00996B5C"/>
    <w:rsid w:val="00997036"/>
    <w:rsid w:val="00997123"/>
    <w:rsid w:val="0099755E"/>
    <w:rsid w:val="00997761"/>
    <w:rsid w:val="009978DE"/>
    <w:rsid w:val="00997CA4"/>
    <w:rsid w:val="00997F57"/>
    <w:rsid w:val="00997FCB"/>
    <w:rsid w:val="00997FFC"/>
    <w:rsid w:val="009A01A2"/>
    <w:rsid w:val="009A03F5"/>
    <w:rsid w:val="009A0643"/>
    <w:rsid w:val="009A06BC"/>
    <w:rsid w:val="009A0DCB"/>
    <w:rsid w:val="009A0E73"/>
    <w:rsid w:val="009A0F4B"/>
    <w:rsid w:val="009A101A"/>
    <w:rsid w:val="009A12E2"/>
    <w:rsid w:val="009A168E"/>
    <w:rsid w:val="009A187C"/>
    <w:rsid w:val="009A1B7D"/>
    <w:rsid w:val="009A1C7F"/>
    <w:rsid w:val="009A1D8A"/>
    <w:rsid w:val="009A1DC2"/>
    <w:rsid w:val="009A1DD3"/>
    <w:rsid w:val="009A1E9A"/>
    <w:rsid w:val="009A2537"/>
    <w:rsid w:val="009A26E3"/>
    <w:rsid w:val="009A2825"/>
    <w:rsid w:val="009A2A20"/>
    <w:rsid w:val="009A2BA2"/>
    <w:rsid w:val="009A2C1F"/>
    <w:rsid w:val="009A2CF7"/>
    <w:rsid w:val="009A3130"/>
    <w:rsid w:val="009A3483"/>
    <w:rsid w:val="009A36E1"/>
    <w:rsid w:val="009A3895"/>
    <w:rsid w:val="009A3C77"/>
    <w:rsid w:val="009A3CC9"/>
    <w:rsid w:val="009A3E16"/>
    <w:rsid w:val="009A45DA"/>
    <w:rsid w:val="009A466D"/>
    <w:rsid w:val="009A47F0"/>
    <w:rsid w:val="009A48AA"/>
    <w:rsid w:val="009A4B2E"/>
    <w:rsid w:val="009A4C32"/>
    <w:rsid w:val="009A50B6"/>
    <w:rsid w:val="009A511E"/>
    <w:rsid w:val="009A51C7"/>
    <w:rsid w:val="009A51FD"/>
    <w:rsid w:val="009A53DF"/>
    <w:rsid w:val="009A54D5"/>
    <w:rsid w:val="009A54FD"/>
    <w:rsid w:val="009A56D5"/>
    <w:rsid w:val="009A5925"/>
    <w:rsid w:val="009A5B9C"/>
    <w:rsid w:val="009A606C"/>
    <w:rsid w:val="009A62E6"/>
    <w:rsid w:val="009A6433"/>
    <w:rsid w:val="009A654F"/>
    <w:rsid w:val="009A659A"/>
    <w:rsid w:val="009A6685"/>
    <w:rsid w:val="009A6897"/>
    <w:rsid w:val="009A6B4D"/>
    <w:rsid w:val="009A6D23"/>
    <w:rsid w:val="009A6E7F"/>
    <w:rsid w:val="009A7136"/>
    <w:rsid w:val="009A723B"/>
    <w:rsid w:val="009A7492"/>
    <w:rsid w:val="009A7517"/>
    <w:rsid w:val="009A7607"/>
    <w:rsid w:val="009A7839"/>
    <w:rsid w:val="009A7852"/>
    <w:rsid w:val="009A7C6E"/>
    <w:rsid w:val="009A7F6C"/>
    <w:rsid w:val="009B035B"/>
    <w:rsid w:val="009B09FE"/>
    <w:rsid w:val="009B0ADE"/>
    <w:rsid w:val="009B0BD5"/>
    <w:rsid w:val="009B0C39"/>
    <w:rsid w:val="009B0C55"/>
    <w:rsid w:val="009B0E3B"/>
    <w:rsid w:val="009B0F23"/>
    <w:rsid w:val="009B1013"/>
    <w:rsid w:val="009B1125"/>
    <w:rsid w:val="009B1316"/>
    <w:rsid w:val="009B148C"/>
    <w:rsid w:val="009B183F"/>
    <w:rsid w:val="009B1C15"/>
    <w:rsid w:val="009B2684"/>
    <w:rsid w:val="009B2883"/>
    <w:rsid w:val="009B294A"/>
    <w:rsid w:val="009B2A95"/>
    <w:rsid w:val="009B2C01"/>
    <w:rsid w:val="009B2C3E"/>
    <w:rsid w:val="009B31A0"/>
    <w:rsid w:val="009B3464"/>
    <w:rsid w:val="009B3493"/>
    <w:rsid w:val="009B34CA"/>
    <w:rsid w:val="009B3542"/>
    <w:rsid w:val="009B3BE0"/>
    <w:rsid w:val="009B3D41"/>
    <w:rsid w:val="009B41FF"/>
    <w:rsid w:val="009B4355"/>
    <w:rsid w:val="009B43F4"/>
    <w:rsid w:val="009B448B"/>
    <w:rsid w:val="009B465C"/>
    <w:rsid w:val="009B46B5"/>
    <w:rsid w:val="009B4717"/>
    <w:rsid w:val="009B47B8"/>
    <w:rsid w:val="009B4E81"/>
    <w:rsid w:val="009B4F98"/>
    <w:rsid w:val="009B4FAA"/>
    <w:rsid w:val="009B5070"/>
    <w:rsid w:val="009B51CE"/>
    <w:rsid w:val="009B53A1"/>
    <w:rsid w:val="009B5488"/>
    <w:rsid w:val="009B54CF"/>
    <w:rsid w:val="009B5501"/>
    <w:rsid w:val="009B5649"/>
    <w:rsid w:val="009B571E"/>
    <w:rsid w:val="009B5BBE"/>
    <w:rsid w:val="009B5BE0"/>
    <w:rsid w:val="009B5DF4"/>
    <w:rsid w:val="009B5EF4"/>
    <w:rsid w:val="009B6081"/>
    <w:rsid w:val="009B63AC"/>
    <w:rsid w:val="009B6466"/>
    <w:rsid w:val="009B6AC9"/>
    <w:rsid w:val="009B6D6D"/>
    <w:rsid w:val="009B6E57"/>
    <w:rsid w:val="009B6E80"/>
    <w:rsid w:val="009B6EB9"/>
    <w:rsid w:val="009B6EDA"/>
    <w:rsid w:val="009B6FE2"/>
    <w:rsid w:val="009B7527"/>
    <w:rsid w:val="009B7594"/>
    <w:rsid w:val="009B76CD"/>
    <w:rsid w:val="009B79D5"/>
    <w:rsid w:val="009B7BB7"/>
    <w:rsid w:val="009C0025"/>
    <w:rsid w:val="009C003A"/>
    <w:rsid w:val="009C00A5"/>
    <w:rsid w:val="009C0537"/>
    <w:rsid w:val="009C0611"/>
    <w:rsid w:val="009C0A98"/>
    <w:rsid w:val="009C0C08"/>
    <w:rsid w:val="009C0EA6"/>
    <w:rsid w:val="009C10B0"/>
    <w:rsid w:val="009C1124"/>
    <w:rsid w:val="009C1AC7"/>
    <w:rsid w:val="009C1B06"/>
    <w:rsid w:val="009C1DD9"/>
    <w:rsid w:val="009C20F3"/>
    <w:rsid w:val="009C246A"/>
    <w:rsid w:val="009C24A9"/>
    <w:rsid w:val="009C2529"/>
    <w:rsid w:val="009C25A6"/>
    <w:rsid w:val="009C2600"/>
    <w:rsid w:val="009C27C5"/>
    <w:rsid w:val="009C2D76"/>
    <w:rsid w:val="009C316D"/>
    <w:rsid w:val="009C3232"/>
    <w:rsid w:val="009C343C"/>
    <w:rsid w:val="009C3445"/>
    <w:rsid w:val="009C34BF"/>
    <w:rsid w:val="009C3685"/>
    <w:rsid w:val="009C3B33"/>
    <w:rsid w:val="009C3EA4"/>
    <w:rsid w:val="009C4180"/>
    <w:rsid w:val="009C43F7"/>
    <w:rsid w:val="009C44B5"/>
    <w:rsid w:val="009C4666"/>
    <w:rsid w:val="009C49D0"/>
    <w:rsid w:val="009C4A0D"/>
    <w:rsid w:val="009C4C7D"/>
    <w:rsid w:val="009C50B5"/>
    <w:rsid w:val="009C5199"/>
    <w:rsid w:val="009C557C"/>
    <w:rsid w:val="009C57CA"/>
    <w:rsid w:val="009C59B5"/>
    <w:rsid w:val="009C5B27"/>
    <w:rsid w:val="009C5C09"/>
    <w:rsid w:val="009C5E4F"/>
    <w:rsid w:val="009C604C"/>
    <w:rsid w:val="009C6326"/>
    <w:rsid w:val="009C64AB"/>
    <w:rsid w:val="009C67B5"/>
    <w:rsid w:val="009C69AD"/>
    <w:rsid w:val="009C6F3E"/>
    <w:rsid w:val="009C766D"/>
    <w:rsid w:val="009C7AAE"/>
    <w:rsid w:val="009C7B65"/>
    <w:rsid w:val="009C7DAC"/>
    <w:rsid w:val="009D001C"/>
    <w:rsid w:val="009D0039"/>
    <w:rsid w:val="009D004D"/>
    <w:rsid w:val="009D0129"/>
    <w:rsid w:val="009D054C"/>
    <w:rsid w:val="009D07B1"/>
    <w:rsid w:val="009D081D"/>
    <w:rsid w:val="009D09A3"/>
    <w:rsid w:val="009D102F"/>
    <w:rsid w:val="009D1437"/>
    <w:rsid w:val="009D1547"/>
    <w:rsid w:val="009D1905"/>
    <w:rsid w:val="009D1ABB"/>
    <w:rsid w:val="009D2064"/>
    <w:rsid w:val="009D20F2"/>
    <w:rsid w:val="009D213D"/>
    <w:rsid w:val="009D229B"/>
    <w:rsid w:val="009D2352"/>
    <w:rsid w:val="009D24A2"/>
    <w:rsid w:val="009D25F2"/>
    <w:rsid w:val="009D26C8"/>
    <w:rsid w:val="009D2BB4"/>
    <w:rsid w:val="009D2DA6"/>
    <w:rsid w:val="009D3334"/>
    <w:rsid w:val="009D34B6"/>
    <w:rsid w:val="009D39DB"/>
    <w:rsid w:val="009D3CED"/>
    <w:rsid w:val="009D3D3A"/>
    <w:rsid w:val="009D3D5F"/>
    <w:rsid w:val="009D3D8C"/>
    <w:rsid w:val="009D408C"/>
    <w:rsid w:val="009D44B7"/>
    <w:rsid w:val="009D4980"/>
    <w:rsid w:val="009D4BFC"/>
    <w:rsid w:val="009D4C03"/>
    <w:rsid w:val="009D540F"/>
    <w:rsid w:val="009D5CE1"/>
    <w:rsid w:val="009D60A5"/>
    <w:rsid w:val="009D63F2"/>
    <w:rsid w:val="009D647C"/>
    <w:rsid w:val="009D66AE"/>
    <w:rsid w:val="009D6864"/>
    <w:rsid w:val="009D6889"/>
    <w:rsid w:val="009D6B28"/>
    <w:rsid w:val="009D6EE2"/>
    <w:rsid w:val="009D6F13"/>
    <w:rsid w:val="009D71C5"/>
    <w:rsid w:val="009D73FE"/>
    <w:rsid w:val="009E00C8"/>
    <w:rsid w:val="009E03AD"/>
    <w:rsid w:val="009E07B6"/>
    <w:rsid w:val="009E07F8"/>
    <w:rsid w:val="009E099B"/>
    <w:rsid w:val="009E0C3A"/>
    <w:rsid w:val="009E0DEF"/>
    <w:rsid w:val="009E1006"/>
    <w:rsid w:val="009E1145"/>
    <w:rsid w:val="009E123E"/>
    <w:rsid w:val="009E12CE"/>
    <w:rsid w:val="009E1698"/>
    <w:rsid w:val="009E170F"/>
    <w:rsid w:val="009E1742"/>
    <w:rsid w:val="009E191D"/>
    <w:rsid w:val="009E1979"/>
    <w:rsid w:val="009E1D01"/>
    <w:rsid w:val="009E1F1D"/>
    <w:rsid w:val="009E2268"/>
    <w:rsid w:val="009E25FA"/>
    <w:rsid w:val="009E281C"/>
    <w:rsid w:val="009E28C5"/>
    <w:rsid w:val="009E298C"/>
    <w:rsid w:val="009E2A6A"/>
    <w:rsid w:val="009E2B25"/>
    <w:rsid w:val="009E2BA8"/>
    <w:rsid w:val="009E2CFB"/>
    <w:rsid w:val="009E2D2B"/>
    <w:rsid w:val="009E2FB6"/>
    <w:rsid w:val="009E3643"/>
    <w:rsid w:val="009E38C2"/>
    <w:rsid w:val="009E38DA"/>
    <w:rsid w:val="009E39FF"/>
    <w:rsid w:val="009E3E3F"/>
    <w:rsid w:val="009E4286"/>
    <w:rsid w:val="009E4422"/>
    <w:rsid w:val="009E444F"/>
    <w:rsid w:val="009E4A77"/>
    <w:rsid w:val="009E4ED2"/>
    <w:rsid w:val="009E53DA"/>
    <w:rsid w:val="009E5436"/>
    <w:rsid w:val="009E5AA3"/>
    <w:rsid w:val="009E5F7F"/>
    <w:rsid w:val="009E60BF"/>
    <w:rsid w:val="009E652F"/>
    <w:rsid w:val="009E6685"/>
    <w:rsid w:val="009E6689"/>
    <w:rsid w:val="009E6923"/>
    <w:rsid w:val="009E697F"/>
    <w:rsid w:val="009E6A95"/>
    <w:rsid w:val="009E6E8A"/>
    <w:rsid w:val="009E74E0"/>
    <w:rsid w:val="009E7621"/>
    <w:rsid w:val="009E7946"/>
    <w:rsid w:val="009E7BF3"/>
    <w:rsid w:val="009E7C6F"/>
    <w:rsid w:val="009E7E62"/>
    <w:rsid w:val="009E7E89"/>
    <w:rsid w:val="009E7FE0"/>
    <w:rsid w:val="009F0022"/>
    <w:rsid w:val="009F0170"/>
    <w:rsid w:val="009F0812"/>
    <w:rsid w:val="009F08E1"/>
    <w:rsid w:val="009F12A4"/>
    <w:rsid w:val="009F142B"/>
    <w:rsid w:val="009F1514"/>
    <w:rsid w:val="009F1B9D"/>
    <w:rsid w:val="009F25FA"/>
    <w:rsid w:val="009F27C9"/>
    <w:rsid w:val="009F2932"/>
    <w:rsid w:val="009F2D66"/>
    <w:rsid w:val="009F2F85"/>
    <w:rsid w:val="009F32D5"/>
    <w:rsid w:val="009F3662"/>
    <w:rsid w:val="009F36A5"/>
    <w:rsid w:val="009F3729"/>
    <w:rsid w:val="009F3744"/>
    <w:rsid w:val="009F3866"/>
    <w:rsid w:val="009F3C79"/>
    <w:rsid w:val="009F3C97"/>
    <w:rsid w:val="009F3D6F"/>
    <w:rsid w:val="009F4043"/>
    <w:rsid w:val="009F407C"/>
    <w:rsid w:val="009F42C8"/>
    <w:rsid w:val="009F42D8"/>
    <w:rsid w:val="009F4506"/>
    <w:rsid w:val="009F47C8"/>
    <w:rsid w:val="009F4B9E"/>
    <w:rsid w:val="009F4D54"/>
    <w:rsid w:val="009F5031"/>
    <w:rsid w:val="009F582E"/>
    <w:rsid w:val="009F5B3F"/>
    <w:rsid w:val="009F6287"/>
    <w:rsid w:val="009F6607"/>
    <w:rsid w:val="009F6A4A"/>
    <w:rsid w:val="009F7028"/>
    <w:rsid w:val="009F72FE"/>
    <w:rsid w:val="009F7382"/>
    <w:rsid w:val="009F75C0"/>
    <w:rsid w:val="009F763E"/>
    <w:rsid w:val="009F7795"/>
    <w:rsid w:val="009F7930"/>
    <w:rsid w:val="009F7AF6"/>
    <w:rsid w:val="009F7CD0"/>
    <w:rsid w:val="00A00088"/>
    <w:rsid w:val="00A001E0"/>
    <w:rsid w:val="00A001FB"/>
    <w:rsid w:val="00A00374"/>
    <w:rsid w:val="00A00472"/>
    <w:rsid w:val="00A00566"/>
    <w:rsid w:val="00A005A0"/>
    <w:rsid w:val="00A007C1"/>
    <w:rsid w:val="00A00BEC"/>
    <w:rsid w:val="00A00FCC"/>
    <w:rsid w:val="00A01088"/>
    <w:rsid w:val="00A011A0"/>
    <w:rsid w:val="00A0122B"/>
    <w:rsid w:val="00A0130D"/>
    <w:rsid w:val="00A01B14"/>
    <w:rsid w:val="00A01F83"/>
    <w:rsid w:val="00A01F87"/>
    <w:rsid w:val="00A022D8"/>
    <w:rsid w:val="00A02619"/>
    <w:rsid w:val="00A02779"/>
    <w:rsid w:val="00A02A4D"/>
    <w:rsid w:val="00A02E6F"/>
    <w:rsid w:val="00A03426"/>
    <w:rsid w:val="00A0349C"/>
    <w:rsid w:val="00A03572"/>
    <w:rsid w:val="00A03732"/>
    <w:rsid w:val="00A0375A"/>
    <w:rsid w:val="00A03C93"/>
    <w:rsid w:val="00A03D95"/>
    <w:rsid w:val="00A03F22"/>
    <w:rsid w:val="00A0432F"/>
    <w:rsid w:val="00A0447C"/>
    <w:rsid w:val="00A046B1"/>
    <w:rsid w:val="00A048DA"/>
    <w:rsid w:val="00A04994"/>
    <w:rsid w:val="00A05535"/>
    <w:rsid w:val="00A05622"/>
    <w:rsid w:val="00A05989"/>
    <w:rsid w:val="00A05FD1"/>
    <w:rsid w:val="00A0627B"/>
    <w:rsid w:val="00A064B6"/>
    <w:rsid w:val="00A06502"/>
    <w:rsid w:val="00A0656C"/>
    <w:rsid w:val="00A0673A"/>
    <w:rsid w:val="00A06926"/>
    <w:rsid w:val="00A06AAA"/>
    <w:rsid w:val="00A06ACA"/>
    <w:rsid w:val="00A06E21"/>
    <w:rsid w:val="00A06E34"/>
    <w:rsid w:val="00A06EDF"/>
    <w:rsid w:val="00A07360"/>
    <w:rsid w:val="00A075A8"/>
    <w:rsid w:val="00A07688"/>
    <w:rsid w:val="00A076B5"/>
    <w:rsid w:val="00A076E6"/>
    <w:rsid w:val="00A0783F"/>
    <w:rsid w:val="00A07844"/>
    <w:rsid w:val="00A07881"/>
    <w:rsid w:val="00A07DDA"/>
    <w:rsid w:val="00A10045"/>
    <w:rsid w:val="00A100DC"/>
    <w:rsid w:val="00A106E7"/>
    <w:rsid w:val="00A10825"/>
    <w:rsid w:val="00A1084D"/>
    <w:rsid w:val="00A10894"/>
    <w:rsid w:val="00A10899"/>
    <w:rsid w:val="00A10DC1"/>
    <w:rsid w:val="00A10E0E"/>
    <w:rsid w:val="00A10EB2"/>
    <w:rsid w:val="00A10F0A"/>
    <w:rsid w:val="00A11021"/>
    <w:rsid w:val="00A11769"/>
    <w:rsid w:val="00A11980"/>
    <w:rsid w:val="00A11B3D"/>
    <w:rsid w:val="00A11BDB"/>
    <w:rsid w:val="00A11F49"/>
    <w:rsid w:val="00A120F7"/>
    <w:rsid w:val="00A12126"/>
    <w:rsid w:val="00A125F6"/>
    <w:rsid w:val="00A127EA"/>
    <w:rsid w:val="00A12A58"/>
    <w:rsid w:val="00A12B1D"/>
    <w:rsid w:val="00A131DD"/>
    <w:rsid w:val="00A13256"/>
    <w:rsid w:val="00A1359D"/>
    <w:rsid w:val="00A13832"/>
    <w:rsid w:val="00A13A38"/>
    <w:rsid w:val="00A13D42"/>
    <w:rsid w:val="00A14283"/>
    <w:rsid w:val="00A142AF"/>
    <w:rsid w:val="00A1445D"/>
    <w:rsid w:val="00A144E3"/>
    <w:rsid w:val="00A14561"/>
    <w:rsid w:val="00A145FB"/>
    <w:rsid w:val="00A14609"/>
    <w:rsid w:val="00A1465F"/>
    <w:rsid w:val="00A1484B"/>
    <w:rsid w:val="00A14863"/>
    <w:rsid w:val="00A14B2A"/>
    <w:rsid w:val="00A14CBE"/>
    <w:rsid w:val="00A14CDE"/>
    <w:rsid w:val="00A15032"/>
    <w:rsid w:val="00A152BD"/>
    <w:rsid w:val="00A1531F"/>
    <w:rsid w:val="00A15360"/>
    <w:rsid w:val="00A15539"/>
    <w:rsid w:val="00A1574E"/>
    <w:rsid w:val="00A1580B"/>
    <w:rsid w:val="00A159CF"/>
    <w:rsid w:val="00A15A62"/>
    <w:rsid w:val="00A15A73"/>
    <w:rsid w:val="00A15B4F"/>
    <w:rsid w:val="00A15D9B"/>
    <w:rsid w:val="00A15ED1"/>
    <w:rsid w:val="00A15F3C"/>
    <w:rsid w:val="00A169D0"/>
    <w:rsid w:val="00A16D99"/>
    <w:rsid w:val="00A16FA0"/>
    <w:rsid w:val="00A17077"/>
    <w:rsid w:val="00A1711F"/>
    <w:rsid w:val="00A17834"/>
    <w:rsid w:val="00A17A52"/>
    <w:rsid w:val="00A17A57"/>
    <w:rsid w:val="00A17D53"/>
    <w:rsid w:val="00A200E6"/>
    <w:rsid w:val="00A20106"/>
    <w:rsid w:val="00A203FD"/>
    <w:rsid w:val="00A2055F"/>
    <w:rsid w:val="00A2057F"/>
    <w:rsid w:val="00A207ED"/>
    <w:rsid w:val="00A20876"/>
    <w:rsid w:val="00A20995"/>
    <w:rsid w:val="00A20A7E"/>
    <w:rsid w:val="00A20E73"/>
    <w:rsid w:val="00A20F89"/>
    <w:rsid w:val="00A21130"/>
    <w:rsid w:val="00A2145B"/>
    <w:rsid w:val="00A216EF"/>
    <w:rsid w:val="00A217AC"/>
    <w:rsid w:val="00A2191C"/>
    <w:rsid w:val="00A21E73"/>
    <w:rsid w:val="00A21FB9"/>
    <w:rsid w:val="00A22152"/>
    <w:rsid w:val="00A222D6"/>
    <w:rsid w:val="00A22522"/>
    <w:rsid w:val="00A2288B"/>
    <w:rsid w:val="00A2292F"/>
    <w:rsid w:val="00A22E5F"/>
    <w:rsid w:val="00A23049"/>
    <w:rsid w:val="00A2308C"/>
    <w:rsid w:val="00A238DD"/>
    <w:rsid w:val="00A239AB"/>
    <w:rsid w:val="00A24149"/>
    <w:rsid w:val="00A247A3"/>
    <w:rsid w:val="00A247F1"/>
    <w:rsid w:val="00A24943"/>
    <w:rsid w:val="00A24B49"/>
    <w:rsid w:val="00A24C2D"/>
    <w:rsid w:val="00A2503C"/>
    <w:rsid w:val="00A2518C"/>
    <w:rsid w:val="00A25198"/>
    <w:rsid w:val="00A252DA"/>
    <w:rsid w:val="00A2580B"/>
    <w:rsid w:val="00A25B92"/>
    <w:rsid w:val="00A26243"/>
    <w:rsid w:val="00A26560"/>
    <w:rsid w:val="00A26641"/>
    <w:rsid w:val="00A2677D"/>
    <w:rsid w:val="00A269DC"/>
    <w:rsid w:val="00A26AAF"/>
    <w:rsid w:val="00A26BC3"/>
    <w:rsid w:val="00A26DF9"/>
    <w:rsid w:val="00A27364"/>
    <w:rsid w:val="00A27379"/>
    <w:rsid w:val="00A273F8"/>
    <w:rsid w:val="00A277F2"/>
    <w:rsid w:val="00A27853"/>
    <w:rsid w:val="00A27A13"/>
    <w:rsid w:val="00A27A3E"/>
    <w:rsid w:val="00A27CC3"/>
    <w:rsid w:val="00A27F99"/>
    <w:rsid w:val="00A30095"/>
    <w:rsid w:val="00A300B2"/>
    <w:rsid w:val="00A3016C"/>
    <w:rsid w:val="00A30974"/>
    <w:rsid w:val="00A30A7B"/>
    <w:rsid w:val="00A30B4F"/>
    <w:rsid w:val="00A313DF"/>
    <w:rsid w:val="00A313EF"/>
    <w:rsid w:val="00A3195F"/>
    <w:rsid w:val="00A319F3"/>
    <w:rsid w:val="00A31B43"/>
    <w:rsid w:val="00A31EBC"/>
    <w:rsid w:val="00A31F85"/>
    <w:rsid w:val="00A320A2"/>
    <w:rsid w:val="00A32389"/>
    <w:rsid w:val="00A3242F"/>
    <w:rsid w:val="00A32641"/>
    <w:rsid w:val="00A326E5"/>
    <w:rsid w:val="00A32750"/>
    <w:rsid w:val="00A329DE"/>
    <w:rsid w:val="00A32E38"/>
    <w:rsid w:val="00A32FDA"/>
    <w:rsid w:val="00A33190"/>
    <w:rsid w:val="00A33C19"/>
    <w:rsid w:val="00A33D31"/>
    <w:rsid w:val="00A33DA8"/>
    <w:rsid w:val="00A33E5F"/>
    <w:rsid w:val="00A341A3"/>
    <w:rsid w:val="00A3430F"/>
    <w:rsid w:val="00A343A7"/>
    <w:rsid w:val="00A347E0"/>
    <w:rsid w:val="00A34AFA"/>
    <w:rsid w:val="00A34D2B"/>
    <w:rsid w:val="00A34D5F"/>
    <w:rsid w:val="00A34ED6"/>
    <w:rsid w:val="00A34F7C"/>
    <w:rsid w:val="00A35094"/>
    <w:rsid w:val="00A3539B"/>
    <w:rsid w:val="00A353ED"/>
    <w:rsid w:val="00A35677"/>
    <w:rsid w:val="00A356BC"/>
    <w:rsid w:val="00A35702"/>
    <w:rsid w:val="00A358D4"/>
    <w:rsid w:val="00A35B6A"/>
    <w:rsid w:val="00A35C67"/>
    <w:rsid w:val="00A35C86"/>
    <w:rsid w:val="00A3626A"/>
    <w:rsid w:val="00A36481"/>
    <w:rsid w:val="00A364F6"/>
    <w:rsid w:val="00A364F7"/>
    <w:rsid w:val="00A36503"/>
    <w:rsid w:val="00A36821"/>
    <w:rsid w:val="00A36BE9"/>
    <w:rsid w:val="00A36C6D"/>
    <w:rsid w:val="00A36D03"/>
    <w:rsid w:val="00A36E99"/>
    <w:rsid w:val="00A36F9B"/>
    <w:rsid w:val="00A37246"/>
    <w:rsid w:val="00A37321"/>
    <w:rsid w:val="00A37334"/>
    <w:rsid w:val="00A37542"/>
    <w:rsid w:val="00A37564"/>
    <w:rsid w:val="00A376F8"/>
    <w:rsid w:val="00A37C74"/>
    <w:rsid w:val="00A37F05"/>
    <w:rsid w:val="00A40013"/>
    <w:rsid w:val="00A4004F"/>
    <w:rsid w:val="00A401D9"/>
    <w:rsid w:val="00A401E1"/>
    <w:rsid w:val="00A40408"/>
    <w:rsid w:val="00A404D4"/>
    <w:rsid w:val="00A4053F"/>
    <w:rsid w:val="00A40802"/>
    <w:rsid w:val="00A409B2"/>
    <w:rsid w:val="00A41566"/>
    <w:rsid w:val="00A41B88"/>
    <w:rsid w:val="00A41BD2"/>
    <w:rsid w:val="00A41E86"/>
    <w:rsid w:val="00A41EF9"/>
    <w:rsid w:val="00A42066"/>
    <w:rsid w:val="00A42BD8"/>
    <w:rsid w:val="00A42DF0"/>
    <w:rsid w:val="00A434E0"/>
    <w:rsid w:val="00A435AF"/>
    <w:rsid w:val="00A438AD"/>
    <w:rsid w:val="00A4394B"/>
    <w:rsid w:val="00A43CCC"/>
    <w:rsid w:val="00A43CF9"/>
    <w:rsid w:val="00A44243"/>
    <w:rsid w:val="00A446CA"/>
    <w:rsid w:val="00A446EF"/>
    <w:rsid w:val="00A449BF"/>
    <w:rsid w:val="00A45078"/>
    <w:rsid w:val="00A45310"/>
    <w:rsid w:val="00A453F0"/>
    <w:rsid w:val="00A455A8"/>
    <w:rsid w:val="00A457F6"/>
    <w:rsid w:val="00A45C04"/>
    <w:rsid w:val="00A45C9B"/>
    <w:rsid w:val="00A45CA5"/>
    <w:rsid w:val="00A45DED"/>
    <w:rsid w:val="00A45F62"/>
    <w:rsid w:val="00A468A3"/>
    <w:rsid w:val="00A47304"/>
    <w:rsid w:val="00A473E6"/>
    <w:rsid w:val="00A47595"/>
    <w:rsid w:val="00A475E1"/>
    <w:rsid w:val="00A47610"/>
    <w:rsid w:val="00A477AC"/>
    <w:rsid w:val="00A477B3"/>
    <w:rsid w:val="00A479C5"/>
    <w:rsid w:val="00A47C32"/>
    <w:rsid w:val="00A47C98"/>
    <w:rsid w:val="00A47FAE"/>
    <w:rsid w:val="00A5027C"/>
    <w:rsid w:val="00A50347"/>
    <w:rsid w:val="00A505A9"/>
    <w:rsid w:val="00A50669"/>
    <w:rsid w:val="00A509D6"/>
    <w:rsid w:val="00A50C97"/>
    <w:rsid w:val="00A510BB"/>
    <w:rsid w:val="00A5123F"/>
    <w:rsid w:val="00A5126A"/>
    <w:rsid w:val="00A5131C"/>
    <w:rsid w:val="00A5186C"/>
    <w:rsid w:val="00A52690"/>
    <w:rsid w:val="00A52A2C"/>
    <w:rsid w:val="00A52A45"/>
    <w:rsid w:val="00A52E18"/>
    <w:rsid w:val="00A52F0F"/>
    <w:rsid w:val="00A5322D"/>
    <w:rsid w:val="00A538D1"/>
    <w:rsid w:val="00A53947"/>
    <w:rsid w:val="00A539C6"/>
    <w:rsid w:val="00A539E1"/>
    <w:rsid w:val="00A53ED5"/>
    <w:rsid w:val="00A540C1"/>
    <w:rsid w:val="00A54236"/>
    <w:rsid w:val="00A54348"/>
    <w:rsid w:val="00A5459A"/>
    <w:rsid w:val="00A54600"/>
    <w:rsid w:val="00A54A15"/>
    <w:rsid w:val="00A54E3D"/>
    <w:rsid w:val="00A54F51"/>
    <w:rsid w:val="00A55084"/>
    <w:rsid w:val="00A55136"/>
    <w:rsid w:val="00A555C6"/>
    <w:rsid w:val="00A55E19"/>
    <w:rsid w:val="00A55E3D"/>
    <w:rsid w:val="00A55F77"/>
    <w:rsid w:val="00A56610"/>
    <w:rsid w:val="00A567C4"/>
    <w:rsid w:val="00A567FE"/>
    <w:rsid w:val="00A56D0F"/>
    <w:rsid w:val="00A56D6E"/>
    <w:rsid w:val="00A56D9D"/>
    <w:rsid w:val="00A5702D"/>
    <w:rsid w:val="00A571C5"/>
    <w:rsid w:val="00A5725C"/>
    <w:rsid w:val="00A57691"/>
    <w:rsid w:val="00A57992"/>
    <w:rsid w:val="00A57A99"/>
    <w:rsid w:val="00A601B3"/>
    <w:rsid w:val="00A60343"/>
    <w:rsid w:val="00A606DA"/>
    <w:rsid w:val="00A60989"/>
    <w:rsid w:val="00A60DE0"/>
    <w:rsid w:val="00A60E23"/>
    <w:rsid w:val="00A61032"/>
    <w:rsid w:val="00A61224"/>
    <w:rsid w:val="00A613F3"/>
    <w:rsid w:val="00A61771"/>
    <w:rsid w:val="00A617E4"/>
    <w:rsid w:val="00A61D8E"/>
    <w:rsid w:val="00A6210A"/>
    <w:rsid w:val="00A62298"/>
    <w:rsid w:val="00A622D8"/>
    <w:rsid w:val="00A62463"/>
    <w:rsid w:val="00A6251A"/>
    <w:rsid w:val="00A625F2"/>
    <w:rsid w:val="00A6272F"/>
    <w:rsid w:val="00A6298D"/>
    <w:rsid w:val="00A62C35"/>
    <w:rsid w:val="00A62CB3"/>
    <w:rsid w:val="00A63018"/>
    <w:rsid w:val="00A63137"/>
    <w:rsid w:val="00A6329B"/>
    <w:rsid w:val="00A632DF"/>
    <w:rsid w:val="00A63316"/>
    <w:rsid w:val="00A634BE"/>
    <w:rsid w:val="00A639D7"/>
    <w:rsid w:val="00A63C20"/>
    <w:rsid w:val="00A63D14"/>
    <w:rsid w:val="00A63F3F"/>
    <w:rsid w:val="00A64211"/>
    <w:rsid w:val="00A6422F"/>
    <w:rsid w:val="00A6472E"/>
    <w:rsid w:val="00A647DE"/>
    <w:rsid w:val="00A6480E"/>
    <w:rsid w:val="00A64A09"/>
    <w:rsid w:val="00A64C91"/>
    <w:rsid w:val="00A6519F"/>
    <w:rsid w:val="00A655D8"/>
    <w:rsid w:val="00A655E1"/>
    <w:rsid w:val="00A657F6"/>
    <w:rsid w:val="00A6586E"/>
    <w:rsid w:val="00A65D94"/>
    <w:rsid w:val="00A65DFD"/>
    <w:rsid w:val="00A65EB6"/>
    <w:rsid w:val="00A66198"/>
    <w:rsid w:val="00A669B1"/>
    <w:rsid w:val="00A66E24"/>
    <w:rsid w:val="00A6718B"/>
    <w:rsid w:val="00A67216"/>
    <w:rsid w:val="00A67290"/>
    <w:rsid w:val="00A674DD"/>
    <w:rsid w:val="00A67FB0"/>
    <w:rsid w:val="00A67FE7"/>
    <w:rsid w:val="00A7009E"/>
    <w:rsid w:val="00A7024B"/>
    <w:rsid w:val="00A70399"/>
    <w:rsid w:val="00A70913"/>
    <w:rsid w:val="00A70954"/>
    <w:rsid w:val="00A70E43"/>
    <w:rsid w:val="00A70EBF"/>
    <w:rsid w:val="00A71C74"/>
    <w:rsid w:val="00A7206F"/>
    <w:rsid w:val="00A72160"/>
    <w:rsid w:val="00A72180"/>
    <w:rsid w:val="00A72201"/>
    <w:rsid w:val="00A723C2"/>
    <w:rsid w:val="00A72453"/>
    <w:rsid w:val="00A724DC"/>
    <w:rsid w:val="00A72515"/>
    <w:rsid w:val="00A72704"/>
    <w:rsid w:val="00A729E2"/>
    <w:rsid w:val="00A72A6F"/>
    <w:rsid w:val="00A72BBF"/>
    <w:rsid w:val="00A72DEB"/>
    <w:rsid w:val="00A72E29"/>
    <w:rsid w:val="00A730F4"/>
    <w:rsid w:val="00A732BE"/>
    <w:rsid w:val="00A734EF"/>
    <w:rsid w:val="00A73784"/>
    <w:rsid w:val="00A738F7"/>
    <w:rsid w:val="00A73942"/>
    <w:rsid w:val="00A73A10"/>
    <w:rsid w:val="00A73C4E"/>
    <w:rsid w:val="00A73CA6"/>
    <w:rsid w:val="00A73FBE"/>
    <w:rsid w:val="00A7450A"/>
    <w:rsid w:val="00A7451C"/>
    <w:rsid w:val="00A747C3"/>
    <w:rsid w:val="00A74876"/>
    <w:rsid w:val="00A749B1"/>
    <w:rsid w:val="00A74CF0"/>
    <w:rsid w:val="00A74EC1"/>
    <w:rsid w:val="00A75132"/>
    <w:rsid w:val="00A75180"/>
    <w:rsid w:val="00A75394"/>
    <w:rsid w:val="00A759AF"/>
    <w:rsid w:val="00A759D4"/>
    <w:rsid w:val="00A7617E"/>
    <w:rsid w:val="00A7621C"/>
    <w:rsid w:val="00A7660C"/>
    <w:rsid w:val="00A768D8"/>
    <w:rsid w:val="00A76985"/>
    <w:rsid w:val="00A76CE4"/>
    <w:rsid w:val="00A76E9D"/>
    <w:rsid w:val="00A776E5"/>
    <w:rsid w:val="00A777BD"/>
    <w:rsid w:val="00A77D46"/>
    <w:rsid w:val="00A77D9B"/>
    <w:rsid w:val="00A77DA1"/>
    <w:rsid w:val="00A77EC5"/>
    <w:rsid w:val="00A77F0E"/>
    <w:rsid w:val="00A80154"/>
    <w:rsid w:val="00A8036A"/>
    <w:rsid w:val="00A80801"/>
    <w:rsid w:val="00A80875"/>
    <w:rsid w:val="00A80921"/>
    <w:rsid w:val="00A80926"/>
    <w:rsid w:val="00A80F6C"/>
    <w:rsid w:val="00A81148"/>
    <w:rsid w:val="00A81218"/>
    <w:rsid w:val="00A8158B"/>
    <w:rsid w:val="00A8187F"/>
    <w:rsid w:val="00A8236C"/>
    <w:rsid w:val="00A82468"/>
    <w:rsid w:val="00A82601"/>
    <w:rsid w:val="00A82B9A"/>
    <w:rsid w:val="00A82C94"/>
    <w:rsid w:val="00A82D06"/>
    <w:rsid w:val="00A82DF0"/>
    <w:rsid w:val="00A82F5C"/>
    <w:rsid w:val="00A83581"/>
    <w:rsid w:val="00A836A4"/>
    <w:rsid w:val="00A837D5"/>
    <w:rsid w:val="00A83C15"/>
    <w:rsid w:val="00A83C24"/>
    <w:rsid w:val="00A83CDA"/>
    <w:rsid w:val="00A83D3E"/>
    <w:rsid w:val="00A84005"/>
    <w:rsid w:val="00A8408A"/>
    <w:rsid w:val="00A840EE"/>
    <w:rsid w:val="00A8440F"/>
    <w:rsid w:val="00A8451E"/>
    <w:rsid w:val="00A84B50"/>
    <w:rsid w:val="00A84B8C"/>
    <w:rsid w:val="00A84BEA"/>
    <w:rsid w:val="00A84F71"/>
    <w:rsid w:val="00A85387"/>
    <w:rsid w:val="00A858AB"/>
    <w:rsid w:val="00A85A39"/>
    <w:rsid w:val="00A85A40"/>
    <w:rsid w:val="00A85BC0"/>
    <w:rsid w:val="00A85C79"/>
    <w:rsid w:val="00A85DB2"/>
    <w:rsid w:val="00A863A9"/>
    <w:rsid w:val="00A86540"/>
    <w:rsid w:val="00A8656A"/>
    <w:rsid w:val="00A865A9"/>
    <w:rsid w:val="00A87454"/>
    <w:rsid w:val="00A875C4"/>
    <w:rsid w:val="00A8780A"/>
    <w:rsid w:val="00A87BB2"/>
    <w:rsid w:val="00A87DD6"/>
    <w:rsid w:val="00A90352"/>
    <w:rsid w:val="00A90431"/>
    <w:rsid w:val="00A90636"/>
    <w:rsid w:val="00A90876"/>
    <w:rsid w:val="00A9097C"/>
    <w:rsid w:val="00A90FCC"/>
    <w:rsid w:val="00A91508"/>
    <w:rsid w:val="00A9179C"/>
    <w:rsid w:val="00A91835"/>
    <w:rsid w:val="00A91929"/>
    <w:rsid w:val="00A91A49"/>
    <w:rsid w:val="00A91DD3"/>
    <w:rsid w:val="00A91F68"/>
    <w:rsid w:val="00A92015"/>
    <w:rsid w:val="00A9289D"/>
    <w:rsid w:val="00A92B00"/>
    <w:rsid w:val="00A92B85"/>
    <w:rsid w:val="00A92D98"/>
    <w:rsid w:val="00A932E2"/>
    <w:rsid w:val="00A9335E"/>
    <w:rsid w:val="00A935C2"/>
    <w:rsid w:val="00A93725"/>
    <w:rsid w:val="00A938B7"/>
    <w:rsid w:val="00A93A64"/>
    <w:rsid w:val="00A93BDA"/>
    <w:rsid w:val="00A93F6A"/>
    <w:rsid w:val="00A93FB1"/>
    <w:rsid w:val="00A94325"/>
    <w:rsid w:val="00A9444F"/>
    <w:rsid w:val="00A94AC4"/>
    <w:rsid w:val="00A952BE"/>
    <w:rsid w:val="00A9530E"/>
    <w:rsid w:val="00A95424"/>
    <w:rsid w:val="00A957C6"/>
    <w:rsid w:val="00A960B2"/>
    <w:rsid w:val="00A96255"/>
    <w:rsid w:val="00A96279"/>
    <w:rsid w:val="00A9664E"/>
    <w:rsid w:val="00A96946"/>
    <w:rsid w:val="00A96B41"/>
    <w:rsid w:val="00A96CDD"/>
    <w:rsid w:val="00A96F78"/>
    <w:rsid w:val="00A9716D"/>
    <w:rsid w:val="00A9728E"/>
    <w:rsid w:val="00A97518"/>
    <w:rsid w:val="00A97585"/>
    <w:rsid w:val="00A978C8"/>
    <w:rsid w:val="00A97A56"/>
    <w:rsid w:val="00A97CEF"/>
    <w:rsid w:val="00A97D3A"/>
    <w:rsid w:val="00AA00D7"/>
    <w:rsid w:val="00AA0885"/>
    <w:rsid w:val="00AA0950"/>
    <w:rsid w:val="00AA0B96"/>
    <w:rsid w:val="00AA0CC3"/>
    <w:rsid w:val="00AA0CD8"/>
    <w:rsid w:val="00AA0E85"/>
    <w:rsid w:val="00AA0ED1"/>
    <w:rsid w:val="00AA0F2D"/>
    <w:rsid w:val="00AA122D"/>
    <w:rsid w:val="00AA1230"/>
    <w:rsid w:val="00AA12F7"/>
    <w:rsid w:val="00AA12F8"/>
    <w:rsid w:val="00AA14B0"/>
    <w:rsid w:val="00AA1695"/>
    <w:rsid w:val="00AA196F"/>
    <w:rsid w:val="00AA1C87"/>
    <w:rsid w:val="00AA1C93"/>
    <w:rsid w:val="00AA1CAF"/>
    <w:rsid w:val="00AA1CBC"/>
    <w:rsid w:val="00AA1F25"/>
    <w:rsid w:val="00AA245B"/>
    <w:rsid w:val="00AA257D"/>
    <w:rsid w:val="00AA2E71"/>
    <w:rsid w:val="00AA2FC2"/>
    <w:rsid w:val="00AA3210"/>
    <w:rsid w:val="00AA337F"/>
    <w:rsid w:val="00AA3725"/>
    <w:rsid w:val="00AA3879"/>
    <w:rsid w:val="00AA3905"/>
    <w:rsid w:val="00AA3AB7"/>
    <w:rsid w:val="00AA4034"/>
    <w:rsid w:val="00AA41F3"/>
    <w:rsid w:val="00AA4692"/>
    <w:rsid w:val="00AA488C"/>
    <w:rsid w:val="00AA499C"/>
    <w:rsid w:val="00AA4A9E"/>
    <w:rsid w:val="00AA4AD3"/>
    <w:rsid w:val="00AA4C67"/>
    <w:rsid w:val="00AA4C99"/>
    <w:rsid w:val="00AA4CD1"/>
    <w:rsid w:val="00AA4D64"/>
    <w:rsid w:val="00AA4E84"/>
    <w:rsid w:val="00AA501B"/>
    <w:rsid w:val="00AA50E1"/>
    <w:rsid w:val="00AA5271"/>
    <w:rsid w:val="00AA559A"/>
    <w:rsid w:val="00AA55EC"/>
    <w:rsid w:val="00AA5B4C"/>
    <w:rsid w:val="00AA5BC4"/>
    <w:rsid w:val="00AA60C9"/>
    <w:rsid w:val="00AA620E"/>
    <w:rsid w:val="00AA64C1"/>
    <w:rsid w:val="00AA694B"/>
    <w:rsid w:val="00AA71C1"/>
    <w:rsid w:val="00AA7ADD"/>
    <w:rsid w:val="00AA7D86"/>
    <w:rsid w:val="00AA7FAB"/>
    <w:rsid w:val="00AB019D"/>
    <w:rsid w:val="00AB02E0"/>
    <w:rsid w:val="00AB03A1"/>
    <w:rsid w:val="00AB0759"/>
    <w:rsid w:val="00AB080C"/>
    <w:rsid w:val="00AB09D6"/>
    <w:rsid w:val="00AB0B25"/>
    <w:rsid w:val="00AB113D"/>
    <w:rsid w:val="00AB1198"/>
    <w:rsid w:val="00AB1657"/>
    <w:rsid w:val="00AB203D"/>
    <w:rsid w:val="00AB215C"/>
    <w:rsid w:val="00AB225D"/>
    <w:rsid w:val="00AB29B6"/>
    <w:rsid w:val="00AB29BB"/>
    <w:rsid w:val="00AB2C75"/>
    <w:rsid w:val="00AB362D"/>
    <w:rsid w:val="00AB3887"/>
    <w:rsid w:val="00AB3AFE"/>
    <w:rsid w:val="00AB3B1B"/>
    <w:rsid w:val="00AB3B4B"/>
    <w:rsid w:val="00AB3BA5"/>
    <w:rsid w:val="00AB3C35"/>
    <w:rsid w:val="00AB3DCD"/>
    <w:rsid w:val="00AB3FDE"/>
    <w:rsid w:val="00AB4672"/>
    <w:rsid w:val="00AB46F0"/>
    <w:rsid w:val="00AB4D17"/>
    <w:rsid w:val="00AB4FAF"/>
    <w:rsid w:val="00AB507E"/>
    <w:rsid w:val="00AB54F4"/>
    <w:rsid w:val="00AB556A"/>
    <w:rsid w:val="00AB5BC0"/>
    <w:rsid w:val="00AB5BE5"/>
    <w:rsid w:val="00AB63FB"/>
    <w:rsid w:val="00AB6475"/>
    <w:rsid w:val="00AB6519"/>
    <w:rsid w:val="00AB6712"/>
    <w:rsid w:val="00AB6730"/>
    <w:rsid w:val="00AB6BF6"/>
    <w:rsid w:val="00AB71A9"/>
    <w:rsid w:val="00AB74FB"/>
    <w:rsid w:val="00AB751B"/>
    <w:rsid w:val="00AB772D"/>
    <w:rsid w:val="00AB77AD"/>
    <w:rsid w:val="00AB7A0A"/>
    <w:rsid w:val="00AB7B86"/>
    <w:rsid w:val="00AC0297"/>
    <w:rsid w:val="00AC045C"/>
    <w:rsid w:val="00AC0542"/>
    <w:rsid w:val="00AC0655"/>
    <w:rsid w:val="00AC0BAB"/>
    <w:rsid w:val="00AC0BB8"/>
    <w:rsid w:val="00AC0C05"/>
    <w:rsid w:val="00AC0EAE"/>
    <w:rsid w:val="00AC1016"/>
    <w:rsid w:val="00AC11B1"/>
    <w:rsid w:val="00AC1219"/>
    <w:rsid w:val="00AC160A"/>
    <w:rsid w:val="00AC16AF"/>
    <w:rsid w:val="00AC20CB"/>
    <w:rsid w:val="00AC228C"/>
    <w:rsid w:val="00AC2A0B"/>
    <w:rsid w:val="00AC2C65"/>
    <w:rsid w:val="00AC2DC0"/>
    <w:rsid w:val="00AC2E37"/>
    <w:rsid w:val="00AC33B0"/>
    <w:rsid w:val="00AC3BF4"/>
    <w:rsid w:val="00AC3E15"/>
    <w:rsid w:val="00AC3E6C"/>
    <w:rsid w:val="00AC3EF4"/>
    <w:rsid w:val="00AC4066"/>
    <w:rsid w:val="00AC4403"/>
    <w:rsid w:val="00AC4825"/>
    <w:rsid w:val="00AC484D"/>
    <w:rsid w:val="00AC4C9C"/>
    <w:rsid w:val="00AC4D69"/>
    <w:rsid w:val="00AC4F59"/>
    <w:rsid w:val="00AC5313"/>
    <w:rsid w:val="00AC5682"/>
    <w:rsid w:val="00AC579A"/>
    <w:rsid w:val="00AC57C5"/>
    <w:rsid w:val="00AC5BF0"/>
    <w:rsid w:val="00AC5C45"/>
    <w:rsid w:val="00AC5C5E"/>
    <w:rsid w:val="00AC5DBC"/>
    <w:rsid w:val="00AC6071"/>
    <w:rsid w:val="00AC6258"/>
    <w:rsid w:val="00AC646B"/>
    <w:rsid w:val="00AC64C1"/>
    <w:rsid w:val="00AC6571"/>
    <w:rsid w:val="00AC667E"/>
    <w:rsid w:val="00AC6918"/>
    <w:rsid w:val="00AC6F8A"/>
    <w:rsid w:val="00AC6FBB"/>
    <w:rsid w:val="00AC736C"/>
    <w:rsid w:val="00AC74EA"/>
    <w:rsid w:val="00AC76A1"/>
    <w:rsid w:val="00AC7702"/>
    <w:rsid w:val="00AC79C8"/>
    <w:rsid w:val="00AC79FF"/>
    <w:rsid w:val="00AC7D89"/>
    <w:rsid w:val="00AD004F"/>
    <w:rsid w:val="00AD0063"/>
    <w:rsid w:val="00AD04BD"/>
    <w:rsid w:val="00AD066C"/>
    <w:rsid w:val="00AD06B7"/>
    <w:rsid w:val="00AD08D0"/>
    <w:rsid w:val="00AD0A74"/>
    <w:rsid w:val="00AD0BB2"/>
    <w:rsid w:val="00AD1003"/>
    <w:rsid w:val="00AD112D"/>
    <w:rsid w:val="00AD134E"/>
    <w:rsid w:val="00AD142A"/>
    <w:rsid w:val="00AD19A0"/>
    <w:rsid w:val="00AD1A27"/>
    <w:rsid w:val="00AD1F96"/>
    <w:rsid w:val="00AD21B8"/>
    <w:rsid w:val="00AD24A7"/>
    <w:rsid w:val="00AD25F7"/>
    <w:rsid w:val="00AD280D"/>
    <w:rsid w:val="00AD2D5D"/>
    <w:rsid w:val="00AD2E1D"/>
    <w:rsid w:val="00AD32C6"/>
    <w:rsid w:val="00AD334B"/>
    <w:rsid w:val="00AD3707"/>
    <w:rsid w:val="00AD37E0"/>
    <w:rsid w:val="00AD3820"/>
    <w:rsid w:val="00AD38A8"/>
    <w:rsid w:val="00AD39D9"/>
    <w:rsid w:val="00AD3F40"/>
    <w:rsid w:val="00AD3FD8"/>
    <w:rsid w:val="00AD4209"/>
    <w:rsid w:val="00AD435A"/>
    <w:rsid w:val="00AD4395"/>
    <w:rsid w:val="00AD4422"/>
    <w:rsid w:val="00AD46F3"/>
    <w:rsid w:val="00AD4919"/>
    <w:rsid w:val="00AD499D"/>
    <w:rsid w:val="00AD4A8D"/>
    <w:rsid w:val="00AD4BF3"/>
    <w:rsid w:val="00AD4C1C"/>
    <w:rsid w:val="00AD4C36"/>
    <w:rsid w:val="00AD4C7F"/>
    <w:rsid w:val="00AD4D0A"/>
    <w:rsid w:val="00AD4DD7"/>
    <w:rsid w:val="00AD4EC3"/>
    <w:rsid w:val="00AD57D0"/>
    <w:rsid w:val="00AD59E2"/>
    <w:rsid w:val="00AD59E3"/>
    <w:rsid w:val="00AD5A17"/>
    <w:rsid w:val="00AD5BDF"/>
    <w:rsid w:val="00AD5D3A"/>
    <w:rsid w:val="00AD5FC4"/>
    <w:rsid w:val="00AD61C5"/>
    <w:rsid w:val="00AD6AC9"/>
    <w:rsid w:val="00AD6C0D"/>
    <w:rsid w:val="00AD6EA3"/>
    <w:rsid w:val="00AD6EC7"/>
    <w:rsid w:val="00AD711B"/>
    <w:rsid w:val="00AD718C"/>
    <w:rsid w:val="00AD7407"/>
    <w:rsid w:val="00AD75C1"/>
    <w:rsid w:val="00AD7933"/>
    <w:rsid w:val="00AD79BD"/>
    <w:rsid w:val="00AD7AA4"/>
    <w:rsid w:val="00AD7BE6"/>
    <w:rsid w:val="00AD7E00"/>
    <w:rsid w:val="00AD7ECD"/>
    <w:rsid w:val="00AE024E"/>
    <w:rsid w:val="00AE05DA"/>
    <w:rsid w:val="00AE0606"/>
    <w:rsid w:val="00AE0721"/>
    <w:rsid w:val="00AE084F"/>
    <w:rsid w:val="00AE0BDF"/>
    <w:rsid w:val="00AE0C7E"/>
    <w:rsid w:val="00AE0FD3"/>
    <w:rsid w:val="00AE10FF"/>
    <w:rsid w:val="00AE11CA"/>
    <w:rsid w:val="00AE12F1"/>
    <w:rsid w:val="00AE1446"/>
    <w:rsid w:val="00AE1A4A"/>
    <w:rsid w:val="00AE1CCF"/>
    <w:rsid w:val="00AE1DE1"/>
    <w:rsid w:val="00AE21C9"/>
    <w:rsid w:val="00AE2219"/>
    <w:rsid w:val="00AE266B"/>
    <w:rsid w:val="00AE27D2"/>
    <w:rsid w:val="00AE2865"/>
    <w:rsid w:val="00AE2D6A"/>
    <w:rsid w:val="00AE32F3"/>
    <w:rsid w:val="00AE333B"/>
    <w:rsid w:val="00AE33B6"/>
    <w:rsid w:val="00AE353B"/>
    <w:rsid w:val="00AE3599"/>
    <w:rsid w:val="00AE3716"/>
    <w:rsid w:val="00AE3727"/>
    <w:rsid w:val="00AE3B57"/>
    <w:rsid w:val="00AE3BEF"/>
    <w:rsid w:val="00AE3C08"/>
    <w:rsid w:val="00AE3DC6"/>
    <w:rsid w:val="00AE3E57"/>
    <w:rsid w:val="00AE3FEA"/>
    <w:rsid w:val="00AE404E"/>
    <w:rsid w:val="00AE43CA"/>
    <w:rsid w:val="00AE44E2"/>
    <w:rsid w:val="00AE4971"/>
    <w:rsid w:val="00AE4C0B"/>
    <w:rsid w:val="00AE4C5A"/>
    <w:rsid w:val="00AE4D5F"/>
    <w:rsid w:val="00AE4DD2"/>
    <w:rsid w:val="00AE4F1B"/>
    <w:rsid w:val="00AE4F41"/>
    <w:rsid w:val="00AE4F81"/>
    <w:rsid w:val="00AE4FA5"/>
    <w:rsid w:val="00AE50F1"/>
    <w:rsid w:val="00AE518A"/>
    <w:rsid w:val="00AE5372"/>
    <w:rsid w:val="00AE5589"/>
    <w:rsid w:val="00AE57E1"/>
    <w:rsid w:val="00AE5844"/>
    <w:rsid w:val="00AE5AEE"/>
    <w:rsid w:val="00AE5D00"/>
    <w:rsid w:val="00AE5FE4"/>
    <w:rsid w:val="00AE61B3"/>
    <w:rsid w:val="00AE62D8"/>
    <w:rsid w:val="00AE62FB"/>
    <w:rsid w:val="00AE641C"/>
    <w:rsid w:val="00AE6C33"/>
    <w:rsid w:val="00AE70DA"/>
    <w:rsid w:val="00AE7862"/>
    <w:rsid w:val="00AE7A56"/>
    <w:rsid w:val="00AE7BE3"/>
    <w:rsid w:val="00AE7BEB"/>
    <w:rsid w:val="00AE7D04"/>
    <w:rsid w:val="00AF06EE"/>
    <w:rsid w:val="00AF088D"/>
    <w:rsid w:val="00AF0981"/>
    <w:rsid w:val="00AF0E41"/>
    <w:rsid w:val="00AF117D"/>
    <w:rsid w:val="00AF1228"/>
    <w:rsid w:val="00AF1704"/>
    <w:rsid w:val="00AF1916"/>
    <w:rsid w:val="00AF1B9A"/>
    <w:rsid w:val="00AF1E3E"/>
    <w:rsid w:val="00AF1F95"/>
    <w:rsid w:val="00AF2010"/>
    <w:rsid w:val="00AF2371"/>
    <w:rsid w:val="00AF2694"/>
    <w:rsid w:val="00AF271C"/>
    <w:rsid w:val="00AF27E7"/>
    <w:rsid w:val="00AF29DD"/>
    <w:rsid w:val="00AF2A06"/>
    <w:rsid w:val="00AF2E75"/>
    <w:rsid w:val="00AF3008"/>
    <w:rsid w:val="00AF34BC"/>
    <w:rsid w:val="00AF34D2"/>
    <w:rsid w:val="00AF361E"/>
    <w:rsid w:val="00AF384F"/>
    <w:rsid w:val="00AF3856"/>
    <w:rsid w:val="00AF38D1"/>
    <w:rsid w:val="00AF3A91"/>
    <w:rsid w:val="00AF3B4B"/>
    <w:rsid w:val="00AF3C15"/>
    <w:rsid w:val="00AF3DA1"/>
    <w:rsid w:val="00AF3E3D"/>
    <w:rsid w:val="00AF41D8"/>
    <w:rsid w:val="00AF4249"/>
    <w:rsid w:val="00AF4561"/>
    <w:rsid w:val="00AF4A12"/>
    <w:rsid w:val="00AF4A7E"/>
    <w:rsid w:val="00AF4C16"/>
    <w:rsid w:val="00AF4EE9"/>
    <w:rsid w:val="00AF4EF7"/>
    <w:rsid w:val="00AF5522"/>
    <w:rsid w:val="00AF5E5A"/>
    <w:rsid w:val="00AF61C7"/>
    <w:rsid w:val="00AF6A5C"/>
    <w:rsid w:val="00AF6BB6"/>
    <w:rsid w:val="00AF6C5F"/>
    <w:rsid w:val="00AF6C77"/>
    <w:rsid w:val="00AF6D6F"/>
    <w:rsid w:val="00AF6E37"/>
    <w:rsid w:val="00AF7213"/>
    <w:rsid w:val="00AF74A8"/>
    <w:rsid w:val="00AF7539"/>
    <w:rsid w:val="00AF796E"/>
    <w:rsid w:val="00AF7BF9"/>
    <w:rsid w:val="00B001E0"/>
    <w:rsid w:val="00B00369"/>
    <w:rsid w:val="00B00438"/>
    <w:rsid w:val="00B005DF"/>
    <w:rsid w:val="00B00683"/>
    <w:rsid w:val="00B006CB"/>
    <w:rsid w:val="00B00778"/>
    <w:rsid w:val="00B00893"/>
    <w:rsid w:val="00B008F2"/>
    <w:rsid w:val="00B00A08"/>
    <w:rsid w:val="00B00A52"/>
    <w:rsid w:val="00B00AF9"/>
    <w:rsid w:val="00B00DA3"/>
    <w:rsid w:val="00B0108C"/>
    <w:rsid w:val="00B012CE"/>
    <w:rsid w:val="00B01307"/>
    <w:rsid w:val="00B01322"/>
    <w:rsid w:val="00B01448"/>
    <w:rsid w:val="00B0175D"/>
    <w:rsid w:val="00B01913"/>
    <w:rsid w:val="00B01B13"/>
    <w:rsid w:val="00B01BB7"/>
    <w:rsid w:val="00B01D2F"/>
    <w:rsid w:val="00B01FD5"/>
    <w:rsid w:val="00B02169"/>
    <w:rsid w:val="00B022C0"/>
    <w:rsid w:val="00B0273F"/>
    <w:rsid w:val="00B029BA"/>
    <w:rsid w:val="00B02BBA"/>
    <w:rsid w:val="00B02C95"/>
    <w:rsid w:val="00B03301"/>
    <w:rsid w:val="00B03487"/>
    <w:rsid w:val="00B03612"/>
    <w:rsid w:val="00B037DC"/>
    <w:rsid w:val="00B03B19"/>
    <w:rsid w:val="00B0412E"/>
    <w:rsid w:val="00B04230"/>
    <w:rsid w:val="00B042D8"/>
    <w:rsid w:val="00B044E5"/>
    <w:rsid w:val="00B04540"/>
    <w:rsid w:val="00B045C7"/>
    <w:rsid w:val="00B04ECA"/>
    <w:rsid w:val="00B05008"/>
    <w:rsid w:val="00B050E2"/>
    <w:rsid w:val="00B050E7"/>
    <w:rsid w:val="00B051CD"/>
    <w:rsid w:val="00B05541"/>
    <w:rsid w:val="00B055EF"/>
    <w:rsid w:val="00B05844"/>
    <w:rsid w:val="00B0589B"/>
    <w:rsid w:val="00B058FD"/>
    <w:rsid w:val="00B05C67"/>
    <w:rsid w:val="00B05D3D"/>
    <w:rsid w:val="00B0641B"/>
    <w:rsid w:val="00B064D7"/>
    <w:rsid w:val="00B06624"/>
    <w:rsid w:val="00B06652"/>
    <w:rsid w:val="00B06762"/>
    <w:rsid w:val="00B06810"/>
    <w:rsid w:val="00B06915"/>
    <w:rsid w:val="00B0692F"/>
    <w:rsid w:val="00B069D3"/>
    <w:rsid w:val="00B06A4D"/>
    <w:rsid w:val="00B06B25"/>
    <w:rsid w:val="00B06B70"/>
    <w:rsid w:val="00B06CB9"/>
    <w:rsid w:val="00B071B4"/>
    <w:rsid w:val="00B075E1"/>
    <w:rsid w:val="00B07810"/>
    <w:rsid w:val="00B07845"/>
    <w:rsid w:val="00B07A1A"/>
    <w:rsid w:val="00B07A39"/>
    <w:rsid w:val="00B07A41"/>
    <w:rsid w:val="00B07F25"/>
    <w:rsid w:val="00B07F36"/>
    <w:rsid w:val="00B10194"/>
    <w:rsid w:val="00B101D1"/>
    <w:rsid w:val="00B101D3"/>
    <w:rsid w:val="00B10240"/>
    <w:rsid w:val="00B1029A"/>
    <w:rsid w:val="00B10603"/>
    <w:rsid w:val="00B10BCE"/>
    <w:rsid w:val="00B10D74"/>
    <w:rsid w:val="00B10FFD"/>
    <w:rsid w:val="00B1109F"/>
    <w:rsid w:val="00B116BE"/>
    <w:rsid w:val="00B11857"/>
    <w:rsid w:val="00B11B86"/>
    <w:rsid w:val="00B11D41"/>
    <w:rsid w:val="00B11ED0"/>
    <w:rsid w:val="00B11F65"/>
    <w:rsid w:val="00B12220"/>
    <w:rsid w:val="00B122D0"/>
    <w:rsid w:val="00B1248B"/>
    <w:rsid w:val="00B124D5"/>
    <w:rsid w:val="00B126EA"/>
    <w:rsid w:val="00B12BC7"/>
    <w:rsid w:val="00B12C84"/>
    <w:rsid w:val="00B12D22"/>
    <w:rsid w:val="00B12EE7"/>
    <w:rsid w:val="00B1319A"/>
    <w:rsid w:val="00B13713"/>
    <w:rsid w:val="00B137D6"/>
    <w:rsid w:val="00B13CD0"/>
    <w:rsid w:val="00B13F09"/>
    <w:rsid w:val="00B13F9D"/>
    <w:rsid w:val="00B1408D"/>
    <w:rsid w:val="00B14243"/>
    <w:rsid w:val="00B14459"/>
    <w:rsid w:val="00B145F6"/>
    <w:rsid w:val="00B14680"/>
    <w:rsid w:val="00B149EC"/>
    <w:rsid w:val="00B14A5D"/>
    <w:rsid w:val="00B14B23"/>
    <w:rsid w:val="00B14C3C"/>
    <w:rsid w:val="00B14FFE"/>
    <w:rsid w:val="00B1506A"/>
    <w:rsid w:val="00B1541D"/>
    <w:rsid w:val="00B15531"/>
    <w:rsid w:val="00B1577C"/>
    <w:rsid w:val="00B159E3"/>
    <w:rsid w:val="00B159E8"/>
    <w:rsid w:val="00B15AA4"/>
    <w:rsid w:val="00B15C47"/>
    <w:rsid w:val="00B15EB7"/>
    <w:rsid w:val="00B160E6"/>
    <w:rsid w:val="00B1623D"/>
    <w:rsid w:val="00B1638E"/>
    <w:rsid w:val="00B164AB"/>
    <w:rsid w:val="00B1653A"/>
    <w:rsid w:val="00B16660"/>
    <w:rsid w:val="00B16BB3"/>
    <w:rsid w:val="00B1715D"/>
    <w:rsid w:val="00B17298"/>
    <w:rsid w:val="00B17598"/>
    <w:rsid w:val="00B17AEA"/>
    <w:rsid w:val="00B17D07"/>
    <w:rsid w:val="00B17D0A"/>
    <w:rsid w:val="00B2035F"/>
    <w:rsid w:val="00B20B17"/>
    <w:rsid w:val="00B20C45"/>
    <w:rsid w:val="00B20CFA"/>
    <w:rsid w:val="00B20D49"/>
    <w:rsid w:val="00B2114E"/>
    <w:rsid w:val="00B211EF"/>
    <w:rsid w:val="00B212E0"/>
    <w:rsid w:val="00B215E7"/>
    <w:rsid w:val="00B217DB"/>
    <w:rsid w:val="00B21A13"/>
    <w:rsid w:val="00B21CEA"/>
    <w:rsid w:val="00B21EDF"/>
    <w:rsid w:val="00B21F17"/>
    <w:rsid w:val="00B21F5E"/>
    <w:rsid w:val="00B21FFA"/>
    <w:rsid w:val="00B2233A"/>
    <w:rsid w:val="00B22D3B"/>
    <w:rsid w:val="00B22D47"/>
    <w:rsid w:val="00B22ECA"/>
    <w:rsid w:val="00B23017"/>
    <w:rsid w:val="00B23392"/>
    <w:rsid w:val="00B233FF"/>
    <w:rsid w:val="00B2355F"/>
    <w:rsid w:val="00B2360C"/>
    <w:rsid w:val="00B237BF"/>
    <w:rsid w:val="00B238C9"/>
    <w:rsid w:val="00B23A98"/>
    <w:rsid w:val="00B23C44"/>
    <w:rsid w:val="00B243C0"/>
    <w:rsid w:val="00B244CB"/>
    <w:rsid w:val="00B2474C"/>
    <w:rsid w:val="00B250C0"/>
    <w:rsid w:val="00B2513D"/>
    <w:rsid w:val="00B25482"/>
    <w:rsid w:val="00B254AF"/>
    <w:rsid w:val="00B255AD"/>
    <w:rsid w:val="00B2588B"/>
    <w:rsid w:val="00B258CB"/>
    <w:rsid w:val="00B26031"/>
    <w:rsid w:val="00B263D5"/>
    <w:rsid w:val="00B2652D"/>
    <w:rsid w:val="00B26659"/>
    <w:rsid w:val="00B26770"/>
    <w:rsid w:val="00B26A5A"/>
    <w:rsid w:val="00B27346"/>
    <w:rsid w:val="00B27559"/>
    <w:rsid w:val="00B275AA"/>
    <w:rsid w:val="00B27720"/>
    <w:rsid w:val="00B27742"/>
    <w:rsid w:val="00B2786D"/>
    <w:rsid w:val="00B27A51"/>
    <w:rsid w:val="00B27B13"/>
    <w:rsid w:val="00B27D47"/>
    <w:rsid w:val="00B27F84"/>
    <w:rsid w:val="00B303B9"/>
    <w:rsid w:val="00B30406"/>
    <w:rsid w:val="00B30645"/>
    <w:rsid w:val="00B30F38"/>
    <w:rsid w:val="00B310EF"/>
    <w:rsid w:val="00B31463"/>
    <w:rsid w:val="00B315BA"/>
    <w:rsid w:val="00B317C2"/>
    <w:rsid w:val="00B31C22"/>
    <w:rsid w:val="00B31D1D"/>
    <w:rsid w:val="00B324EE"/>
    <w:rsid w:val="00B32652"/>
    <w:rsid w:val="00B326EA"/>
    <w:rsid w:val="00B32BA0"/>
    <w:rsid w:val="00B32C04"/>
    <w:rsid w:val="00B32CEB"/>
    <w:rsid w:val="00B33195"/>
    <w:rsid w:val="00B331D7"/>
    <w:rsid w:val="00B33208"/>
    <w:rsid w:val="00B33328"/>
    <w:rsid w:val="00B3362C"/>
    <w:rsid w:val="00B336BA"/>
    <w:rsid w:val="00B338A2"/>
    <w:rsid w:val="00B33CA2"/>
    <w:rsid w:val="00B34061"/>
    <w:rsid w:val="00B340A7"/>
    <w:rsid w:val="00B341BB"/>
    <w:rsid w:val="00B3447D"/>
    <w:rsid w:val="00B345EA"/>
    <w:rsid w:val="00B34AAE"/>
    <w:rsid w:val="00B34E76"/>
    <w:rsid w:val="00B352A1"/>
    <w:rsid w:val="00B353A4"/>
    <w:rsid w:val="00B355C4"/>
    <w:rsid w:val="00B35616"/>
    <w:rsid w:val="00B35917"/>
    <w:rsid w:val="00B35983"/>
    <w:rsid w:val="00B35F51"/>
    <w:rsid w:val="00B3608C"/>
    <w:rsid w:val="00B360EE"/>
    <w:rsid w:val="00B36103"/>
    <w:rsid w:val="00B36301"/>
    <w:rsid w:val="00B36344"/>
    <w:rsid w:val="00B3696D"/>
    <w:rsid w:val="00B36BD8"/>
    <w:rsid w:val="00B36BEF"/>
    <w:rsid w:val="00B36E3C"/>
    <w:rsid w:val="00B37004"/>
    <w:rsid w:val="00B37081"/>
    <w:rsid w:val="00B37249"/>
    <w:rsid w:val="00B37314"/>
    <w:rsid w:val="00B37450"/>
    <w:rsid w:val="00B3766F"/>
    <w:rsid w:val="00B37C01"/>
    <w:rsid w:val="00B37F3A"/>
    <w:rsid w:val="00B402ED"/>
    <w:rsid w:val="00B40393"/>
    <w:rsid w:val="00B4042B"/>
    <w:rsid w:val="00B40740"/>
    <w:rsid w:val="00B40CB3"/>
    <w:rsid w:val="00B40DF6"/>
    <w:rsid w:val="00B410B4"/>
    <w:rsid w:val="00B41237"/>
    <w:rsid w:val="00B413C7"/>
    <w:rsid w:val="00B416B6"/>
    <w:rsid w:val="00B41836"/>
    <w:rsid w:val="00B41A71"/>
    <w:rsid w:val="00B422D7"/>
    <w:rsid w:val="00B42378"/>
    <w:rsid w:val="00B4297A"/>
    <w:rsid w:val="00B42CB5"/>
    <w:rsid w:val="00B42D99"/>
    <w:rsid w:val="00B42EDA"/>
    <w:rsid w:val="00B43195"/>
    <w:rsid w:val="00B4359D"/>
    <w:rsid w:val="00B4368D"/>
    <w:rsid w:val="00B438C0"/>
    <w:rsid w:val="00B43A47"/>
    <w:rsid w:val="00B43DAF"/>
    <w:rsid w:val="00B440C5"/>
    <w:rsid w:val="00B44331"/>
    <w:rsid w:val="00B44971"/>
    <w:rsid w:val="00B44E06"/>
    <w:rsid w:val="00B45004"/>
    <w:rsid w:val="00B45362"/>
    <w:rsid w:val="00B45502"/>
    <w:rsid w:val="00B45610"/>
    <w:rsid w:val="00B45906"/>
    <w:rsid w:val="00B45DAA"/>
    <w:rsid w:val="00B45EBD"/>
    <w:rsid w:val="00B461F9"/>
    <w:rsid w:val="00B46277"/>
    <w:rsid w:val="00B463A8"/>
    <w:rsid w:val="00B4640D"/>
    <w:rsid w:val="00B4644C"/>
    <w:rsid w:val="00B468D8"/>
    <w:rsid w:val="00B46900"/>
    <w:rsid w:val="00B46A60"/>
    <w:rsid w:val="00B47003"/>
    <w:rsid w:val="00B470C0"/>
    <w:rsid w:val="00B4728A"/>
    <w:rsid w:val="00B47775"/>
    <w:rsid w:val="00B477EB"/>
    <w:rsid w:val="00B47B43"/>
    <w:rsid w:val="00B47B75"/>
    <w:rsid w:val="00B47DE3"/>
    <w:rsid w:val="00B50041"/>
    <w:rsid w:val="00B50569"/>
    <w:rsid w:val="00B50C3D"/>
    <w:rsid w:val="00B50D1D"/>
    <w:rsid w:val="00B51211"/>
    <w:rsid w:val="00B512C4"/>
    <w:rsid w:val="00B5135D"/>
    <w:rsid w:val="00B51367"/>
    <w:rsid w:val="00B515B0"/>
    <w:rsid w:val="00B51604"/>
    <w:rsid w:val="00B51786"/>
    <w:rsid w:val="00B51820"/>
    <w:rsid w:val="00B51AF7"/>
    <w:rsid w:val="00B51EBA"/>
    <w:rsid w:val="00B51EE7"/>
    <w:rsid w:val="00B52199"/>
    <w:rsid w:val="00B52210"/>
    <w:rsid w:val="00B52245"/>
    <w:rsid w:val="00B52368"/>
    <w:rsid w:val="00B52408"/>
    <w:rsid w:val="00B525B3"/>
    <w:rsid w:val="00B52745"/>
    <w:rsid w:val="00B52786"/>
    <w:rsid w:val="00B528E5"/>
    <w:rsid w:val="00B52B2B"/>
    <w:rsid w:val="00B52C57"/>
    <w:rsid w:val="00B52E5E"/>
    <w:rsid w:val="00B538D1"/>
    <w:rsid w:val="00B53D26"/>
    <w:rsid w:val="00B53E1E"/>
    <w:rsid w:val="00B540AE"/>
    <w:rsid w:val="00B5411A"/>
    <w:rsid w:val="00B541EF"/>
    <w:rsid w:val="00B5440F"/>
    <w:rsid w:val="00B54C37"/>
    <w:rsid w:val="00B54E0A"/>
    <w:rsid w:val="00B55151"/>
    <w:rsid w:val="00B552A3"/>
    <w:rsid w:val="00B55397"/>
    <w:rsid w:val="00B55654"/>
    <w:rsid w:val="00B556FD"/>
    <w:rsid w:val="00B55AB5"/>
    <w:rsid w:val="00B55B67"/>
    <w:rsid w:val="00B55BC5"/>
    <w:rsid w:val="00B55BD3"/>
    <w:rsid w:val="00B55D90"/>
    <w:rsid w:val="00B55FD5"/>
    <w:rsid w:val="00B56144"/>
    <w:rsid w:val="00B564A9"/>
    <w:rsid w:val="00B5653F"/>
    <w:rsid w:val="00B565F5"/>
    <w:rsid w:val="00B566AE"/>
    <w:rsid w:val="00B566C7"/>
    <w:rsid w:val="00B56936"/>
    <w:rsid w:val="00B5696D"/>
    <w:rsid w:val="00B56C2A"/>
    <w:rsid w:val="00B5716D"/>
    <w:rsid w:val="00B57268"/>
    <w:rsid w:val="00B573F2"/>
    <w:rsid w:val="00B577D4"/>
    <w:rsid w:val="00B578E4"/>
    <w:rsid w:val="00B57A0C"/>
    <w:rsid w:val="00B57AC2"/>
    <w:rsid w:val="00B57B05"/>
    <w:rsid w:val="00B57B0A"/>
    <w:rsid w:val="00B57D03"/>
    <w:rsid w:val="00B57DDD"/>
    <w:rsid w:val="00B57E0D"/>
    <w:rsid w:val="00B57FD4"/>
    <w:rsid w:val="00B60146"/>
    <w:rsid w:val="00B601C7"/>
    <w:rsid w:val="00B6029F"/>
    <w:rsid w:val="00B604F4"/>
    <w:rsid w:val="00B6050F"/>
    <w:rsid w:val="00B608E4"/>
    <w:rsid w:val="00B612A0"/>
    <w:rsid w:val="00B61309"/>
    <w:rsid w:val="00B6141B"/>
    <w:rsid w:val="00B61438"/>
    <w:rsid w:val="00B614CF"/>
    <w:rsid w:val="00B619C9"/>
    <w:rsid w:val="00B61DFE"/>
    <w:rsid w:val="00B62086"/>
    <w:rsid w:val="00B62228"/>
    <w:rsid w:val="00B622DC"/>
    <w:rsid w:val="00B62321"/>
    <w:rsid w:val="00B6257F"/>
    <w:rsid w:val="00B62672"/>
    <w:rsid w:val="00B6293C"/>
    <w:rsid w:val="00B629B2"/>
    <w:rsid w:val="00B62A2B"/>
    <w:rsid w:val="00B62B94"/>
    <w:rsid w:val="00B62DA8"/>
    <w:rsid w:val="00B62F52"/>
    <w:rsid w:val="00B6333F"/>
    <w:rsid w:val="00B63565"/>
    <w:rsid w:val="00B63952"/>
    <w:rsid w:val="00B63A6D"/>
    <w:rsid w:val="00B63B6D"/>
    <w:rsid w:val="00B63BF0"/>
    <w:rsid w:val="00B63C20"/>
    <w:rsid w:val="00B64258"/>
    <w:rsid w:val="00B64415"/>
    <w:rsid w:val="00B645D2"/>
    <w:rsid w:val="00B64781"/>
    <w:rsid w:val="00B6496E"/>
    <w:rsid w:val="00B6544B"/>
    <w:rsid w:val="00B654F8"/>
    <w:rsid w:val="00B655D0"/>
    <w:rsid w:val="00B65647"/>
    <w:rsid w:val="00B658AC"/>
    <w:rsid w:val="00B65B2C"/>
    <w:rsid w:val="00B65D41"/>
    <w:rsid w:val="00B661C3"/>
    <w:rsid w:val="00B664E1"/>
    <w:rsid w:val="00B66738"/>
    <w:rsid w:val="00B6695B"/>
    <w:rsid w:val="00B66A10"/>
    <w:rsid w:val="00B66B4E"/>
    <w:rsid w:val="00B66E8C"/>
    <w:rsid w:val="00B6719A"/>
    <w:rsid w:val="00B67287"/>
    <w:rsid w:val="00B673ED"/>
    <w:rsid w:val="00B67860"/>
    <w:rsid w:val="00B67927"/>
    <w:rsid w:val="00B67AAA"/>
    <w:rsid w:val="00B67AED"/>
    <w:rsid w:val="00B67C80"/>
    <w:rsid w:val="00B70119"/>
    <w:rsid w:val="00B701E9"/>
    <w:rsid w:val="00B70483"/>
    <w:rsid w:val="00B70518"/>
    <w:rsid w:val="00B7056D"/>
    <w:rsid w:val="00B706BB"/>
    <w:rsid w:val="00B708AA"/>
    <w:rsid w:val="00B708E9"/>
    <w:rsid w:val="00B70911"/>
    <w:rsid w:val="00B70ADE"/>
    <w:rsid w:val="00B70CFC"/>
    <w:rsid w:val="00B70CFD"/>
    <w:rsid w:val="00B70D80"/>
    <w:rsid w:val="00B70EF7"/>
    <w:rsid w:val="00B70FD5"/>
    <w:rsid w:val="00B715AE"/>
    <w:rsid w:val="00B718DC"/>
    <w:rsid w:val="00B71AF8"/>
    <w:rsid w:val="00B71DB5"/>
    <w:rsid w:val="00B71E95"/>
    <w:rsid w:val="00B71FA4"/>
    <w:rsid w:val="00B721D2"/>
    <w:rsid w:val="00B722F8"/>
    <w:rsid w:val="00B723E4"/>
    <w:rsid w:val="00B72515"/>
    <w:rsid w:val="00B7262C"/>
    <w:rsid w:val="00B726DE"/>
    <w:rsid w:val="00B72840"/>
    <w:rsid w:val="00B72ACE"/>
    <w:rsid w:val="00B72FE3"/>
    <w:rsid w:val="00B731C7"/>
    <w:rsid w:val="00B73246"/>
    <w:rsid w:val="00B732B3"/>
    <w:rsid w:val="00B73332"/>
    <w:rsid w:val="00B7370B"/>
    <w:rsid w:val="00B739C1"/>
    <w:rsid w:val="00B73B06"/>
    <w:rsid w:val="00B73CB4"/>
    <w:rsid w:val="00B73F86"/>
    <w:rsid w:val="00B740BC"/>
    <w:rsid w:val="00B742DA"/>
    <w:rsid w:val="00B7448C"/>
    <w:rsid w:val="00B744EF"/>
    <w:rsid w:val="00B74924"/>
    <w:rsid w:val="00B74FF0"/>
    <w:rsid w:val="00B752A7"/>
    <w:rsid w:val="00B7564B"/>
    <w:rsid w:val="00B76047"/>
    <w:rsid w:val="00B7606D"/>
    <w:rsid w:val="00B76229"/>
    <w:rsid w:val="00B763EE"/>
    <w:rsid w:val="00B764D2"/>
    <w:rsid w:val="00B76BF0"/>
    <w:rsid w:val="00B76CD9"/>
    <w:rsid w:val="00B76D32"/>
    <w:rsid w:val="00B76E15"/>
    <w:rsid w:val="00B76EB5"/>
    <w:rsid w:val="00B76F4F"/>
    <w:rsid w:val="00B771FF"/>
    <w:rsid w:val="00B7727A"/>
    <w:rsid w:val="00B773CE"/>
    <w:rsid w:val="00B779A8"/>
    <w:rsid w:val="00B77AA5"/>
    <w:rsid w:val="00B77AC0"/>
    <w:rsid w:val="00B77C04"/>
    <w:rsid w:val="00B77C17"/>
    <w:rsid w:val="00B77E69"/>
    <w:rsid w:val="00B80222"/>
    <w:rsid w:val="00B805E7"/>
    <w:rsid w:val="00B80700"/>
    <w:rsid w:val="00B80882"/>
    <w:rsid w:val="00B8094D"/>
    <w:rsid w:val="00B80961"/>
    <w:rsid w:val="00B80DE7"/>
    <w:rsid w:val="00B80E32"/>
    <w:rsid w:val="00B81457"/>
    <w:rsid w:val="00B817C8"/>
    <w:rsid w:val="00B81D0A"/>
    <w:rsid w:val="00B8201A"/>
    <w:rsid w:val="00B820AA"/>
    <w:rsid w:val="00B821C2"/>
    <w:rsid w:val="00B822F7"/>
    <w:rsid w:val="00B828CF"/>
    <w:rsid w:val="00B82E14"/>
    <w:rsid w:val="00B82F0B"/>
    <w:rsid w:val="00B8345D"/>
    <w:rsid w:val="00B837D5"/>
    <w:rsid w:val="00B837FE"/>
    <w:rsid w:val="00B83800"/>
    <w:rsid w:val="00B83940"/>
    <w:rsid w:val="00B83C3D"/>
    <w:rsid w:val="00B83D33"/>
    <w:rsid w:val="00B83D4A"/>
    <w:rsid w:val="00B83D7B"/>
    <w:rsid w:val="00B83DE2"/>
    <w:rsid w:val="00B8420E"/>
    <w:rsid w:val="00B84253"/>
    <w:rsid w:val="00B8442E"/>
    <w:rsid w:val="00B845B4"/>
    <w:rsid w:val="00B84642"/>
    <w:rsid w:val="00B84821"/>
    <w:rsid w:val="00B848AE"/>
    <w:rsid w:val="00B849FB"/>
    <w:rsid w:val="00B84A8E"/>
    <w:rsid w:val="00B85067"/>
    <w:rsid w:val="00B85BEF"/>
    <w:rsid w:val="00B85E54"/>
    <w:rsid w:val="00B85F1A"/>
    <w:rsid w:val="00B86058"/>
    <w:rsid w:val="00B86DC7"/>
    <w:rsid w:val="00B8706A"/>
    <w:rsid w:val="00B8722F"/>
    <w:rsid w:val="00B87682"/>
    <w:rsid w:val="00B87711"/>
    <w:rsid w:val="00B877BF"/>
    <w:rsid w:val="00B878CF"/>
    <w:rsid w:val="00B879C4"/>
    <w:rsid w:val="00B87A0E"/>
    <w:rsid w:val="00B87C2D"/>
    <w:rsid w:val="00B9020D"/>
    <w:rsid w:val="00B90437"/>
    <w:rsid w:val="00B904FE"/>
    <w:rsid w:val="00B9072E"/>
    <w:rsid w:val="00B907EE"/>
    <w:rsid w:val="00B9093B"/>
    <w:rsid w:val="00B911E7"/>
    <w:rsid w:val="00B91202"/>
    <w:rsid w:val="00B91362"/>
    <w:rsid w:val="00B91924"/>
    <w:rsid w:val="00B91D8D"/>
    <w:rsid w:val="00B9206B"/>
    <w:rsid w:val="00B924C9"/>
    <w:rsid w:val="00B925E9"/>
    <w:rsid w:val="00B92828"/>
    <w:rsid w:val="00B92B39"/>
    <w:rsid w:val="00B92BAC"/>
    <w:rsid w:val="00B92D0A"/>
    <w:rsid w:val="00B92D84"/>
    <w:rsid w:val="00B92EA6"/>
    <w:rsid w:val="00B93026"/>
    <w:rsid w:val="00B93030"/>
    <w:rsid w:val="00B93060"/>
    <w:rsid w:val="00B931B5"/>
    <w:rsid w:val="00B93411"/>
    <w:rsid w:val="00B93676"/>
    <w:rsid w:val="00B937C0"/>
    <w:rsid w:val="00B93C56"/>
    <w:rsid w:val="00B93C57"/>
    <w:rsid w:val="00B93CE4"/>
    <w:rsid w:val="00B93E76"/>
    <w:rsid w:val="00B94025"/>
    <w:rsid w:val="00B941EB"/>
    <w:rsid w:val="00B9422D"/>
    <w:rsid w:val="00B942A6"/>
    <w:rsid w:val="00B9470C"/>
    <w:rsid w:val="00B94B11"/>
    <w:rsid w:val="00B94D42"/>
    <w:rsid w:val="00B9523B"/>
    <w:rsid w:val="00B952A8"/>
    <w:rsid w:val="00B9575E"/>
    <w:rsid w:val="00B9580F"/>
    <w:rsid w:val="00B95863"/>
    <w:rsid w:val="00B95A0A"/>
    <w:rsid w:val="00B95BE5"/>
    <w:rsid w:val="00B95C55"/>
    <w:rsid w:val="00B96294"/>
    <w:rsid w:val="00B96593"/>
    <w:rsid w:val="00B96664"/>
    <w:rsid w:val="00B96874"/>
    <w:rsid w:val="00B96DCA"/>
    <w:rsid w:val="00B96E25"/>
    <w:rsid w:val="00B97022"/>
    <w:rsid w:val="00B97185"/>
    <w:rsid w:val="00B971A8"/>
    <w:rsid w:val="00B973C1"/>
    <w:rsid w:val="00B9753E"/>
    <w:rsid w:val="00B97767"/>
    <w:rsid w:val="00B97C07"/>
    <w:rsid w:val="00B97C50"/>
    <w:rsid w:val="00B97D1C"/>
    <w:rsid w:val="00B97DA4"/>
    <w:rsid w:val="00B97F7E"/>
    <w:rsid w:val="00BA053C"/>
    <w:rsid w:val="00BA072C"/>
    <w:rsid w:val="00BA0A78"/>
    <w:rsid w:val="00BA0F47"/>
    <w:rsid w:val="00BA11DF"/>
    <w:rsid w:val="00BA15DC"/>
    <w:rsid w:val="00BA1707"/>
    <w:rsid w:val="00BA18C7"/>
    <w:rsid w:val="00BA1B48"/>
    <w:rsid w:val="00BA1CB0"/>
    <w:rsid w:val="00BA1DA6"/>
    <w:rsid w:val="00BA1F53"/>
    <w:rsid w:val="00BA24DF"/>
    <w:rsid w:val="00BA2767"/>
    <w:rsid w:val="00BA2C30"/>
    <w:rsid w:val="00BA31A8"/>
    <w:rsid w:val="00BA367A"/>
    <w:rsid w:val="00BA392A"/>
    <w:rsid w:val="00BA3C1E"/>
    <w:rsid w:val="00BA3F6C"/>
    <w:rsid w:val="00BA40C2"/>
    <w:rsid w:val="00BA422E"/>
    <w:rsid w:val="00BA446B"/>
    <w:rsid w:val="00BA4C3F"/>
    <w:rsid w:val="00BA4C5E"/>
    <w:rsid w:val="00BA4CE5"/>
    <w:rsid w:val="00BA4CF6"/>
    <w:rsid w:val="00BA4E00"/>
    <w:rsid w:val="00BA5093"/>
    <w:rsid w:val="00BA55B5"/>
    <w:rsid w:val="00BA5692"/>
    <w:rsid w:val="00BA584D"/>
    <w:rsid w:val="00BA58A1"/>
    <w:rsid w:val="00BA5B73"/>
    <w:rsid w:val="00BA5B95"/>
    <w:rsid w:val="00BA5FE2"/>
    <w:rsid w:val="00BA60CF"/>
    <w:rsid w:val="00BA61F9"/>
    <w:rsid w:val="00BA64A2"/>
    <w:rsid w:val="00BA6568"/>
    <w:rsid w:val="00BA6AF5"/>
    <w:rsid w:val="00BA6B75"/>
    <w:rsid w:val="00BA701B"/>
    <w:rsid w:val="00BA7544"/>
    <w:rsid w:val="00BA7971"/>
    <w:rsid w:val="00BA7B68"/>
    <w:rsid w:val="00BA7CDC"/>
    <w:rsid w:val="00BA7F00"/>
    <w:rsid w:val="00BB0024"/>
    <w:rsid w:val="00BB015D"/>
    <w:rsid w:val="00BB0456"/>
    <w:rsid w:val="00BB0513"/>
    <w:rsid w:val="00BB059A"/>
    <w:rsid w:val="00BB0748"/>
    <w:rsid w:val="00BB0D52"/>
    <w:rsid w:val="00BB10D7"/>
    <w:rsid w:val="00BB13D0"/>
    <w:rsid w:val="00BB17D8"/>
    <w:rsid w:val="00BB1984"/>
    <w:rsid w:val="00BB1B9D"/>
    <w:rsid w:val="00BB1D1F"/>
    <w:rsid w:val="00BB1E5A"/>
    <w:rsid w:val="00BB1EC5"/>
    <w:rsid w:val="00BB1F3F"/>
    <w:rsid w:val="00BB2207"/>
    <w:rsid w:val="00BB242A"/>
    <w:rsid w:val="00BB28ED"/>
    <w:rsid w:val="00BB29A6"/>
    <w:rsid w:val="00BB2A90"/>
    <w:rsid w:val="00BB2B5D"/>
    <w:rsid w:val="00BB34BF"/>
    <w:rsid w:val="00BB37EE"/>
    <w:rsid w:val="00BB3D69"/>
    <w:rsid w:val="00BB3ED5"/>
    <w:rsid w:val="00BB3F6E"/>
    <w:rsid w:val="00BB40A7"/>
    <w:rsid w:val="00BB425B"/>
    <w:rsid w:val="00BB4289"/>
    <w:rsid w:val="00BB43AE"/>
    <w:rsid w:val="00BB497B"/>
    <w:rsid w:val="00BB4ABF"/>
    <w:rsid w:val="00BB518A"/>
    <w:rsid w:val="00BB5FB3"/>
    <w:rsid w:val="00BB5FC2"/>
    <w:rsid w:val="00BB67B7"/>
    <w:rsid w:val="00BB67DA"/>
    <w:rsid w:val="00BB6844"/>
    <w:rsid w:val="00BB6982"/>
    <w:rsid w:val="00BB6AE6"/>
    <w:rsid w:val="00BB6BC1"/>
    <w:rsid w:val="00BB6CD4"/>
    <w:rsid w:val="00BB7058"/>
    <w:rsid w:val="00BB7145"/>
    <w:rsid w:val="00BB71BD"/>
    <w:rsid w:val="00BB72F8"/>
    <w:rsid w:val="00BB73BD"/>
    <w:rsid w:val="00BB7426"/>
    <w:rsid w:val="00BB768B"/>
    <w:rsid w:val="00BB769F"/>
    <w:rsid w:val="00BB7CA2"/>
    <w:rsid w:val="00BB7D36"/>
    <w:rsid w:val="00BB7D61"/>
    <w:rsid w:val="00BB7EE8"/>
    <w:rsid w:val="00BC0163"/>
    <w:rsid w:val="00BC04B3"/>
    <w:rsid w:val="00BC04C6"/>
    <w:rsid w:val="00BC09C3"/>
    <w:rsid w:val="00BC09DC"/>
    <w:rsid w:val="00BC0AFE"/>
    <w:rsid w:val="00BC0D54"/>
    <w:rsid w:val="00BC10F5"/>
    <w:rsid w:val="00BC1232"/>
    <w:rsid w:val="00BC1348"/>
    <w:rsid w:val="00BC13BD"/>
    <w:rsid w:val="00BC1554"/>
    <w:rsid w:val="00BC1610"/>
    <w:rsid w:val="00BC1671"/>
    <w:rsid w:val="00BC176B"/>
    <w:rsid w:val="00BC1786"/>
    <w:rsid w:val="00BC187A"/>
    <w:rsid w:val="00BC1B76"/>
    <w:rsid w:val="00BC1F7A"/>
    <w:rsid w:val="00BC21D4"/>
    <w:rsid w:val="00BC2585"/>
    <w:rsid w:val="00BC258F"/>
    <w:rsid w:val="00BC2C87"/>
    <w:rsid w:val="00BC2DD6"/>
    <w:rsid w:val="00BC2E3F"/>
    <w:rsid w:val="00BC3187"/>
    <w:rsid w:val="00BC35A3"/>
    <w:rsid w:val="00BC35DE"/>
    <w:rsid w:val="00BC3716"/>
    <w:rsid w:val="00BC3A63"/>
    <w:rsid w:val="00BC3ED1"/>
    <w:rsid w:val="00BC4152"/>
    <w:rsid w:val="00BC41BE"/>
    <w:rsid w:val="00BC41DE"/>
    <w:rsid w:val="00BC4276"/>
    <w:rsid w:val="00BC45B6"/>
    <w:rsid w:val="00BC4841"/>
    <w:rsid w:val="00BC4A28"/>
    <w:rsid w:val="00BC4AFD"/>
    <w:rsid w:val="00BC4B12"/>
    <w:rsid w:val="00BC4C62"/>
    <w:rsid w:val="00BC4D95"/>
    <w:rsid w:val="00BC5016"/>
    <w:rsid w:val="00BC5069"/>
    <w:rsid w:val="00BC5350"/>
    <w:rsid w:val="00BC54A6"/>
    <w:rsid w:val="00BC5828"/>
    <w:rsid w:val="00BC5855"/>
    <w:rsid w:val="00BC5909"/>
    <w:rsid w:val="00BC5913"/>
    <w:rsid w:val="00BC5A4C"/>
    <w:rsid w:val="00BC5B3B"/>
    <w:rsid w:val="00BC5C21"/>
    <w:rsid w:val="00BC5C57"/>
    <w:rsid w:val="00BC6066"/>
    <w:rsid w:val="00BC60DD"/>
    <w:rsid w:val="00BC616E"/>
    <w:rsid w:val="00BC617D"/>
    <w:rsid w:val="00BC62DD"/>
    <w:rsid w:val="00BC65A5"/>
    <w:rsid w:val="00BC6BF0"/>
    <w:rsid w:val="00BC6C40"/>
    <w:rsid w:val="00BC6DC6"/>
    <w:rsid w:val="00BC73D4"/>
    <w:rsid w:val="00BC73D9"/>
    <w:rsid w:val="00BC7619"/>
    <w:rsid w:val="00BC7B4B"/>
    <w:rsid w:val="00BC7DC1"/>
    <w:rsid w:val="00BC7E30"/>
    <w:rsid w:val="00BD0378"/>
    <w:rsid w:val="00BD03DF"/>
    <w:rsid w:val="00BD0693"/>
    <w:rsid w:val="00BD0911"/>
    <w:rsid w:val="00BD099F"/>
    <w:rsid w:val="00BD0B31"/>
    <w:rsid w:val="00BD0C8A"/>
    <w:rsid w:val="00BD1189"/>
    <w:rsid w:val="00BD1562"/>
    <w:rsid w:val="00BD17D9"/>
    <w:rsid w:val="00BD1C15"/>
    <w:rsid w:val="00BD2553"/>
    <w:rsid w:val="00BD2DC3"/>
    <w:rsid w:val="00BD2DD6"/>
    <w:rsid w:val="00BD2E72"/>
    <w:rsid w:val="00BD370F"/>
    <w:rsid w:val="00BD3AFB"/>
    <w:rsid w:val="00BD3FCA"/>
    <w:rsid w:val="00BD43A0"/>
    <w:rsid w:val="00BD4780"/>
    <w:rsid w:val="00BD4914"/>
    <w:rsid w:val="00BD4ACF"/>
    <w:rsid w:val="00BD4CB5"/>
    <w:rsid w:val="00BD5491"/>
    <w:rsid w:val="00BD5CB1"/>
    <w:rsid w:val="00BD5D05"/>
    <w:rsid w:val="00BD626A"/>
    <w:rsid w:val="00BD6AFE"/>
    <w:rsid w:val="00BD6C5B"/>
    <w:rsid w:val="00BD70F6"/>
    <w:rsid w:val="00BD7294"/>
    <w:rsid w:val="00BD72C3"/>
    <w:rsid w:val="00BD7300"/>
    <w:rsid w:val="00BD731A"/>
    <w:rsid w:val="00BD7444"/>
    <w:rsid w:val="00BD7686"/>
    <w:rsid w:val="00BD778C"/>
    <w:rsid w:val="00BD79E9"/>
    <w:rsid w:val="00BD7A03"/>
    <w:rsid w:val="00BD7AA4"/>
    <w:rsid w:val="00BD7BC9"/>
    <w:rsid w:val="00BD7CC6"/>
    <w:rsid w:val="00BE00C3"/>
    <w:rsid w:val="00BE032B"/>
    <w:rsid w:val="00BE0389"/>
    <w:rsid w:val="00BE042F"/>
    <w:rsid w:val="00BE064E"/>
    <w:rsid w:val="00BE0856"/>
    <w:rsid w:val="00BE085D"/>
    <w:rsid w:val="00BE0D4D"/>
    <w:rsid w:val="00BE0DDB"/>
    <w:rsid w:val="00BE0E68"/>
    <w:rsid w:val="00BE1059"/>
    <w:rsid w:val="00BE122D"/>
    <w:rsid w:val="00BE1BDC"/>
    <w:rsid w:val="00BE1BDF"/>
    <w:rsid w:val="00BE1C38"/>
    <w:rsid w:val="00BE1C8B"/>
    <w:rsid w:val="00BE1EB3"/>
    <w:rsid w:val="00BE1F7F"/>
    <w:rsid w:val="00BE20B8"/>
    <w:rsid w:val="00BE2430"/>
    <w:rsid w:val="00BE256B"/>
    <w:rsid w:val="00BE278D"/>
    <w:rsid w:val="00BE312C"/>
    <w:rsid w:val="00BE3203"/>
    <w:rsid w:val="00BE39EC"/>
    <w:rsid w:val="00BE3A37"/>
    <w:rsid w:val="00BE3BB9"/>
    <w:rsid w:val="00BE3D85"/>
    <w:rsid w:val="00BE3EB9"/>
    <w:rsid w:val="00BE431F"/>
    <w:rsid w:val="00BE43E1"/>
    <w:rsid w:val="00BE4592"/>
    <w:rsid w:val="00BE4624"/>
    <w:rsid w:val="00BE5A35"/>
    <w:rsid w:val="00BE5D73"/>
    <w:rsid w:val="00BE5EB6"/>
    <w:rsid w:val="00BE60CD"/>
    <w:rsid w:val="00BE625F"/>
    <w:rsid w:val="00BE6575"/>
    <w:rsid w:val="00BE6703"/>
    <w:rsid w:val="00BE678E"/>
    <w:rsid w:val="00BE67FA"/>
    <w:rsid w:val="00BE680A"/>
    <w:rsid w:val="00BE687B"/>
    <w:rsid w:val="00BE6AA1"/>
    <w:rsid w:val="00BE6BF3"/>
    <w:rsid w:val="00BE6D7F"/>
    <w:rsid w:val="00BE6E7D"/>
    <w:rsid w:val="00BE703A"/>
    <w:rsid w:val="00BE716C"/>
    <w:rsid w:val="00BE767F"/>
    <w:rsid w:val="00BE7B58"/>
    <w:rsid w:val="00BE7D89"/>
    <w:rsid w:val="00BF0133"/>
    <w:rsid w:val="00BF0151"/>
    <w:rsid w:val="00BF032A"/>
    <w:rsid w:val="00BF0CCD"/>
    <w:rsid w:val="00BF0E66"/>
    <w:rsid w:val="00BF0EE6"/>
    <w:rsid w:val="00BF127E"/>
    <w:rsid w:val="00BF1406"/>
    <w:rsid w:val="00BF16B1"/>
    <w:rsid w:val="00BF1701"/>
    <w:rsid w:val="00BF18B4"/>
    <w:rsid w:val="00BF1F1F"/>
    <w:rsid w:val="00BF2A1A"/>
    <w:rsid w:val="00BF2B95"/>
    <w:rsid w:val="00BF2BC1"/>
    <w:rsid w:val="00BF2CE2"/>
    <w:rsid w:val="00BF2F3F"/>
    <w:rsid w:val="00BF2F62"/>
    <w:rsid w:val="00BF3181"/>
    <w:rsid w:val="00BF3AEA"/>
    <w:rsid w:val="00BF4097"/>
    <w:rsid w:val="00BF40E3"/>
    <w:rsid w:val="00BF41F4"/>
    <w:rsid w:val="00BF42F7"/>
    <w:rsid w:val="00BF43F9"/>
    <w:rsid w:val="00BF470C"/>
    <w:rsid w:val="00BF4A4E"/>
    <w:rsid w:val="00BF4A8C"/>
    <w:rsid w:val="00BF4B56"/>
    <w:rsid w:val="00BF4F4B"/>
    <w:rsid w:val="00BF534C"/>
    <w:rsid w:val="00BF56E8"/>
    <w:rsid w:val="00BF5738"/>
    <w:rsid w:val="00BF58C9"/>
    <w:rsid w:val="00BF5BCC"/>
    <w:rsid w:val="00BF5EAC"/>
    <w:rsid w:val="00BF62A8"/>
    <w:rsid w:val="00BF643D"/>
    <w:rsid w:val="00BF655F"/>
    <w:rsid w:val="00BF659A"/>
    <w:rsid w:val="00BF6609"/>
    <w:rsid w:val="00BF6667"/>
    <w:rsid w:val="00BF66B1"/>
    <w:rsid w:val="00BF6B77"/>
    <w:rsid w:val="00BF6B9E"/>
    <w:rsid w:val="00BF6DFA"/>
    <w:rsid w:val="00BF6E31"/>
    <w:rsid w:val="00BF738B"/>
    <w:rsid w:val="00BF7589"/>
    <w:rsid w:val="00BF7648"/>
    <w:rsid w:val="00BF7A3C"/>
    <w:rsid w:val="00BF7C33"/>
    <w:rsid w:val="00BF7C48"/>
    <w:rsid w:val="00BF7D6E"/>
    <w:rsid w:val="00BF7E34"/>
    <w:rsid w:val="00BF7F34"/>
    <w:rsid w:val="00BF7F41"/>
    <w:rsid w:val="00BF7F62"/>
    <w:rsid w:val="00C0057F"/>
    <w:rsid w:val="00C0073C"/>
    <w:rsid w:val="00C00745"/>
    <w:rsid w:val="00C0076E"/>
    <w:rsid w:val="00C007C7"/>
    <w:rsid w:val="00C00816"/>
    <w:rsid w:val="00C009D0"/>
    <w:rsid w:val="00C0113A"/>
    <w:rsid w:val="00C01336"/>
    <w:rsid w:val="00C0197C"/>
    <w:rsid w:val="00C01A95"/>
    <w:rsid w:val="00C01F5C"/>
    <w:rsid w:val="00C0215A"/>
    <w:rsid w:val="00C022A7"/>
    <w:rsid w:val="00C0239F"/>
    <w:rsid w:val="00C0244E"/>
    <w:rsid w:val="00C0261E"/>
    <w:rsid w:val="00C029EE"/>
    <w:rsid w:val="00C02A4B"/>
    <w:rsid w:val="00C02C90"/>
    <w:rsid w:val="00C02C96"/>
    <w:rsid w:val="00C02FAD"/>
    <w:rsid w:val="00C03063"/>
    <w:rsid w:val="00C03175"/>
    <w:rsid w:val="00C034AA"/>
    <w:rsid w:val="00C0356D"/>
    <w:rsid w:val="00C035CC"/>
    <w:rsid w:val="00C0370E"/>
    <w:rsid w:val="00C038CC"/>
    <w:rsid w:val="00C03B76"/>
    <w:rsid w:val="00C041BC"/>
    <w:rsid w:val="00C044F6"/>
    <w:rsid w:val="00C0450C"/>
    <w:rsid w:val="00C048D1"/>
    <w:rsid w:val="00C049E5"/>
    <w:rsid w:val="00C04A0C"/>
    <w:rsid w:val="00C04E78"/>
    <w:rsid w:val="00C04EE1"/>
    <w:rsid w:val="00C04F46"/>
    <w:rsid w:val="00C050C1"/>
    <w:rsid w:val="00C052BD"/>
    <w:rsid w:val="00C05513"/>
    <w:rsid w:val="00C0558C"/>
    <w:rsid w:val="00C05B1F"/>
    <w:rsid w:val="00C05E37"/>
    <w:rsid w:val="00C05F83"/>
    <w:rsid w:val="00C06179"/>
    <w:rsid w:val="00C06537"/>
    <w:rsid w:val="00C06959"/>
    <w:rsid w:val="00C069BF"/>
    <w:rsid w:val="00C071C2"/>
    <w:rsid w:val="00C073C1"/>
    <w:rsid w:val="00C074B9"/>
    <w:rsid w:val="00C07A31"/>
    <w:rsid w:val="00C07B1A"/>
    <w:rsid w:val="00C07B2E"/>
    <w:rsid w:val="00C07B59"/>
    <w:rsid w:val="00C07B5C"/>
    <w:rsid w:val="00C10150"/>
    <w:rsid w:val="00C1039A"/>
    <w:rsid w:val="00C10551"/>
    <w:rsid w:val="00C105ED"/>
    <w:rsid w:val="00C109E5"/>
    <w:rsid w:val="00C10ABA"/>
    <w:rsid w:val="00C10B30"/>
    <w:rsid w:val="00C10B76"/>
    <w:rsid w:val="00C10DFF"/>
    <w:rsid w:val="00C110EF"/>
    <w:rsid w:val="00C11121"/>
    <w:rsid w:val="00C114B1"/>
    <w:rsid w:val="00C118D9"/>
    <w:rsid w:val="00C11C06"/>
    <w:rsid w:val="00C11E4C"/>
    <w:rsid w:val="00C11E57"/>
    <w:rsid w:val="00C121A2"/>
    <w:rsid w:val="00C12624"/>
    <w:rsid w:val="00C12814"/>
    <w:rsid w:val="00C12980"/>
    <w:rsid w:val="00C12B7C"/>
    <w:rsid w:val="00C12B85"/>
    <w:rsid w:val="00C12C40"/>
    <w:rsid w:val="00C13082"/>
    <w:rsid w:val="00C130F3"/>
    <w:rsid w:val="00C134C8"/>
    <w:rsid w:val="00C134D1"/>
    <w:rsid w:val="00C13560"/>
    <w:rsid w:val="00C137AE"/>
    <w:rsid w:val="00C13938"/>
    <w:rsid w:val="00C13971"/>
    <w:rsid w:val="00C13EB7"/>
    <w:rsid w:val="00C14168"/>
    <w:rsid w:val="00C14262"/>
    <w:rsid w:val="00C1426D"/>
    <w:rsid w:val="00C14DE3"/>
    <w:rsid w:val="00C14EA5"/>
    <w:rsid w:val="00C14EFB"/>
    <w:rsid w:val="00C15058"/>
    <w:rsid w:val="00C1525F"/>
    <w:rsid w:val="00C1537E"/>
    <w:rsid w:val="00C15557"/>
    <w:rsid w:val="00C1555F"/>
    <w:rsid w:val="00C15816"/>
    <w:rsid w:val="00C15A34"/>
    <w:rsid w:val="00C15D50"/>
    <w:rsid w:val="00C1603D"/>
    <w:rsid w:val="00C16098"/>
    <w:rsid w:val="00C16389"/>
    <w:rsid w:val="00C163EB"/>
    <w:rsid w:val="00C164C7"/>
    <w:rsid w:val="00C16562"/>
    <w:rsid w:val="00C166FD"/>
    <w:rsid w:val="00C16710"/>
    <w:rsid w:val="00C1683B"/>
    <w:rsid w:val="00C168D5"/>
    <w:rsid w:val="00C169CC"/>
    <w:rsid w:val="00C16AFC"/>
    <w:rsid w:val="00C16F93"/>
    <w:rsid w:val="00C170F6"/>
    <w:rsid w:val="00C17401"/>
    <w:rsid w:val="00C1752C"/>
    <w:rsid w:val="00C1752D"/>
    <w:rsid w:val="00C17C9E"/>
    <w:rsid w:val="00C17E0A"/>
    <w:rsid w:val="00C200D6"/>
    <w:rsid w:val="00C201F5"/>
    <w:rsid w:val="00C20216"/>
    <w:rsid w:val="00C202E9"/>
    <w:rsid w:val="00C20351"/>
    <w:rsid w:val="00C20987"/>
    <w:rsid w:val="00C20A7E"/>
    <w:rsid w:val="00C21979"/>
    <w:rsid w:val="00C219EB"/>
    <w:rsid w:val="00C21A2B"/>
    <w:rsid w:val="00C22230"/>
    <w:rsid w:val="00C22275"/>
    <w:rsid w:val="00C2285A"/>
    <w:rsid w:val="00C2288A"/>
    <w:rsid w:val="00C228CC"/>
    <w:rsid w:val="00C229F4"/>
    <w:rsid w:val="00C22C1B"/>
    <w:rsid w:val="00C22DF4"/>
    <w:rsid w:val="00C22E1A"/>
    <w:rsid w:val="00C23031"/>
    <w:rsid w:val="00C23509"/>
    <w:rsid w:val="00C23684"/>
    <w:rsid w:val="00C23B71"/>
    <w:rsid w:val="00C23E4C"/>
    <w:rsid w:val="00C24087"/>
    <w:rsid w:val="00C24194"/>
    <w:rsid w:val="00C244C2"/>
    <w:rsid w:val="00C24844"/>
    <w:rsid w:val="00C248FC"/>
    <w:rsid w:val="00C249BD"/>
    <w:rsid w:val="00C24CAC"/>
    <w:rsid w:val="00C24D53"/>
    <w:rsid w:val="00C24DA2"/>
    <w:rsid w:val="00C24FEA"/>
    <w:rsid w:val="00C25088"/>
    <w:rsid w:val="00C25261"/>
    <w:rsid w:val="00C252B7"/>
    <w:rsid w:val="00C25730"/>
    <w:rsid w:val="00C2574E"/>
    <w:rsid w:val="00C257B6"/>
    <w:rsid w:val="00C25B1D"/>
    <w:rsid w:val="00C25BD4"/>
    <w:rsid w:val="00C2629A"/>
    <w:rsid w:val="00C263CA"/>
    <w:rsid w:val="00C263CD"/>
    <w:rsid w:val="00C264D0"/>
    <w:rsid w:val="00C265A1"/>
    <w:rsid w:val="00C26604"/>
    <w:rsid w:val="00C266F7"/>
    <w:rsid w:val="00C26721"/>
    <w:rsid w:val="00C26878"/>
    <w:rsid w:val="00C26C22"/>
    <w:rsid w:val="00C26C6E"/>
    <w:rsid w:val="00C26D5A"/>
    <w:rsid w:val="00C274F1"/>
    <w:rsid w:val="00C27584"/>
    <w:rsid w:val="00C276E6"/>
    <w:rsid w:val="00C27A58"/>
    <w:rsid w:val="00C27E99"/>
    <w:rsid w:val="00C27EA5"/>
    <w:rsid w:val="00C27ECD"/>
    <w:rsid w:val="00C3003E"/>
    <w:rsid w:val="00C301D0"/>
    <w:rsid w:val="00C3046E"/>
    <w:rsid w:val="00C304A9"/>
    <w:rsid w:val="00C30678"/>
    <w:rsid w:val="00C307B7"/>
    <w:rsid w:val="00C307C5"/>
    <w:rsid w:val="00C30D60"/>
    <w:rsid w:val="00C30E78"/>
    <w:rsid w:val="00C313A6"/>
    <w:rsid w:val="00C313F1"/>
    <w:rsid w:val="00C31428"/>
    <w:rsid w:val="00C3162B"/>
    <w:rsid w:val="00C316D5"/>
    <w:rsid w:val="00C31779"/>
    <w:rsid w:val="00C3190F"/>
    <w:rsid w:val="00C31942"/>
    <w:rsid w:val="00C31A68"/>
    <w:rsid w:val="00C31B07"/>
    <w:rsid w:val="00C321EE"/>
    <w:rsid w:val="00C32432"/>
    <w:rsid w:val="00C326E6"/>
    <w:rsid w:val="00C32885"/>
    <w:rsid w:val="00C32929"/>
    <w:rsid w:val="00C3294C"/>
    <w:rsid w:val="00C32CC9"/>
    <w:rsid w:val="00C32E26"/>
    <w:rsid w:val="00C32F61"/>
    <w:rsid w:val="00C331AC"/>
    <w:rsid w:val="00C333B6"/>
    <w:rsid w:val="00C3344D"/>
    <w:rsid w:val="00C3361A"/>
    <w:rsid w:val="00C33849"/>
    <w:rsid w:val="00C33A0B"/>
    <w:rsid w:val="00C33AE0"/>
    <w:rsid w:val="00C33C32"/>
    <w:rsid w:val="00C33D4A"/>
    <w:rsid w:val="00C33ED4"/>
    <w:rsid w:val="00C348AC"/>
    <w:rsid w:val="00C34E10"/>
    <w:rsid w:val="00C34F3B"/>
    <w:rsid w:val="00C35035"/>
    <w:rsid w:val="00C35117"/>
    <w:rsid w:val="00C351BE"/>
    <w:rsid w:val="00C355F4"/>
    <w:rsid w:val="00C35B13"/>
    <w:rsid w:val="00C3657D"/>
    <w:rsid w:val="00C367CE"/>
    <w:rsid w:val="00C36847"/>
    <w:rsid w:val="00C3706C"/>
    <w:rsid w:val="00C370C3"/>
    <w:rsid w:val="00C370CB"/>
    <w:rsid w:val="00C3717B"/>
    <w:rsid w:val="00C373D3"/>
    <w:rsid w:val="00C37712"/>
    <w:rsid w:val="00C379D9"/>
    <w:rsid w:val="00C37C39"/>
    <w:rsid w:val="00C37D99"/>
    <w:rsid w:val="00C37DCD"/>
    <w:rsid w:val="00C404AE"/>
    <w:rsid w:val="00C40697"/>
    <w:rsid w:val="00C40935"/>
    <w:rsid w:val="00C40976"/>
    <w:rsid w:val="00C40BB4"/>
    <w:rsid w:val="00C40C2F"/>
    <w:rsid w:val="00C40CA6"/>
    <w:rsid w:val="00C40F90"/>
    <w:rsid w:val="00C41171"/>
    <w:rsid w:val="00C41274"/>
    <w:rsid w:val="00C412F5"/>
    <w:rsid w:val="00C418CC"/>
    <w:rsid w:val="00C420DE"/>
    <w:rsid w:val="00C42940"/>
    <w:rsid w:val="00C42A17"/>
    <w:rsid w:val="00C42B9F"/>
    <w:rsid w:val="00C42D4D"/>
    <w:rsid w:val="00C42E59"/>
    <w:rsid w:val="00C42EB9"/>
    <w:rsid w:val="00C4315E"/>
    <w:rsid w:val="00C431FC"/>
    <w:rsid w:val="00C433FA"/>
    <w:rsid w:val="00C4383C"/>
    <w:rsid w:val="00C43B2D"/>
    <w:rsid w:val="00C43FA2"/>
    <w:rsid w:val="00C4405A"/>
    <w:rsid w:val="00C4423E"/>
    <w:rsid w:val="00C44789"/>
    <w:rsid w:val="00C44795"/>
    <w:rsid w:val="00C44B4F"/>
    <w:rsid w:val="00C44CDA"/>
    <w:rsid w:val="00C44E03"/>
    <w:rsid w:val="00C453F4"/>
    <w:rsid w:val="00C457DE"/>
    <w:rsid w:val="00C459DF"/>
    <w:rsid w:val="00C45D4A"/>
    <w:rsid w:val="00C45FF2"/>
    <w:rsid w:val="00C4637E"/>
    <w:rsid w:val="00C463C4"/>
    <w:rsid w:val="00C46706"/>
    <w:rsid w:val="00C4683E"/>
    <w:rsid w:val="00C468AE"/>
    <w:rsid w:val="00C469D6"/>
    <w:rsid w:val="00C46A01"/>
    <w:rsid w:val="00C47AC8"/>
    <w:rsid w:val="00C47D98"/>
    <w:rsid w:val="00C47E16"/>
    <w:rsid w:val="00C47F9D"/>
    <w:rsid w:val="00C47FB4"/>
    <w:rsid w:val="00C50386"/>
    <w:rsid w:val="00C504C9"/>
    <w:rsid w:val="00C50502"/>
    <w:rsid w:val="00C505E9"/>
    <w:rsid w:val="00C50640"/>
    <w:rsid w:val="00C50798"/>
    <w:rsid w:val="00C50E67"/>
    <w:rsid w:val="00C51076"/>
    <w:rsid w:val="00C512AF"/>
    <w:rsid w:val="00C513A0"/>
    <w:rsid w:val="00C515A6"/>
    <w:rsid w:val="00C51D68"/>
    <w:rsid w:val="00C51DEB"/>
    <w:rsid w:val="00C52099"/>
    <w:rsid w:val="00C52228"/>
    <w:rsid w:val="00C52285"/>
    <w:rsid w:val="00C52532"/>
    <w:rsid w:val="00C52577"/>
    <w:rsid w:val="00C5284C"/>
    <w:rsid w:val="00C52E6C"/>
    <w:rsid w:val="00C52E91"/>
    <w:rsid w:val="00C52FF8"/>
    <w:rsid w:val="00C5317D"/>
    <w:rsid w:val="00C535C0"/>
    <w:rsid w:val="00C53626"/>
    <w:rsid w:val="00C53765"/>
    <w:rsid w:val="00C53A3B"/>
    <w:rsid w:val="00C53D5B"/>
    <w:rsid w:val="00C53D81"/>
    <w:rsid w:val="00C53FE2"/>
    <w:rsid w:val="00C540AC"/>
    <w:rsid w:val="00C540D9"/>
    <w:rsid w:val="00C540F7"/>
    <w:rsid w:val="00C54498"/>
    <w:rsid w:val="00C544AE"/>
    <w:rsid w:val="00C54574"/>
    <w:rsid w:val="00C545E6"/>
    <w:rsid w:val="00C54845"/>
    <w:rsid w:val="00C54880"/>
    <w:rsid w:val="00C54A95"/>
    <w:rsid w:val="00C54B5D"/>
    <w:rsid w:val="00C54B63"/>
    <w:rsid w:val="00C54E6D"/>
    <w:rsid w:val="00C55647"/>
    <w:rsid w:val="00C559C3"/>
    <w:rsid w:val="00C55DD8"/>
    <w:rsid w:val="00C55E05"/>
    <w:rsid w:val="00C55FBA"/>
    <w:rsid w:val="00C562A5"/>
    <w:rsid w:val="00C5635C"/>
    <w:rsid w:val="00C563D5"/>
    <w:rsid w:val="00C563D8"/>
    <w:rsid w:val="00C5660F"/>
    <w:rsid w:val="00C56CFE"/>
    <w:rsid w:val="00C5735A"/>
    <w:rsid w:val="00C57494"/>
    <w:rsid w:val="00C5757D"/>
    <w:rsid w:val="00C576DB"/>
    <w:rsid w:val="00C57900"/>
    <w:rsid w:val="00C57EAC"/>
    <w:rsid w:val="00C60144"/>
    <w:rsid w:val="00C6094E"/>
    <w:rsid w:val="00C61045"/>
    <w:rsid w:val="00C61481"/>
    <w:rsid w:val="00C617D5"/>
    <w:rsid w:val="00C617DE"/>
    <w:rsid w:val="00C619D9"/>
    <w:rsid w:val="00C61FF0"/>
    <w:rsid w:val="00C62352"/>
    <w:rsid w:val="00C6242E"/>
    <w:rsid w:val="00C62473"/>
    <w:rsid w:val="00C624F6"/>
    <w:rsid w:val="00C6265C"/>
    <w:rsid w:val="00C626AD"/>
    <w:rsid w:val="00C626B6"/>
    <w:rsid w:val="00C62707"/>
    <w:rsid w:val="00C62817"/>
    <w:rsid w:val="00C62819"/>
    <w:rsid w:val="00C629D6"/>
    <w:rsid w:val="00C629E3"/>
    <w:rsid w:val="00C62DC0"/>
    <w:rsid w:val="00C62DD0"/>
    <w:rsid w:val="00C62E41"/>
    <w:rsid w:val="00C63261"/>
    <w:rsid w:val="00C635F0"/>
    <w:rsid w:val="00C63717"/>
    <w:rsid w:val="00C63D7B"/>
    <w:rsid w:val="00C63F2A"/>
    <w:rsid w:val="00C64134"/>
    <w:rsid w:val="00C644EA"/>
    <w:rsid w:val="00C646BD"/>
    <w:rsid w:val="00C64C3A"/>
    <w:rsid w:val="00C64F12"/>
    <w:rsid w:val="00C64FB3"/>
    <w:rsid w:val="00C653BC"/>
    <w:rsid w:val="00C65466"/>
    <w:rsid w:val="00C6557C"/>
    <w:rsid w:val="00C65773"/>
    <w:rsid w:val="00C65E15"/>
    <w:rsid w:val="00C662B3"/>
    <w:rsid w:val="00C66952"/>
    <w:rsid w:val="00C66FDC"/>
    <w:rsid w:val="00C6703A"/>
    <w:rsid w:val="00C674A5"/>
    <w:rsid w:val="00C67579"/>
    <w:rsid w:val="00C675B3"/>
    <w:rsid w:val="00C67AAB"/>
    <w:rsid w:val="00C67CDC"/>
    <w:rsid w:val="00C67CE0"/>
    <w:rsid w:val="00C67FF7"/>
    <w:rsid w:val="00C706BB"/>
    <w:rsid w:val="00C706DD"/>
    <w:rsid w:val="00C70793"/>
    <w:rsid w:val="00C709F4"/>
    <w:rsid w:val="00C70A41"/>
    <w:rsid w:val="00C7176F"/>
    <w:rsid w:val="00C71F3E"/>
    <w:rsid w:val="00C72339"/>
    <w:rsid w:val="00C72772"/>
    <w:rsid w:val="00C7284A"/>
    <w:rsid w:val="00C72B95"/>
    <w:rsid w:val="00C72BC4"/>
    <w:rsid w:val="00C72D0D"/>
    <w:rsid w:val="00C7302B"/>
    <w:rsid w:val="00C732C1"/>
    <w:rsid w:val="00C734EC"/>
    <w:rsid w:val="00C73550"/>
    <w:rsid w:val="00C737E2"/>
    <w:rsid w:val="00C73DE5"/>
    <w:rsid w:val="00C740B8"/>
    <w:rsid w:val="00C741BD"/>
    <w:rsid w:val="00C743CF"/>
    <w:rsid w:val="00C7441D"/>
    <w:rsid w:val="00C746B4"/>
    <w:rsid w:val="00C748D1"/>
    <w:rsid w:val="00C74A03"/>
    <w:rsid w:val="00C74A68"/>
    <w:rsid w:val="00C74AAC"/>
    <w:rsid w:val="00C74BE7"/>
    <w:rsid w:val="00C75020"/>
    <w:rsid w:val="00C75361"/>
    <w:rsid w:val="00C755DA"/>
    <w:rsid w:val="00C7564F"/>
    <w:rsid w:val="00C75731"/>
    <w:rsid w:val="00C75788"/>
    <w:rsid w:val="00C7593E"/>
    <w:rsid w:val="00C759C6"/>
    <w:rsid w:val="00C759D2"/>
    <w:rsid w:val="00C759DE"/>
    <w:rsid w:val="00C75B8A"/>
    <w:rsid w:val="00C76404"/>
    <w:rsid w:val="00C76583"/>
    <w:rsid w:val="00C7670A"/>
    <w:rsid w:val="00C76A0B"/>
    <w:rsid w:val="00C76FFE"/>
    <w:rsid w:val="00C7707B"/>
    <w:rsid w:val="00C770BA"/>
    <w:rsid w:val="00C77185"/>
    <w:rsid w:val="00C7747E"/>
    <w:rsid w:val="00C774F5"/>
    <w:rsid w:val="00C776B5"/>
    <w:rsid w:val="00C777AE"/>
    <w:rsid w:val="00C77992"/>
    <w:rsid w:val="00C77C86"/>
    <w:rsid w:val="00C77CEE"/>
    <w:rsid w:val="00C80199"/>
    <w:rsid w:val="00C805FA"/>
    <w:rsid w:val="00C8063B"/>
    <w:rsid w:val="00C808CE"/>
    <w:rsid w:val="00C80A01"/>
    <w:rsid w:val="00C80AC7"/>
    <w:rsid w:val="00C80B5F"/>
    <w:rsid w:val="00C810A5"/>
    <w:rsid w:val="00C816ED"/>
    <w:rsid w:val="00C81A5C"/>
    <w:rsid w:val="00C81A84"/>
    <w:rsid w:val="00C81EE5"/>
    <w:rsid w:val="00C820ED"/>
    <w:rsid w:val="00C82115"/>
    <w:rsid w:val="00C82174"/>
    <w:rsid w:val="00C821DA"/>
    <w:rsid w:val="00C82387"/>
    <w:rsid w:val="00C827AE"/>
    <w:rsid w:val="00C82EE1"/>
    <w:rsid w:val="00C8300F"/>
    <w:rsid w:val="00C832FB"/>
    <w:rsid w:val="00C8371F"/>
    <w:rsid w:val="00C837CC"/>
    <w:rsid w:val="00C8381D"/>
    <w:rsid w:val="00C83DC3"/>
    <w:rsid w:val="00C83F99"/>
    <w:rsid w:val="00C840D6"/>
    <w:rsid w:val="00C8411B"/>
    <w:rsid w:val="00C84155"/>
    <w:rsid w:val="00C842FD"/>
    <w:rsid w:val="00C843B5"/>
    <w:rsid w:val="00C8489F"/>
    <w:rsid w:val="00C849B1"/>
    <w:rsid w:val="00C84D3C"/>
    <w:rsid w:val="00C85144"/>
    <w:rsid w:val="00C85349"/>
    <w:rsid w:val="00C855FE"/>
    <w:rsid w:val="00C85961"/>
    <w:rsid w:val="00C85CDD"/>
    <w:rsid w:val="00C85DE1"/>
    <w:rsid w:val="00C86181"/>
    <w:rsid w:val="00C862FE"/>
    <w:rsid w:val="00C86435"/>
    <w:rsid w:val="00C86854"/>
    <w:rsid w:val="00C86FB9"/>
    <w:rsid w:val="00C8759D"/>
    <w:rsid w:val="00C8787A"/>
    <w:rsid w:val="00C87BAC"/>
    <w:rsid w:val="00C900E7"/>
    <w:rsid w:val="00C90514"/>
    <w:rsid w:val="00C907A2"/>
    <w:rsid w:val="00C90842"/>
    <w:rsid w:val="00C9099E"/>
    <w:rsid w:val="00C90A4B"/>
    <w:rsid w:val="00C90B31"/>
    <w:rsid w:val="00C90BC7"/>
    <w:rsid w:val="00C90EAA"/>
    <w:rsid w:val="00C91081"/>
    <w:rsid w:val="00C91171"/>
    <w:rsid w:val="00C9118C"/>
    <w:rsid w:val="00C9193D"/>
    <w:rsid w:val="00C91986"/>
    <w:rsid w:val="00C91B31"/>
    <w:rsid w:val="00C91B40"/>
    <w:rsid w:val="00C91B71"/>
    <w:rsid w:val="00C91E06"/>
    <w:rsid w:val="00C91E9D"/>
    <w:rsid w:val="00C92011"/>
    <w:rsid w:val="00C920FE"/>
    <w:rsid w:val="00C92143"/>
    <w:rsid w:val="00C92206"/>
    <w:rsid w:val="00C92480"/>
    <w:rsid w:val="00C924D2"/>
    <w:rsid w:val="00C929C2"/>
    <w:rsid w:val="00C9302F"/>
    <w:rsid w:val="00C93514"/>
    <w:rsid w:val="00C93547"/>
    <w:rsid w:val="00C93695"/>
    <w:rsid w:val="00C93779"/>
    <w:rsid w:val="00C93793"/>
    <w:rsid w:val="00C93818"/>
    <w:rsid w:val="00C939DF"/>
    <w:rsid w:val="00C93C3C"/>
    <w:rsid w:val="00C93F39"/>
    <w:rsid w:val="00C94165"/>
    <w:rsid w:val="00C941AC"/>
    <w:rsid w:val="00C94961"/>
    <w:rsid w:val="00C94B26"/>
    <w:rsid w:val="00C94BE5"/>
    <w:rsid w:val="00C94C88"/>
    <w:rsid w:val="00C94CBE"/>
    <w:rsid w:val="00C94CE4"/>
    <w:rsid w:val="00C94D22"/>
    <w:rsid w:val="00C94D2A"/>
    <w:rsid w:val="00C94DBD"/>
    <w:rsid w:val="00C95033"/>
    <w:rsid w:val="00C951E2"/>
    <w:rsid w:val="00C95496"/>
    <w:rsid w:val="00C95568"/>
    <w:rsid w:val="00C955F9"/>
    <w:rsid w:val="00C9574A"/>
    <w:rsid w:val="00C95882"/>
    <w:rsid w:val="00C95F9C"/>
    <w:rsid w:val="00C96006"/>
    <w:rsid w:val="00C96132"/>
    <w:rsid w:val="00C962B8"/>
    <w:rsid w:val="00C963DF"/>
    <w:rsid w:val="00C967B7"/>
    <w:rsid w:val="00C96B2B"/>
    <w:rsid w:val="00C96C8B"/>
    <w:rsid w:val="00C96C8E"/>
    <w:rsid w:val="00C96D65"/>
    <w:rsid w:val="00C96DF4"/>
    <w:rsid w:val="00C9711C"/>
    <w:rsid w:val="00C976CF"/>
    <w:rsid w:val="00C97765"/>
    <w:rsid w:val="00C97BED"/>
    <w:rsid w:val="00C97E13"/>
    <w:rsid w:val="00CA0165"/>
    <w:rsid w:val="00CA01E6"/>
    <w:rsid w:val="00CA0228"/>
    <w:rsid w:val="00CA02C2"/>
    <w:rsid w:val="00CA06F6"/>
    <w:rsid w:val="00CA0806"/>
    <w:rsid w:val="00CA090D"/>
    <w:rsid w:val="00CA0A07"/>
    <w:rsid w:val="00CA0AD3"/>
    <w:rsid w:val="00CA0B70"/>
    <w:rsid w:val="00CA0D9D"/>
    <w:rsid w:val="00CA113A"/>
    <w:rsid w:val="00CA129D"/>
    <w:rsid w:val="00CA1471"/>
    <w:rsid w:val="00CA159B"/>
    <w:rsid w:val="00CA175D"/>
    <w:rsid w:val="00CA1C41"/>
    <w:rsid w:val="00CA1FC4"/>
    <w:rsid w:val="00CA20BC"/>
    <w:rsid w:val="00CA22DB"/>
    <w:rsid w:val="00CA2337"/>
    <w:rsid w:val="00CA244C"/>
    <w:rsid w:val="00CA2466"/>
    <w:rsid w:val="00CA250D"/>
    <w:rsid w:val="00CA2980"/>
    <w:rsid w:val="00CA29F1"/>
    <w:rsid w:val="00CA2AD6"/>
    <w:rsid w:val="00CA2E1D"/>
    <w:rsid w:val="00CA3094"/>
    <w:rsid w:val="00CA3348"/>
    <w:rsid w:val="00CA3AB4"/>
    <w:rsid w:val="00CA3DBF"/>
    <w:rsid w:val="00CA3F67"/>
    <w:rsid w:val="00CA4012"/>
    <w:rsid w:val="00CA401D"/>
    <w:rsid w:val="00CA412E"/>
    <w:rsid w:val="00CA42E0"/>
    <w:rsid w:val="00CA43AF"/>
    <w:rsid w:val="00CA5212"/>
    <w:rsid w:val="00CA537B"/>
    <w:rsid w:val="00CA5402"/>
    <w:rsid w:val="00CA552A"/>
    <w:rsid w:val="00CA59AD"/>
    <w:rsid w:val="00CA5CB0"/>
    <w:rsid w:val="00CA5D04"/>
    <w:rsid w:val="00CA5DD8"/>
    <w:rsid w:val="00CA643D"/>
    <w:rsid w:val="00CA6E23"/>
    <w:rsid w:val="00CA7146"/>
    <w:rsid w:val="00CA720A"/>
    <w:rsid w:val="00CA771D"/>
    <w:rsid w:val="00CB020D"/>
    <w:rsid w:val="00CB0441"/>
    <w:rsid w:val="00CB0493"/>
    <w:rsid w:val="00CB0555"/>
    <w:rsid w:val="00CB0659"/>
    <w:rsid w:val="00CB071B"/>
    <w:rsid w:val="00CB0893"/>
    <w:rsid w:val="00CB0C72"/>
    <w:rsid w:val="00CB0E70"/>
    <w:rsid w:val="00CB1266"/>
    <w:rsid w:val="00CB138C"/>
    <w:rsid w:val="00CB1E17"/>
    <w:rsid w:val="00CB1E2F"/>
    <w:rsid w:val="00CB2155"/>
    <w:rsid w:val="00CB2484"/>
    <w:rsid w:val="00CB2BE9"/>
    <w:rsid w:val="00CB311D"/>
    <w:rsid w:val="00CB3172"/>
    <w:rsid w:val="00CB34AE"/>
    <w:rsid w:val="00CB383C"/>
    <w:rsid w:val="00CB38B1"/>
    <w:rsid w:val="00CB3958"/>
    <w:rsid w:val="00CB398B"/>
    <w:rsid w:val="00CB43A8"/>
    <w:rsid w:val="00CB449B"/>
    <w:rsid w:val="00CB44A5"/>
    <w:rsid w:val="00CB46F6"/>
    <w:rsid w:val="00CB48F3"/>
    <w:rsid w:val="00CB52DB"/>
    <w:rsid w:val="00CB5323"/>
    <w:rsid w:val="00CB554D"/>
    <w:rsid w:val="00CB562B"/>
    <w:rsid w:val="00CB5787"/>
    <w:rsid w:val="00CB57BB"/>
    <w:rsid w:val="00CB5EA9"/>
    <w:rsid w:val="00CB609F"/>
    <w:rsid w:val="00CB60A8"/>
    <w:rsid w:val="00CB6254"/>
    <w:rsid w:val="00CB6528"/>
    <w:rsid w:val="00CB676A"/>
    <w:rsid w:val="00CB687F"/>
    <w:rsid w:val="00CB697C"/>
    <w:rsid w:val="00CB6A6D"/>
    <w:rsid w:val="00CB6B2C"/>
    <w:rsid w:val="00CB6FD5"/>
    <w:rsid w:val="00CB701A"/>
    <w:rsid w:val="00CB74F3"/>
    <w:rsid w:val="00CB7550"/>
    <w:rsid w:val="00CB76F0"/>
    <w:rsid w:val="00CB788A"/>
    <w:rsid w:val="00CC0047"/>
    <w:rsid w:val="00CC0255"/>
    <w:rsid w:val="00CC02F1"/>
    <w:rsid w:val="00CC0552"/>
    <w:rsid w:val="00CC05EC"/>
    <w:rsid w:val="00CC06A4"/>
    <w:rsid w:val="00CC06BD"/>
    <w:rsid w:val="00CC08BB"/>
    <w:rsid w:val="00CC0A62"/>
    <w:rsid w:val="00CC0CA6"/>
    <w:rsid w:val="00CC0CC5"/>
    <w:rsid w:val="00CC0CE0"/>
    <w:rsid w:val="00CC0CEB"/>
    <w:rsid w:val="00CC0DE4"/>
    <w:rsid w:val="00CC0E40"/>
    <w:rsid w:val="00CC1030"/>
    <w:rsid w:val="00CC10B3"/>
    <w:rsid w:val="00CC11B8"/>
    <w:rsid w:val="00CC1216"/>
    <w:rsid w:val="00CC12A8"/>
    <w:rsid w:val="00CC162D"/>
    <w:rsid w:val="00CC1817"/>
    <w:rsid w:val="00CC1B03"/>
    <w:rsid w:val="00CC1E04"/>
    <w:rsid w:val="00CC26F7"/>
    <w:rsid w:val="00CC2B1A"/>
    <w:rsid w:val="00CC2BA4"/>
    <w:rsid w:val="00CC2BCE"/>
    <w:rsid w:val="00CC2DBD"/>
    <w:rsid w:val="00CC2E58"/>
    <w:rsid w:val="00CC2E70"/>
    <w:rsid w:val="00CC3072"/>
    <w:rsid w:val="00CC309C"/>
    <w:rsid w:val="00CC3208"/>
    <w:rsid w:val="00CC3479"/>
    <w:rsid w:val="00CC3546"/>
    <w:rsid w:val="00CC3593"/>
    <w:rsid w:val="00CC3726"/>
    <w:rsid w:val="00CC3B12"/>
    <w:rsid w:val="00CC3C4E"/>
    <w:rsid w:val="00CC3DAD"/>
    <w:rsid w:val="00CC3DD2"/>
    <w:rsid w:val="00CC43E3"/>
    <w:rsid w:val="00CC4457"/>
    <w:rsid w:val="00CC4B38"/>
    <w:rsid w:val="00CC4C38"/>
    <w:rsid w:val="00CC4F06"/>
    <w:rsid w:val="00CC506B"/>
    <w:rsid w:val="00CC536C"/>
    <w:rsid w:val="00CC53F3"/>
    <w:rsid w:val="00CC58E2"/>
    <w:rsid w:val="00CC5A41"/>
    <w:rsid w:val="00CC5A69"/>
    <w:rsid w:val="00CC5A86"/>
    <w:rsid w:val="00CC5CD7"/>
    <w:rsid w:val="00CC5D21"/>
    <w:rsid w:val="00CC5E23"/>
    <w:rsid w:val="00CC5F36"/>
    <w:rsid w:val="00CC650E"/>
    <w:rsid w:val="00CC655B"/>
    <w:rsid w:val="00CC6B0E"/>
    <w:rsid w:val="00CC6BDE"/>
    <w:rsid w:val="00CC6D6B"/>
    <w:rsid w:val="00CC6E0A"/>
    <w:rsid w:val="00CC6E1F"/>
    <w:rsid w:val="00CC70D7"/>
    <w:rsid w:val="00CC7202"/>
    <w:rsid w:val="00CC7246"/>
    <w:rsid w:val="00CC7268"/>
    <w:rsid w:val="00CC72CB"/>
    <w:rsid w:val="00CC7363"/>
    <w:rsid w:val="00CC74B6"/>
    <w:rsid w:val="00CC7526"/>
    <w:rsid w:val="00CC7947"/>
    <w:rsid w:val="00CC79F3"/>
    <w:rsid w:val="00CC7A6D"/>
    <w:rsid w:val="00CC7E9E"/>
    <w:rsid w:val="00CD000E"/>
    <w:rsid w:val="00CD0623"/>
    <w:rsid w:val="00CD0B21"/>
    <w:rsid w:val="00CD10B1"/>
    <w:rsid w:val="00CD11BB"/>
    <w:rsid w:val="00CD132A"/>
    <w:rsid w:val="00CD1515"/>
    <w:rsid w:val="00CD159A"/>
    <w:rsid w:val="00CD1679"/>
    <w:rsid w:val="00CD17CA"/>
    <w:rsid w:val="00CD19AE"/>
    <w:rsid w:val="00CD1E10"/>
    <w:rsid w:val="00CD2325"/>
    <w:rsid w:val="00CD2347"/>
    <w:rsid w:val="00CD28B7"/>
    <w:rsid w:val="00CD29D3"/>
    <w:rsid w:val="00CD2D74"/>
    <w:rsid w:val="00CD369F"/>
    <w:rsid w:val="00CD3729"/>
    <w:rsid w:val="00CD4158"/>
    <w:rsid w:val="00CD469F"/>
    <w:rsid w:val="00CD495C"/>
    <w:rsid w:val="00CD4A93"/>
    <w:rsid w:val="00CD4BA5"/>
    <w:rsid w:val="00CD501C"/>
    <w:rsid w:val="00CD5029"/>
    <w:rsid w:val="00CD5226"/>
    <w:rsid w:val="00CD527D"/>
    <w:rsid w:val="00CD5357"/>
    <w:rsid w:val="00CD549B"/>
    <w:rsid w:val="00CD578A"/>
    <w:rsid w:val="00CD5931"/>
    <w:rsid w:val="00CD5B77"/>
    <w:rsid w:val="00CD5C33"/>
    <w:rsid w:val="00CD5E83"/>
    <w:rsid w:val="00CD5F87"/>
    <w:rsid w:val="00CD6009"/>
    <w:rsid w:val="00CD60B8"/>
    <w:rsid w:val="00CD60DF"/>
    <w:rsid w:val="00CD6150"/>
    <w:rsid w:val="00CD6408"/>
    <w:rsid w:val="00CD65BB"/>
    <w:rsid w:val="00CD6D7A"/>
    <w:rsid w:val="00CD6DFD"/>
    <w:rsid w:val="00CD70B1"/>
    <w:rsid w:val="00CD758A"/>
    <w:rsid w:val="00CD767F"/>
    <w:rsid w:val="00CD768D"/>
    <w:rsid w:val="00CD76D1"/>
    <w:rsid w:val="00CD787F"/>
    <w:rsid w:val="00CD79F2"/>
    <w:rsid w:val="00CD7D64"/>
    <w:rsid w:val="00CD7E26"/>
    <w:rsid w:val="00CD7EA1"/>
    <w:rsid w:val="00CD7F40"/>
    <w:rsid w:val="00CE020B"/>
    <w:rsid w:val="00CE0236"/>
    <w:rsid w:val="00CE0664"/>
    <w:rsid w:val="00CE06DC"/>
    <w:rsid w:val="00CE076E"/>
    <w:rsid w:val="00CE08D4"/>
    <w:rsid w:val="00CE0DA6"/>
    <w:rsid w:val="00CE0E1F"/>
    <w:rsid w:val="00CE0F07"/>
    <w:rsid w:val="00CE0F76"/>
    <w:rsid w:val="00CE1084"/>
    <w:rsid w:val="00CE1104"/>
    <w:rsid w:val="00CE1337"/>
    <w:rsid w:val="00CE166C"/>
    <w:rsid w:val="00CE169F"/>
    <w:rsid w:val="00CE179C"/>
    <w:rsid w:val="00CE18CC"/>
    <w:rsid w:val="00CE1CD5"/>
    <w:rsid w:val="00CE1E06"/>
    <w:rsid w:val="00CE1F65"/>
    <w:rsid w:val="00CE2BF5"/>
    <w:rsid w:val="00CE2C93"/>
    <w:rsid w:val="00CE2F8C"/>
    <w:rsid w:val="00CE32BA"/>
    <w:rsid w:val="00CE35FB"/>
    <w:rsid w:val="00CE360F"/>
    <w:rsid w:val="00CE36FB"/>
    <w:rsid w:val="00CE3808"/>
    <w:rsid w:val="00CE3BC5"/>
    <w:rsid w:val="00CE41CD"/>
    <w:rsid w:val="00CE4518"/>
    <w:rsid w:val="00CE4748"/>
    <w:rsid w:val="00CE4B79"/>
    <w:rsid w:val="00CE4D3F"/>
    <w:rsid w:val="00CE4E56"/>
    <w:rsid w:val="00CE51A1"/>
    <w:rsid w:val="00CE5285"/>
    <w:rsid w:val="00CE5864"/>
    <w:rsid w:val="00CE5F14"/>
    <w:rsid w:val="00CE6001"/>
    <w:rsid w:val="00CE6234"/>
    <w:rsid w:val="00CE62A5"/>
    <w:rsid w:val="00CE637A"/>
    <w:rsid w:val="00CE6994"/>
    <w:rsid w:val="00CE69B6"/>
    <w:rsid w:val="00CE6A79"/>
    <w:rsid w:val="00CE6EAF"/>
    <w:rsid w:val="00CE7160"/>
    <w:rsid w:val="00CE717B"/>
    <w:rsid w:val="00CE750F"/>
    <w:rsid w:val="00CE7C3B"/>
    <w:rsid w:val="00CE7DE1"/>
    <w:rsid w:val="00CE7EC2"/>
    <w:rsid w:val="00CE7F44"/>
    <w:rsid w:val="00CF02DB"/>
    <w:rsid w:val="00CF0759"/>
    <w:rsid w:val="00CF07A3"/>
    <w:rsid w:val="00CF085A"/>
    <w:rsid w:val="00CF08B6"/>
    <w:rsid w:val="00CF0E02"/>
    <w:rsid w:val="00CF0FD3"/>
    <w:rsid w:val="00CF0FF3"/>
    <w:rsid w:val="00CF11D9"/>
    <w:rsid w:val="00CF1294"/>
    <w:rsid w:val="00CF1681"/>
    <w:rsid w:val="00CF186B"/>
    <w:rsid w:val="00CF189D"/>
    <w:rsid w:val="00CF1BB6"/>
    <w:rsid w:val="00CF1BBB"/>
    <w:rsid w:val="00CF1C44"/>
    <w:rsid w:val="00CF1CFD"/>
    <w:rsid w:val="00CF1FBF"/>
    <w:rsid w:val="00CF2076"/>
    <w:rsid w:val="00CF2468"/>
    <w:rsid w:val="00CF25C8"/>
    <w:rsid w:val="00CF292C"/>
    <w:rsid w:val="00CF2B03"/>
    <w:rsid w:val="00CF2EE3"/>
    <w:rsid w:val="00CF30E7"/>
    <w:rsid w:val="00CF3451"/>
    <w:rsid w:val="00CF3726"/>
    <w:rsid w:val="00CF3A27"/>
    <w:rsid w:val="00CF3A93"/>
    <w:rsid w:val="00CF3BA2"/>
    <w:rsid w:val="00CF3BBB"/>
    <w:rsid w:val="00CF3D62"/>
    <w:rsid w:val="00CF3DFA"/>
    <w:rsid w:val="00CF421C"/>
    <w:rsid w:val="00CF433C"/>
    <w:rsid w:val="00CF43AE"/>
    <w:rsid w:val="00CF5409"/>
    <w:rsid w:val="00CF5444"/>
    <w:rsid w:val="00CF57F7"/>
    <w:rsid w:val="00CF587F"/>
    <w:rsid w:val="00CF5D4E"/>
    <w:rsid w:val="00CF5F09"/>
    <w:rsid w:val="00CF60D9"/>
    <w:rsid w:val="00CF625D"/>
    <w:rsid w:val="00CF632C"/>
    <w:rsid w:val="00CF685D"/>
    <w:rsid w:val="00CF6A08"/>
    <w:rsid w:val="00CF6A23"/>
    <w:rsid w:val="00CF6BD3"/>
    <w:rsid w:val="00CF6DD3"/>
    <w:rsid w:val="00CF7152"/>
    <w:rsid w:val="00CF7566"/>
    <w:rsid w:val="00CF7F43"/>
    <w:rsid w:val="00D00085"/>
    <w:rsid w:val="00D00156"/>
    <w:rsid w:val="00D001D4"/>
    <w:rsid w:val="00D00374"/>
    <w:rsid w:val="00D003C6"/>
    <w:rsid w:val="00D00499"/>
    <w:rsid w:val="00D00AD4"/>
    <w:rsid w:val="00D00C31"/>
    <w:rsid w:val="00D00CB5"/>
    <w:rsid w:val="00D00D2E"/>
    <w:rsid w:val="00D00D77"/>
    <w:rsid w:val="00D00E89"/>
    <w:rsid w:val="00D012F5"/>
    <w:rsid w:val="00D013D0"/>
    <w:rsid w:val="00D0141B"/>
    <w:rsid w:val="00D01525"/>
    <w:rsid w:val="00D01537"/>
    <w:rsid w:val="00D0159D"/>
    <w:rsid w:val="00D01B93"/>
    <w:rsid w:val="00D01EA2"/>
    <w:rsid w:val="00D01EB1"/>
    <w:rsid w:val="00D01F43"/>
    <w:rsid w:val="00D021DE"/>
    <w:rsid w:val="00D0222D"/>
    <w:rsid w:val="00D0237D"/>
    <w:rsid w:val="00D02819"/>
    <w:rsid w:val="00D02BC5"/>
    <w:rsid w:val="00D02F26"/>
    <w:rsid w:val="00D031FF"/>
    <w:rsid w:val="00D0356C"/>
    <w:rsid w:val="00D03594"/>
    <w:rsid w:val="00D03691"/>
    <w:rsid w:val="00D03718"/>
    <w:rsid w:val="00D03977"/>
    <w:rsid w:val="00D03A6A"/>
    <w:rsid w:val="00D03BE3"/>
    <w:rsid w:val="00D03C63"/>
    <w:rsid w:val="00D03EC6"/>
    <w:rsid w:val="00D04252"/>
    <w:rsid w:val="00D04370"/>
    <w:rsid w:val="00D04561"/>
    <w:rsid w:val="00D0467F"/>
    <w:rsid w:val="00D0490E"/>
    <w:rsid w:val="00D04954"/>
    <w:rsid w:val="00D04AF3"/>
    <w:rsid w:val="00D04B8D"/>
    <w:rsid w:val="00D04BFE"/>
    <w:rsid w:val="00D04CED"/>
    <w:rsid w:val="00D04F83"/>
    <w:rsid w:val="00D051D5"/>
    <w:rsid w:val="00D05936"/>
    <w:rsid w:val="00D05E59"/>
    <w:rsid w:val="00D05EAB"/>
    <w:rsid w:val="00D05EC9"/>
    <w:rsid w:val="00D05F5E"/>
    <w:rsid w:val="00D06168"/>
    <w:rsid w:val="00D063DD"/>
    <w:rsid w:val="00D0649F"/>
    <w:rsid w:val="00D064F6"/>
    <w:rsid w:val="00D065C3"/>
    <w:rsid w:val="00D066B1"/>
    <w:rsid w:val="00D0673B"/>
    <w:rsid w:val="00D06C82"/>
    <w:rsid w:val="00D06D02"/>
    <w:rsid w:val="00D06D4F"/>
    <w:rsid w:val="00D073FB"/>
    <w:rsid w:val="00D0757A"/>
    <w:rsid w:val="00D075E9"/>
    <w:rsid w:val="00D07A89"/>
    <w:rsid w:val="00D07E68"/>
    <w:rsid w:val="00D07E94"/>
    <w:rsid w:val="00D10224"/>
    <w:rsid w:val="00D10237"/>
    <w:rsid w:val="00D10372"/>
    <w:rsid w:val="00D10926"/>
    <w:rsid w:val="00D10CEC"/>
    <w:rsid w:val="00D10CFC"/>
    <w:rsid w:val="00D10DD2"/>
    <w:rsid w:val="00D1103F"/>
    <w:rsid w:val="00D11233"/>
    <w:rsid w:val="00D11F6A"/>
    <w:rsid w:val="00D11FD6"/>
    <w:rsid w:val="00D11FEB"/>
    <w:rsid w:val="00D120D2"/>
    <w:rsid w:val="00D12468"/>
    <w:rsid w:val="00D12590"/>
    <w:rsid w:val="00D12788"/>
    <w:rsid w:val="00D12EE7"/>
    <w:rsid w:val="00D13421"/>
    <w:rsid w:val="00D136F8"/>
    <w:rsid w:val="00D137FE"/>
    <w:rsid w:val="00D13A11"/>
    <w:rsid w:val="00D13A39"/>
    <w:rsid w:val="00D13A4A"/>
    <w:rsid w:val="00D14072"/>
    <w:rsid w:val="00D14197"/>
    <w:rsid w:val="00D143C9"/>
    <w:rsid w:val="00D14483"/>
    <w:rsid w:val="00D1484E"/>
    <w:rsid w:val="00D14B74"/>
    <w:rsid w:val="00D14C8F"/>
    <w:rsid w:val="00D14F13"/>
    <w:rsid w:val="00D152C7"/>
    <w:rsid w:val="00D1530D"/>
    <w:rsid w:val="00D1570C"/>
    <w:rsid w:val="00D15ACE"/>
    <w:rsid w:val="00D15B7C"/>
    <w:rsid w:val="00D15C50"/>
    <w:rsid w:val="00D15D3D"/>
    <w:rsid w:val="00D16050"/>
    <w:rsid w:val="00D16155"/>
    <w:rsid w:val="00D1622B"/>
    <w:rsid w:val="00D16435"/>
    <w:rsid w:val="00D16517"/>
    <w:rsid w:val="00D1651E"/>
    <w:rsid w:val="00D168CB"/>
    <w:rsid w:val="00D16978"/>
    <w:rsid w:val="00D16A64"/>
    <w:rsid w:val="00D16AD7"/>
    <w:rsid w:val="00D16B3D"/>
    <w:rsid w:val="00D16B52"/>
    <w:rsid w:val="00D16D4A"/>
    <w:rsid w:val="00D16EC0"/>
    <w:rsid w:val="00D1712D"/>
    <w:rsid w:val="00D17286"/>
    <w:rsid w:val="00D174A8"/>
    <w:rsid w:val="00D17B25"/>
    <w:rsid w:val="00D20200"/>
    <w:rsid w:val="00D20603"/>
    <w:rsid w:val="00D208F8"/>
    <w:rsid w:val="00D20B01"/>
    <w:rsid w:val="00D20F24"/>
    <w:rsid w:val="00D210B1"/>
    <w:rsid w:val="00D210EA"/>
    <w:rsid w:val="00D213A0"/>
    <w:rsid w:val="00D213B1"/>
    <w:rsid w:val="00D213E1"/>
    <w:rsid w:val="00D2144F"/>
    <w:rsid w:val="00D2147D"/>
    <w:rsid w:val="00D214FB"/>
    <w:rsid w:val="00D21520"/>
    <w:rsid w:val="00D217B9"/>
    <w:rsid w:val="00D21DD5"/>
    <w:rsid w:val="00D21EF1"/>
    <w:rsid w:val="00D21F53"/>
    <w:rsid w:val="00D21FF5"/>
    <w:rsid w:val="00D2200D"/>
    <w:rsid w:val="00D22CBF"/>
    <w:rsid w:val="00D22D60"/>
    <w:rsid w:val="00D2349D"/>
    <w:rsid w:val="00D235A3"/>
    <w:rsid w:val="00D235CC"/>
    <w:rsid w:val="00D23647"/>
    <w:rsid w:val="00D23CBF"/>
    <w:rsid w:val="00D23FC6"/>
    <w:rsid w:val="00D24066"/>
    <w:rsid w:val="00D241DE"/>
    <w:rsid w:val="00D2479B"/>
    <w:rsid w:val="00D248A9"/>
    <w:rsid w:val="00D24C00"/>
    <w:rsid w:val="00D24CBA"/>
    <w:rsid w:val="00D25301"/>
    <w:rsid w:val="00D2564A"/>
    <w:rsid w:val="00D260DB"/>
    <w:rsid w:val="00D2672E"/>
    <w:rsid w:val="00D267EA"/>
    <w:rsid w:val="00D26BDD"/>
    <w:rsid w:val="00D26FCA"/>
    <w:rsid w:val="00D270E3"/>
    <w:rsid w:val="00D2720A"/>
    <w:rsid w:val="00D27244"/>
    <w:rsid w:val="00D2735C"/>
    <w:rsid w:val="00D27488"/>
    <w:rsid w:val="00D276ED"/>
    <w:rsid w:val="00D27AD4"/>
    <w:rsid w:val="00D27E39"/>
    <w:rsid w:val="00D27FEB"/>
    <w:rsid w:val="00D30232"/>
    <w:rsid w:val="00D302CA"/>
    <w:rsid w:val="00D303CE"/>
    <w:rsid w:val="00D30542"/>
    <w:rsid w:val="00D30880"/>
    <w:rsid w:val="00D30AF4"/>
    <w:rsid w:val="00D30B60"/>
    <w:rsid w:val="00D30F22"/>
    <w:rsid w:val="00D30F32"/>
    <w:rsid w:val="00D3121B"/>
    <w:rsid w:val="00D317A4"/>
    <w:rsid w:val="00D31A7D"/>
    <w:rsid w:val="00D31AE7"/>
    <w:rsid w:val="00D31DA6"/>
    <w:rsid w:val="00D32639"/>
    <w:rsid w:val="00D3285E"/>
    <w:rsid w:val="00D32B6D"/>
    <w:rsid w:val="00D32E5B"/>
    <w:rsid w:val="00D330BF"/>
    <w:rsid w:val="00D33961"/>
    <w:rsid w:val="00D33CDF"/>
    <w:rsid w:val="00D33D4F"/>
    <w:rsid w:val="00D341F9"/>
    <w:rsid w:val="00D34CED"/>
    <w:rsid w:val="00D34FC0"/>
    <w:rsid w:val="00D34FC1"/>
    <w:rsid w:val="00D353D5"/>
    <w:rsid w:val="00D35533"/>
    <w:rsid w:val="00D35F1F"/>
    <w:rsid w:val="00D35FAC"/>
    <w:rsid w:val="00D361D3"/>
    <w:rsid w:val="00D3639C"/>
    <w:rsid w:val="00D36FA7"/>
    <w:rsid w:val="00D3735C"/>
    <w:rsid w:val="00D37650"/>
    <w:rsid w:val="00D378E6"/>
    <w:rsid w:val="00D3794B"/>
    <w:rsid w:val="00D37C48"/>
    <w:rsid w:val="00D37C5D"/>
    <w:rsid w:val="00D37E0D"/>
    <w:rsid w:val="00D37EDA"/>
    <w:rsid w:val="00D37FD8"/>
    <w:rsid w:val="00D40079"/>
    <w:rsid w:val="00D4017C"/>
    <w:rsid w:val="00D40304"/>
    <w:rsid w:val="00D4034B"/>
    <w:rsid w:val="00D40FE6"/>
    <w:rsid w:val="00D411E9"/>
    <w:rsid w:val="00D41276"/>
    <w:rsid w:val="00D41366"/>
    <w:rsid w:val="00D416D1"/>
    <w:rsid w:val="00D41D44"/>
    <w:rsid w:val="00D4233D"/>
    <w:rsid w:val="00D42487"/>
    <w:rsid w:val="00D4250C"/>
    <w:rsid w:val="00D4251B"/>
    <w:rsid w:val="00D42586"/>
    <w:rsid w:val="00D428EF"/>
    <w:rsid w:val="00D42A13"/>
    <w:rsid w:val="00D42DE9"/>
    <w:rsid w:val="00D42F16"/>
    <w:rsid w:val="00D43649"/>
    <w:rsid w:val="00D43700"/>
    <w:rsid w:val="00D43894"/>
    <w:rsid w:val="00D43B3D"/>
    <w:rsid w:val="00D4433D"/>
    <w:rsid w:val="00D4451D"/>
    <w:rsid w:val="00D446DE"/>
    <w:rsid w:val="00D4472A"/>
    <w:rsid w:val="00D44AD0"/>
    <w:rsid w:val="00D44C0B"/>
    <w:rsid w:val="00D44F2A"/>
    <w:rsid w:val="00D4541C"/>
    <w:rsid w:val="00D456EE"/>
    <w:rsid w:val="00D4599C"/>
    <w:rsid w:val="00D45A02"/>
    <w:rsid w:val="00D45A2D"/>
    <w:rsid w:val="00D46BE5"/>
    <w:rsid w:val="00D46D8E"/>
    <w:rsid w:val="00D46E27"/>
    <w:rsid w:val="00D46EF7"/>
    <w:rsid w:val="00D470D2"/>
    <w:rsid w:val="00D473D0"/>
    <w:rsid w:val="00D47649"/>
    <w:rsid w:val="00D479B0"/>
    <w:rsid w:val="00D47B14"/>
    <w:rsid w:val="00D47B39"/>
    <w:rsid w:val="00D47E2F"/>
    <w:rsid w:val="00D5011E"/>
    <w:rsid w:val="00D50618"/>
    <w:rsid w:val="00D50693"/>
    <w:rsid w:val="00D507EF"/>
    <w:rsid w:val="00D509B1"/>
    <w:rsid w:val="00D50A17"/>
    <w:rsid w:val="00D50C82"/>
    <w:rsid w:val="00D50DD3"/>
    <w:rsid w:val="00D50FD6"/>
    <w:rsid w:val="00D513FD"/>
    <w:rsid w:val="00D514F8"/>
    <w:rsid w:val="00D51636"/>
    <w:rsid w:val="00D516C2"/>
    <w:rsid w:val="00D519F8"/>
    <w:rsid w:val="00D51BE9"/>
    <w:rsid w:val="00D51CE7"/>
    <w:rsid w:val="00D51D66"/>
    <w:rsid w:val="00D51E06"/>
    <w:rsid w:val="00D51E89"/>
    <w:rsid w:val="00D51F4E"/>
    <w:rsid w:val="00D527A0"/>
    <w:rsid w:val="00D527B8"/>
    <w:rsid w:val="00D52ACA"/>
    <w:rsid w:val="00D534BC"/>
    <w:rsid w:val="00D5368F"/>
    <w:rsid w:val="00D53C77"/>
    <w:rsid w:val="00D54122"/>
    <w:rsid w:val="00D5420F"/>
    <w:rsid w:val="00D5439C"/>
    <w:rsid w:val="00D5443C"/>
    <w:rsid w:val="00D547BA"/>
    <w:rsid w:val="00D54CB1"/>
    <w:rsid w:val="00D54F20"/>
    <w:rsid w:val="00D5520E"/>
    <w:rsid w:val="00D553CB"/>
    <w:rsid w:val="00D5553A"/>
    <w:rsid w:val="00D55665"/>
    <w:rsid w:val="00D556D6"/>
    <w:rsid w:val="00D55720"/>
    <w:rsid w:val="00D55750"/>
    <w:rsid w:val="00D5582E"/>
    <w:rsid w:val="00D55CEA"/>
    <w:rsid w:val="00D55D16"/>
    <w:rsid w:val="00D5602E"/>
    <w:rsid w:val="00D56132"/>
    <w:rsid w:val="00D56352"/>
    <w:rsid w:val="00D56368"/>
    <w:rsid w:val="00D568F2"/>
    <w:rsid w:val="00D56B0C"/>
    <w:rsid w:val="00D56E3E"/>
    <w:rsid w:val="00D5700B"/>
    <w:rsid w:val="00D57017"/>
    <w:rsid w:val="00D572B8"/>
    <w:rsid w:val="00D57474"/>
    <w:rsid w:val="00D5751A"/>
    <w:rsid w:val="00D57DE8"/>
    <w:rsid w:val="00D57E8A"/>
    <w:rsid w:val="00D57F2D"/>
    <w:rsid w:val="00D60091"/>
    <w:rsid w:val="00D601C4"/>
    <w:rsid w:val="00D605F0"/>
    <w:rsid w:val="00D60798"/>
    <w:rsid w:val="00D607C9"/>
    <w:rsid w:val="00D609C7"/>
    <w:rsid w:val="00D60CCE"/>
    <w:rsid w:val="00D610A2"/>
    <w:rsid w:val="00D615E3"/>
    <w:rsid w:val="00D61649"/>
    <w:rsid w:val="00D6182B"/>
    <w:rsid w:val="00D61894"/>
    <w:rsid w:val="00D618C6"/>
    <w:rsid w:val="00D61CA3"/>
    <w:rsid w:val="00D61DDC"/>
    <w:rsid w:val="00D625C6"/>
    <w:rsid w:val="00D62600"/>
    <w:rsid w:val="00D62771"/>
    <w:rsid w:val="00D627A6"/>
    <w:rsid w:val="00D629C0"/>
    <w:rsid w:val="00D62B6F"/>
    <w:rsid w:val="00D62CFF"/>
    <w:rsid w:val="00D62D82"/>
    <w:rsid w:val="00D62E4C"/>
    <w:rsid w:val="00D63282"/>
    <w:rsid w:val="00D633D8"/>
    <w:rsid w:val="00D63711"/>
    <w:rsid w:val="00D637FA"/>
    <w:rsid w:val="00D63B9A"/>
    <w:rsid w:val="00D63C2D"/>
    <w:rsid w:val="00D63FAA"/>
    <w:rsid w:val="00D64512"/>
    <w:rsid w:val="00D64623"/>
    <w:rsid w:val="00D64801"/>
    <w:rsid w:val="00D649C0"/>
    <w:rsid w:val="00D64AB0"/>
    <w:rsid w:val="00D6501F"/>
    <w:rsid w:val="00D655AA"/>
    <w:rsid w:val="00D65645"/>
    <w:rsid w:val="00D658BD"/>
    <w:rsid w:val="00D6590B"/>
    <w:rsid w:val="00D659B0"/>
    <w:rsid w:val="00D65CFF"/>
    <w:rsid w:val="00D65E29"/>
    <w:rsid w:val="00D66267"/>
    <w:rsid w:val="00D6633C"/>
    <w:rsid w:val="00D66552"/>
    <w:rsid w:val="00D668A4"/>
    <w:rsid w:val="00D668AB"/>
    <w:rsid w:val="00D66FD1"/>
    <w:rsid w:val="00D670E3"/>
    <w:rsid w:val="00D675E6"/>
    <w:rsid w:val="00D6780A"/>
    <w:rsid w:val="00D6798D"/>
    <w:rsid w:val="00D67FB8"/>
    <w:rsid w:val="00D70033"/>
    <w:rsid w:val="00D7004E"/>
    <w:rsid w:val="00D7029C"/>
    <w:rsid w:val="00D7081E"/>
    <w:rsid w:val="00D70DB9"/>
    <w:rsid w:val="00D70E36"/>
    <w:rsid w:val="00D712BC"/>
    <w:rsid w:val="00D71707"/>
    <w:rsid w:val="00D71B3A"/>
    <w:rsid w:val="00D71CC7"/>
    <w:rsid w:val="00D724B7"/>
    <w:rsid w:val="00D724BA"/>
    <w:rsid w:val="00D727A4"/>
    <w:rsid w:val="00D73072"/>
    <w:rsid w:val="00D73363"/>
    <w:rsid w:val="00D736BC"/>
    <w:rsid w:val="00D737A8"/>
    <w:rsid w:val="00D7384A"/>
    <w:rsid w:val="00D739F3"/>
    <w:rsid w:val="00D739FC"/>
    <w:rsid w:val="00D73D51"/>
    <w:rsid w:val="00D73FC4"/>
    <w:rsid w:val="00D7440A"/>
    <w:rsid w:val="00D74537"/>
    <w:rsid w:val="00D74618"/>
    <w:rsid w:val="00D747BF"/>
    <w:rsid w:val="00D74D01"/>
    <w:rsid w:val="00D74D91"/>
    <w:rsid w:val="00D74E3E"/>
    <w:rsid w:val="00D7518C"/>
    <w:rsid w:val="00D75321"/>
    <w:rsid w:val="00D7532B"/>
    <w:rsid w:val="00D753FD"/>
    <w:rsid w:val="00D755F9"/>
    <w:rsid w:val="00D756D7"/>
    <w:rsid w:val="00D7582D"/>
    <w:rsid w:val="00D75BCE"/>
    <w:rsid w:val="00D75EA1"/>
    <w:rsid w:val="00D75EC8"/>
    <w:rsid w:val="00D75F45"/>
    <w:rsid w:val="00D75FB3"/>
    <w:rsid w:val="00D761AB"/>
    <w:rsid w:val="00D76361"/>
    <w:rsid w:val="00D763B1"/>
    <w:rsid w:val="00D76549"/>
    <w:rsid w:val="00D76B8C"/>
    <w:rsid w:val="00D77031"/>
    <w:rsid w:val="00D7708D"/>
    <w:rsid w:val="00D77545"/>
    <w:rsid w:val="00D77757"/>
    <w:rsid w:val="00D77A49"/>
    <w:rsid w:val="00D77D99"/>
    <w:rsid w:val="00D80012"/>
    <w:rsid w:val="00D80037"/>
    <w:rsid w:val="00D800D5"/>
    <w:rsid w:val="00D80717"/>
    <w:rsid w:val="00D8073F"/>
    <w:rsid w:val="00D807E5"/>
    <w:rsid w:val="00D80B76"/>
    <w:rsid w:val="00D81050"/>
    <w:rsid w:val="00D813C0"/>
    <w:rsid w:val="00D81B13"/>
    <w:rsid w:val="00D81E0C"/>
    <w:rsid w:val="00D81F54"/>
    <w:rsid w:val="00D82163"/>
    <w:rsid w:val="00D822A1"/>
    <w:rsid w:val="00D8253E"/>
    <w:rsid w:val="00D82847"/>
    <w:rsid w:val="00D82ADD"/>
    <w:rsid w:val="00D82C88"/>
    <w:rsid w:val="00D82EE3"/>
    <w:rsid w:val="00D83999"/>
    <w:rsid w:val="00D83E40"/>
    <w:rsid w:val="00D840CD"/>
    <w:rsid w:val="00D8466A"/>
    <w:rsid w:val="00D8471F"/>
    <w:rsid w:val="00D848BD"/>
    <w:rsid w:val="00D84A46"/>
    <w:rsid w:val="00D85111"/>
    <w:rsid w:val="00D851A5"/>
    <w:rsid w:val="00D8524A"/>
    <w:rsid w:val="00D8527D"/>
    <w:rsid w:val="00D855D8"/>
    <w:rsid w:val="00D86317"/>
    <w:rsid w:val="00D86351"/>
    <w:rsid w:val="00D863CE"/>
    <w:rsid w:val="00D863F2"/>
    <w:rsid w:val="00D8640B"/>
    <w:rsid w:val="00D865BD"/>
    <w:rsid w:val="00D86801"/>
    <w:rsid w:val="00D86D4C"/>
    <w:rsid w:val="00D8722B"/>
    <w:rsid w:val="00D877B4"/>
    <w:rsid w:val="00D8780B"/>
    <w:rsid w:val="00D878F2"/>
    <w:rsid w:val="00D900D3"/>
    <w:rsid w:val="00D9011E"/>
    <w:rsid w:val="00D90321"/>
    <w:rsid w:val="00D9039D"/>
    <w:rsid w:val="00D9074B"/>
    <w:rsid w:val="00D90785"/>
    <w:rsid w:val="00D907F1"/>
    <w:rsid w:val="00D90ABA"/>
    <w:rsid w:val="00D90C49"/>
    <w:rsid w:val="00D90CEE"/>
    <w:rsid w:val="00D91445"/>
    <w:rsid w:val="00D91857"/>
    <w:rsid w:val="00D918B3"/>
    <w:rsid w:val="00D91CF8"/>
    <w:rsid w:val="00D91FA1"/>
    <w:rsid w:val="00D91FCA"/>
    <w:rsid w:val="00D923A4"/>
    <w:rsid w:val="00D923A9"/>
    <w:rsid w:val="00D9262E"/>
    <w:rsid w:val="00D926F5"/>
    <w:rsid w:val="00D92755"/>
    <w:rsid w:val="00D927AB"/>
    <w:rsid w:val="00D92A2D"/>
    <w:rsid w:val="00D92B40"/>
    <w:rsid w:val="00D92BD2"/>
    <w:rsid w:val="00D92CB0"/>
    <w:rsid w:val="00D93076"/>
    <w:rsid w:val="00D932A2"/>
    <w:rsid w:val="00D934B0"/>
    <w:rsid w:val="00D93647"/>
    <w:rsid w:val="00D93B35"/>
    <w:rsid w:val="00D93CF9"/>
    <w:rsid w:val="00D93EF4"/>
    <w:rsid w:val="00D94729"/>
    <w:rsid w:val="00D9472A"/>
    <w:rsid w:val="00D94831"/>
    <w:rsid w:val="00D94892"/>
    <w:rsid w:val="00D948B0"/>
    <w:rsid w:val="00D94A45"/>
    <w:rsid w:val="00D94CEF"/>
    <w:rsid w:val="00D9504A"/>
    <w:rsid w:val="00D953A4"/>
    <w:rsid w:val="00D955C7"/>
    <w:rsid w:val="00D95612"/>
    <w:rsid w:val="00D959E9"/>
    <w:rsid w:val="00D95CB4"/>
    <w:rsid w:val="00D95FC8"/>
    <w:rsid w:val="00D9625C"/>
    <w:rsid w:val="00D96288"/>
    <w:rsid w:val="00D96678"/>
    <w:rsid w:val="00D96A27"/>
    <w:rsid w:val="00D96A6E"/>
    <w:rsid w:val="00D96ACC"/>
    <w:rsid w:val="00D96C78"/>
    <w:rsid w:val="00D96CCF"/>
    <w:rsid w:val="00D96D85"/>
    <w:rsid w:val="00D96F32"/>
    <w:rsid w:val="00D972ED"/>
    <w:rsid w:val="00D97355"/>
    <w:rsid w:val="00D973A4"/>
    <w:rsid w:val="00D97566"/>
    <w:rsid w:val="00D975F3"/>
    <w:rsid w:val="00D97629"/>
    <w:rsid w:val="00D976C4"/>
    <w:rsid w:val="00D97744"/>
    <w:rsid w:val="00D9774F"/>
    <w:rsid w:val="00D97949"/>
    <w:rsid w:val="00D97B84"/>
    <w:rsid w:val="00D97DBB"/>
    <w:rsid w:val="00D97E0A"/>
    <w:rsid w:val="00DA0062"/>
    <w:rsid w:val="00DA01F0"/>
    <w:rsid w:val="00DA045F"/>
    <w:rsid w:val="00DA05F6"/>
    <w:rsid w:val="00DA08A9"/>
    <w:rsid w:val="00DA093A"/>
    <w:rsid w:val="00DA0FDA"/>
    <w:rsid w:val="00DA157D"/>
    <w:rsid w:val="00DA1B67"/>
    <w:rsid w:val="00DA1B8D"/>
    <w:rsid w:val="00DA1F7B"/>
    <w:rsid w:val="00DA2183"/>
    <w:rsid w:val="00DA298C"/>
    <w:rsid w:val="00DA2A99"/>
    <w:rsid w:val="00DA2C30"/>
    <w:rsid w:val="00DA319E"/>
    <w:rsid w:val="00DA333B"/>
    <w:rsid w:val="00DA3400"/>
    <w:rsid w:val="00DA3416"/>
    <w:rsid w:val="00DA35E0"/>
    <w:rsid w:val="00DA3621"/>
    <w:rsid w:val="00DA38D3"/>
    <w:rsid w:val="00DA3931"/>
    <w:rsid w:val="00DA3B29"/>
    <w:rsid w:val="00DA3D00"/>
    <w:rsid w:val="00DA3E14"/>
    <w:rsid w:val="00DA403C"/>
    <w:rsid w:val="00DA41FB"/>
    <w:rsid w:val="00DA4289"/>
    <w:rsid w:val="00DA484B"/>
    <w:rsid w:val="00DA4A30"/>
    <w:rsid w:val="00DA4BC6"/>
    <w:rsid w:val="00DA4C8B"/>
    <w:rsid w:val="00DA4EF5"/>
    <w:rsid w:val="00DA5266"/>
    <w:rsid w:val="00DA542F"/>
    <w:rsid w:val="00DA5E05"/>
    <w:rsid w:val="00DA5F2A"/>
    <w:rsid w:val="00DA634F"/>
    <w:rsid w:val="00DA636A"/>
    <w:rsid w:val="00DA6438"/>
    <w:rsid w:val="00DA658C"/>
    <w:rsid w:val="00DA69CF"/>
    <w:rsid w:val="00DA6BD5"/>
    <w:rsid w:val="00DA6FB2"/>
    <w:rsid w:val="00DA718A"/>
    <w:rsid w:val="00DA7818"/>
    <w:rsid w:val="00DA784A"/>
    <w:rsid w:val="00DA79DF"/>
    <w:rsid w:val="00DA7A53"/>
    <w:rsid w:val="00DB0043"/>
    <w:rsid w:val="00DB02A0"/>
    <w:rsid w:val="00DB0536"/>
    <w:rsid w:val="00DB0663"/>
    <w:rsid w:val="00DB06B8"/>
    <w:rsid w:val="00DB07FF"/>
    <w:rsid w:val="00DB0923"/>
    <w:rsid w:val="00DB09CD"/>
    <w:rsid w:val="00DB0D42"/>
    <w:rsid w:val="00DB0E97"/>
    <w:rsid w:val="00DB1236"/>
    <w:rsid w:val="00DB1333"/>
    <w:rsid w:val="00DB14E2"/>
    <w:rsid w:val="00DB16D4"/>
    <w:rsid w:val="00DB1744"/>
    <w:rsid w:val="00DB1DCB"/>
    <w:rsid w:val="00DB1E1F"/>
    <w:rsid w:val="00DB1ECE"/>
    <w:rsid w:val="00DB1F51"/>
    <w:rsid w:val="00DB235E"/>
    <w:rsid w:val="00DB245D"/>
    <w:rsid w:val="00DB2855"/>
    <w:rsid w:val="00DB2DA2"/>
    <w:rsid w:val="00DB2E99"/>
    <w:rsid w:val="00DB2EAD"/>
    <w:rsid w:val="00DB338E"/>
    <w:rsid w:val="00DB3442"/>
    <w:rsid w:val="00DB35E4"/>
    <w:rsid w:val="00DB368B"/>
    <w:rsid w:val="00DB3804"/>
    <w:rsid w:val="00DB3867"/>
    <w:rsid w:val="00DB397A"/>
    <w:rsid w:val="00DB3A48"/>
    <w:rsid w:val="00DB3B8E"/>
    <w:rsid w:val="00DB3D66"/>
    <w:rsid w:val="00DB3F6B"/>
    <w:rsid w:val="00DB410B"/>
    <w:rsid w:val="00DB415D"/>
    <w:rsid w:val="00DB444E"/>
    <w:rsid w:val="00DB44B7"/>
    <w:rsid w:val="00DB47BD"/>
    <w:rsid w:val="00DB498F"/>
    <w:rsid w:val="00DB4A8A"/>
    <w:rsid w:val="00DB4E32"/>
    <w:rsid w:val="00DB4FCE"/>
    <w:rsid w:val="00DB50A3"/>
    <w:rsid w:val="00DB50AE"/>
    <w:rsid w:val="00DB518A"/>
    <w:rsid w:val="00DB5238"/>
    <w:rsid w:val="00DB5463"/>
    <w:rsid w:val="00DB567B"/>
    <w:rsid w:val="00DB56CA"/>
    <w:rsid w:val="00DB5999"/>
    <w:rsid w:val="00DB6187"/>
    <w:rsid w:val="00DB64AF"/>
    <w:rsid w:val="00DB6761"/>
    <w:rsid w:val="00DB6A4F"/>
    <w:rsid w:val="00DB6C58"/>
    <w:rsid w:val="00DB6EFC"/>
    <w:rsid w:val="00DB7176"/>
    <w:rsid w:val="00DB75AE"/>
    <w:rsid w:val="00DB7870"/>
    <w:rsid w:val="00DB7BBB"/>
    <w:rsid w:val="00DB7CA9"/>
    <w:rsid w:val="00DB7D2D"/>
    <w:rsid w:val="00DB7D32"/>
    <w:rsid w:val="00DB7E80"/>
    <w:rsid w:val="00DB7EA2"/>
    <w:rsid w:val="00DC00AA"/>
    <w:rsid w:val="00DC02F4"/>
    <w:rsid w:val="00DC072D"/>
    <w:rsid w:val="00DC090E"/>
    <w:rsid w:val="00DC0B2D"/>
    <w:rsid w:val="00DC0B3F"/>
    <w:rsid w:val="00DC0D87"/>
    <w:rsid w:val="00DC18EC"/>
    <w:rsid w:val="00DC1CAC"/>
    <w:rsid w:val="00DC1EDF"/>
    <w:rsid w:val="00DC1F96"/>
    <w:rsid w:val="00DC2A2B"/>
    <w:rsid w:val="00DC2C43"/>
    <w:rsid w:val="00DC2DE5"/>
    <w:rsid w:val="00DC2EF5"/>
    <w:rsid w:val="00DC2EF6"/>
    <w:rsid w:val="00DC3465"/>
    <w:rsid w:val="00DC35A6"/>
    <w:rsid w:val="00DC3619"/>
    <w:rsid w:val="00DC36CA"/>
    <w:rsid w:val="00DC383F"/>
    <w:rsid w:val="00DC3866"/>
    <w:rsid w:val="00DC39FA"/>
    <w:rsid w:val="00DC3FD7"/>
    <w:rsid w:val="00DC4043"/>
    <w:rsid w:val="00DC4353"/>
    <w:rsid w:val="00DC439E"/>
    <w:rsid w:val="00DC4648"/>
    <w:rsid w:val="00DC482C"/>
    <w:rsid w:val="00DC49C6"/>
    <w:rsid w:val="00DC4BD0"/>
    <w:rsid w:val="00DC543B"/>
    <w:rsid w:val="00DC54DC"/>
    <w:rsid w:val="00DC59BC"/>
    <w:rsid w:val="00DC5A36"/>
    <w:rsid w:val="00DC5FDF"/>
    <w:rsid w:val="00DC5FF7"/>
    <w:rsid w:val="00DC6112"/>
    <w:rsid w:val="00DC63C0"/>
    <w:rsid w:val="00DC6402"/>
    <w:rsid w:val="00DC669C"/>
    <w:rsid w:val="00DC6793"/>
    <w:rsid w:val="00DC6F6B"/>
    <w:rsid w:val="00DC7083"/>
    <w:rsid w:val="00DC7107"/>
    <w:rsid w:val="00DC7419"/>
    <w:rsid w:val="00DC748B"/>
    <w:rsid w:val="00DC74A9"/>
    <w:rsid w:val="00DC7641"/>
    <w:rsid w:val="00DC767B"/>
    <w:rsid w:val="00DC790B"/>
    <w:rsid w:val="00DC7A0A"/>
    <w:rsid w:val="00DC7CB9"/>
    <w:rsid w:val="00DC7E53"/>
    <w:rsid w:val="00DC7EE2"/>
    <w:rsid w:val="00DD004D"/>
    <w:rsid w:val="00DD0226"/>
    <w:rsid w:val="00DD03AE"/>
    <w:rsid w:val="00DD0697"/>
    <w:rsid w:val="00DD06EC"/>
    <w:rsid w:val="00DD0994"/>
    <w:rsid w:val="00DD0BE5"/>
    <w:rsid w:val="00DD0E77"/>
    <w:rsid w:val="00DD0F02"/>
    <w:rsid w:val="00DD0FB0"/>
    <w:rsid w:val="00DD14C1"/>
    <w:rsid w:val="00DD15F2"/>
    <w:rsid w:val="00DD169A"/>
    <w:rsid w:val="00DD16EC"/>
    <w:rsid w:val="00DD1707"/>
    <w:rsid w:val="00DD17BF"/>
    <w:rsid w:val="00DD19CE"/>
    <w:rsid w:val="00DD19DD"/>
    <w:rsid w:val="00DD1BB1"/>
    <w:rsid w:val="00DD1E70"/>
    <w:rsid w:val="00DD1F35"/>
    <w:rsid w:val="00DD2295"/>
    <w:rsid w:val="00DD24A4"/>
    <w:rsid w:val="00DD26B5"/>
    <w:rsid w:val="00DD27D7"/>
    <w:rsid w:val="00DD2847"/>
    <w:rsid w:val="00DD29AF"/>
    <w:rsid w:val="00DD2C54"/>
    <w:rsid w:val="00DD2C8E"/>
    <w:rsid w:val="00DD2F39"/>
    <w:rsid w:val="00DD2F67"/>
    <w:rsid w:val="00DD2FCB"/>
    <w:rsid w:val="00DD30A2"/>
    <w:rsid w:val="00DD313C"/>
    <w:rsid w:val="00DD32D4"/>
    <w:rsid w:val="00DD34DE"/>
    <w:rsid w:val="00DD35ED"/>
    <w:rsid w:val="00DD3625"/>
    <w:rsid w:val="00DD3880"/>
    <w:rsid w:val="00DD3972"/>
    <w:rsid w:val="00DD398C"/>
    <w:rsid w:val="00DD3A34"/>
    <w:rsid w:val="00DD3BB3"/>
    <w:rsid w:val="00DD412F"/>
    <w:rsid w:val="00DD4880"/>
    <w:rsid w:val="00DD48A9"/>
    <w:rsid w:val="00DD4A49"/>
    <w:rsid w:val="00DD4C4A"/>
    <w:rsid w:val="00DD4ED5"/>
    <w:rsid w:val="00DD50C9"/>
    <w:rsid w:val="00DD5A2D"/>
    <w:rsid w:val="00DD5B0E"/>
    <w:rsid w:val="00DD5B55"/>
    <w:rsid w:val="00DD5C4A"/>
    <w:rsid w:val="00DD69A7"/>
    <w:rsid w:val="00DD6B2C"/>
    <w:rsid w:val="00DD6CCA"/>
    <w:rsid w:val="00DD6D43"/>
    <w:rsid w:val="00DD6EFF"/>
    <w:rsid w:val="00DD73F5"/>
    <w:rsid w:val="00DD7445"/>
    <w:rsid w:val="00DD763C"/>
    <w:rsid w:val="00DD7ABC"/>
    <w:rsid w:val="00DE0147"/>
    <w:rsid w:val="00DE022D"/>
    <w:rsid w:val="00DE0578"/>
    <w:rsid w:val="00DE0830"/>
    <w:rsid w:val="00DE08F7"/>
    <w:rsid w:val="00DE0E78"/>
    <w:rsid w:val="00DE122C"/>
    <w:rsid w:val="00DE1505"/>
    <w:rsid w:val="00DE1696"/>
    <w:rsid w:val="00DE178D"/>
    <w:rsid w:val="00DE186E"/>
    <w:rsid w:val="00DE1B75"/>
    <w:rsid w:val="00DE21D9"/>
    <w:rsid w:val="00DE2218"/>
    <w:rsid w:val="00DE2262"/>
    <w:rsid w:val="00DE23F8"/>
    <w:rsid w:val="00DE2488"/>
    <w:rsid w:val="00DE2641"/>
    <w:rsid w:val="00DE282D"/>
    <w:rsid w:val="00DE2962"/>
    <w:rsid w:val="00DE2C92"/>
    <w:rsid w:val="00DE2D8C"/>
    <w:rsid w:val="00DE2F9B"/>
    <w:rsid w:val="00DE31CA"/>
    <w:rsid w:val="00DE350D"/>
    <w:rsid w:val="00DE3677"/>
    <w:rsid w:val="00DE3739"/>
    <w:rsid w:val="00DE384C"/>
    <w:rsid w:val="00DE391D"/>
    <w:rsid w:val="00DE39AB"/>
    <w:rsid w:val="00DE3DBE"/>
    <w:rsid w:val="00DE3F2C"/>
    <w:rsid w:val="00DE447A"/>
    <w:rsid w:val="00DE474B"/>
    <w:rsid w:val="00DE49FB"/>
    <w:rsid w:val="00DE4BC0"/>
    <w:rsid w:val="00DE4BFF"/>
    <w:rsid w:val="00DE4C1D"/>
    <w:rsid w:val="00DE4EC2"/>
    <w:rsid w:val="00DE5209"/>
    <w:rsid w:val="00DE5563"/>
    <w:rsid w:val="00DE56BD"/>
    <w:rsid w:val="00DE56ED"/>
    <w:rsid w:val="00DE5848"/>
    <w:rsid w:val="00DE5BCE"/>
    <w:rsid w:val="00DE5E6C"/>
    <w:rsid w:val="00DE62A9"/>
    <w:rsid w:val="00DE6453"/>
    <w:rsid w:val="00DE6875"/>
    <w:rsid w:val="00DE69D2"/>
    <w:rsid w:val="00DE6BFE"/>
    <w:rsid w:val="00DE6C9F"/>
    <w:rsid w:val="00DE7042"/>
    <w:rsid w:val="00DE7967"/>
    <w:rsid w:val="00DE7BE9"/>
    <w:rsid w:val="00DF0127"/>
    <w:rsid w:val="00DF0488"/>
    <w:rsid w:val="00DF0B1D"/>
    <w:rsid w:val="00DF0DA9"/>
    <w:rsid w:val="00DF0DD6"/>
    <w:rsid w:val="00DF1430"/>
    <w:rsid w:val="00DF1CE4"/>
    <w:rsid w:val="00DF1F3D"/>
    <w:rsid w:val="00DF22C9"/>
    <w:rsid w:val="00DF2664"/>
    <w:rsid w:val="00DF2BB7"/>
    <w:rsid w:val="00DF2E21"/>
    <w:rsid w:val="00DF30C7"/>
    <w:rsid w:val="00DF3536"/>
    <w:rsid w:val="00DF37EF"/>
    <w:rsid w:val="00DF3B27"/>
    <w:rsid w:val="00DF3D62"/>
    <w:rsid w:val="00DF429B"/>
    <w:rsid w:val="00DF4386"/>
    <w:rsid w:val="00DF47B7"/>
    <w:rsid w:val="00DF4DF3"/>
    <w:rsid w:val="00DF4DF4"/>
    <w:rsid w:val="00DF4ECC"/>
    <w:rsid w:val="00DF4ED1"/>
    <w:rsid w:val="00DF5604"/>
    <w:rsid w:val="00DF5C5F"/>
    <w:rsid w:val="00DF65B6"/>
    <w:rsid w:val="00DF66F4"/>
    <w:rsid w:val="00DF69B8"/>
    <w:rsid w:val="00DF6B25"/>
    <w:rsid w:val="00DF6CFF"/>
    <w:rsid w:val="00DF6E8C"/>
    <w:rsid w:val="00DF6FF1"/>
    <w:rsid w:val="00DF706F"/>
    <w:rsid w:val="00DF7249"/>
    <w:rsid w:val="00DF72E5"/>
    <w:rsid w:val="00DF7B53"/>
    <w:rsid w:val="00DF7C5B"/>
    <w:rsid w:val="00DF7D18"/>
    <w:rsid w:val="00DF7DB6"/>
    <w:rsid w:val="00DF7F92"/>
    <w:rsid w:val="00E00085"/>
    <w:rsid w:val="00E001A7"/>
    <w:rsid w:val="00E00813"/>
    <w:rsid w:val="00E00DB8"/>
    <w:rsid w:val="00E014B9"/>
    <w:rsid w:val="00E015E0"/>
    <w:rsid w:val="00E019DF"/>
    <w:rsid w:val="00E01B20"/>
    <w:rsid w:val="00E01B2A"/>
    <w:rsid w:val="00E01BF7"/>
    <w:rsid w:val="00E020D2"/>
    <w:rsid w:val="00E021FB"/>
    <w:rsid w:val="00E022CF"/>
    <w:rsid w:val="00E02504"/>
    <w:rsid w:val="00E0257A"/>
    <w:rsid w:val="00E02941"/>
    <w:rsid w:val="00E02CF7"/>
    <w:rsid w:val="00E02F4C"/>
    <w:rsid w:val="00E030E3"/>
    <w:rsid w:val="00E03394"/>
    <w:rsid w:val="00E03847"/>
    <w:rsid w:val="00E038A2"/>
    <w:rsid w:val="00E03921"/>
    <w:rsid w:val="00E03BAA"/>
    <w:rsid w:val="00E03EFC"/>
    <w:rsid w:val="00E0401A"/>
    <w:rsid w:val="00E041CB"/>
    <w:rsid w:val="00E04311"/>
    <w:rsid w:val="00E04557"/>
    <w:rsid w:val="00E046E6"/>
    <w:rsid w:val="00E0487B"/>
    <w:rsid w:val="00E04C4A"/>
    <w:rsid w:val="00E04E5B"/>
    <w:rsid w:val="00E04F4D"/>
    <w:rsid w:val="00E0502E"/>
    <w:rsid w:val="00E05071"/>
    <w:rsid w:val="00E05109"/>
    <w:rsid w:val="00E0526C"/>
    <w:rsid w:val="00E0529E"/>
    <w:rsid w:val="00E05497"/>
    <w:rsid w:val="00E057FA"/>
    <w:rsid w:val="00E05960"/>
    <w:rsid w:val="00E05BE4"/>
    <w:rsid w:val="00E05D60"/>
    <w:rsid w:val="00E05DEF"/>
    <w:rsid w:val="00E05E42"/>
    <w:rsid w:val="00E05ECB"/>
    <w:rsid w:val="00E06405"/>
    <w:rsid w:val="00E067D6"/>
    <w:rsid w:val="00E069D8"/>
    <w:rsid w:val="00E06B8C"/>
    <w:rsid w:val="00E06D36"/>
    <w:rsid w:val="00E07162"/>
    <w:rsid w:val="00E0727F"/>
    <w:rsid w:val="00E07295"/>
    <w:rsid w:val="00E0756A"/>
    <w:rsid w:val="00E0775D"/>
    <w:rsid w:val="00E10354"/>
    <w:rsid w:val="00E104CE"/>
    <w:rsid w:val="00E104D2"/>
    <w:rsid w:val="00E1059C"/>
    <w:rsid w:val="00E105D7"/>
    <w:rsid w:val="00E10631"/>
    <w:rsid w:val="00E109D6"/>
    <w:rsid w:val="00E10C4F"/>
    <w:rsid w:val="00E10DEB"/>
    <w:rsid w:val="00E11162"/>
    <w:rsid w:val="00E119EC"/>
    <w:rsid w:val="00E11A51"/>
    <w:rsid w:val="00E11ADB"/>
    <w:rsid w:val="00E11EED"/>
    <w:rsid w:val="00E1248D"/>
    <w:rsid w:val="00E1252C"/>
    <w:rsid w:val="00E1255B"/>
    <w:rsid w:val="00E1261E"/>
    <w:rsid w:val="00E126CA"/>
    <w:rsid w:val="00E12882"/>
    <w:rsid w:val="00E12A2B"/>
    <w:rsid w:val="00E12AE9"/>
    <w:rsid w:val="00E12EC3"/>
    <w:rsid w:val="00E13140"/>
    <w:rsid w:val="00E133F1"/>
    <w:rsid w:val="00E1375B"/>
    <w:rsid w:val="00E139D0"/>
    <w:rsid w:val="00E13A57"/>
    <w:rsid w:val="00E13EF2"/>
    <w:rsid w:val="00E1435D"/>
    <w:rsid w:val="00E1444D"/>
    <w:rsid w:val="00E14BE1"/>
    <w:rsid w:val="00E14E92"/>
    <w:rsid w:val="00E150F9"/>
    <w:rsid w:val="00E154B5"/>
    <w:rsid w:val="00E15669"/>
    <w:rsid w:val="00E15947"/>
    <w:rsid w:val="00E15976"/>
    <w:rsid w:val="00E15F55"/>
    <w:rsid w:val="00E15FF5"/>
    <w:rsid w:val="00E15FFC"/>
    <w:rsid w:val="00E1613B"/>
    <w:rsid w:val="00E1627B"/>
    <w:rsid w:val="00E16558"/>
    <w:rsid w:val="00E165C8"/>
    <w:rsid w:val="00E16796"/>
    <w:rsid w:val="00E167FE"/>
    <w:rsid w:val="00E1695B"/>
    <w:rsid w:val="00E16A4E"/>
    <w:rsid w:val="00E16D95"/>
    <w:rsid w:val="00E16E1A"/>
    <w:rsid w:val="00E16F1C"/>
    <w:rsid w:val="00E1704C"/>
    <w:rsid w:val="00E1706A"/>
    <w:rsid w:val="00E173D8"/>
    <w:rsid w:val="00E178FD"/>
    <w:rsid w:val="00E17AEA"/>
    <w:rsid w:val="00E17C5C"/>
    <w:rsid w:val="00E17E7A"/>
    <w:rsid w:val="00E17EE3"/>
    <w:rsid w:val="00E20291"/>
    <w:rsid w:val="00E20434"/>
    <w:rsid w:val="00E205D4"/>
    <w:rsid w:val="00E20CFE"/>
    <w:rsid w:val="00E20DE4"/>
    <w:rsid w:val="00E20E3E"/>
    <w:rsid w:val="00E20EDA"/>
    <w:rsid w:val="00E2139F"/>
    <w:rsid w:val="00E214C6"/>
    <w:rsid w:val="00E21A92"/>
    <w:rsid w:val="00E21C5A"/>
    <w:rsid w:val="00E21F0D"/>
    <w:rsid w:val="00E22005"/>
    <w:rsid w:val="00E226F9"/>
    <w:rsid w:val="00E22B9C"/>
    <w:rsid w:val="00E22DDC"/>
    <w:rsid w:val="00E23015"/>
    <w:rsid w:val="00E235E1"/>
    <w:rsid w:val="00E23705"/>
    <w:rsid w:val="00E238E8"/>
    <w:rsid w:val="00E238F0"/>
    <w:rsid w:val="00E23CF8"/>
    <w:rsid w:val="00E23E2B"/>
    <w:rsid w:val="00E24053"/>
    <w:rsid w:val="00E24112"/>
    <w:rsid w:val="00E245A7"/>
    <w:rsid w:val="00E24755"/>
    <w:rsid w:val="00E24903"/>
    <w:rsid w:val="00E24A71"/>
    <w:rsid w:val="00E24B5F"/>
    <w:rsid w:val="00E24E78"/>
    <w:rsid w:val="00E256DF"/>
    <w:rsid w:val="00E2590F"/>
    <w:rsid w:val="00E2591C"/>
    <w:rsid w:val="00E2592D"/>
    <w:rsid w:val="00E25939"/>
    <w:rsid w:val="00E25C8B"/>
    <w:rsid w:val="00E25FE2"/>
    <w:rsid w:val="00E26148"/>
    <w:rsid w:val="00E2622E"/>
    <w:rsid w:val="00E2625C"/>
    <w:rsid w:val="00E264C2"/>
    <w:rsid w:val="00E26808"/>
    <w:rsid w:val="00E26835"/>
    <w:rsid w:val="00E269F4"/>
    <w:rsid w:val="00E26A86"/>
    <w:rsid w:val="00E26B04"/>
    <w:rsid w:val="00E26CBC"/>
    <w:rsid w:val="00E26EF1"/>
    <w:rsid w:val="00E2700F"/>
    <w:rsid w:val="00E27281"/>
    <w:rsid w:val="00E27585"/>
    <w:rsid w:val="00E275D8"/>
    <w:rsid w:val="00E277D1"/>
    <w:rsid w:val="00E2791A"/>
    <w:rsid w:val="00E27A58"/>
    <w:rsid w:val="00E27AAC"/>
    <w:rsid w:val="00E27B02"/>
    <w:rsid w:val="00E27B9A"/>
    <w:rsid w:val="00E27D18"/>
    <w:rsid w:val="00E3006B"/>
    <w:rsid w:val="00E30110"/>
    <w:rsid w:val="00E301F1"/>
    <w:rsid w:val="00E30283"/>
    <w:rsid w:val="00E302DA"/>
    <w:rsid w:val="00E3034D"/>
    <w:rsid w:val="00E30355"/>
    <w:rsid w:val="00E3066C"/>
    <w:rsid w:val="00E30684"/>
    <w:rsid w:val="00E30A53"/>
    <w:rsid w:val="00E30C61"/>
    <w:rsid w:val="00E30EE7"/>
    <w:rsid w:val="00E30F5D"/>
    <w:rsid w:val="00E316B3"/>
    <w:rsid w:val="00E318DA"/>
    <w:rsid w:val="00E31908"/>
    <w:rsid w:val="00E319CD"/>
    <w:rsid w:val="00E32150"/>
    <w:rsid w:val="00E32227"/>
    <w:rsid w:val="00E3249D"/>
    <w:rsid w:val="00E325CB"/>
    <w:rsid w:val="00E3265B"/>
    <w:rsid w:val="00E326A7"/>
    <w:rsid w:val="00E329EF"/>
    <w:rsid w:val="00E32B6C"/>
    <w:rsid w:val="00E32B78"/>
    <w:rsid w:val="00E32D76"/>
    <w:rsid w:val="00E3305C"/>
    <w:rsid w:val="00E332E9"/>
    <w:rsid w:val="00E33544"/>
    <w:rsid w:val="00E33A96"/>
    <w:rsid w:val="00E33BD1"/>
    <w:rsid w:val="00E33D7B"/>
    <w:rsid w:val="00E33DA8"/>
    <w:rsid w:val="00E3404E"/>
    <w:rsid w:val="00E341FD"/>
    <w:rsid w:val="00E34310"/>
    <w:rsid w:val="00E34677"/>
    <w:rsid w:val="00E3468B"/>
    <w:rsid w:val="00E35081"/>
    <w:rsid w:val="00E3517B"/>
    <w:rsid w:val="00E35182"/>
    <w:rsid w:val="00E35220"/>
    <w:rsid w:val="00E3545C"/>
    <w:rsid w:val="00E35519"/>
    <w:rsid w:val="00E35CB5"/>
    <w:rsid w:val="00E35DC6"/>
    <w:rsid w:val="00E36017"/>
    <w:rsid w:val="00E36045"/>
    <w:rsid w:val="00E362D1"/>
    <w:rsid w:val="00E365F3"/>
    <w:rsid w:val="00E36B86"/>
    <w:rsid w:val="00E36C46"/>
    <w:rsid w:val="00E370C4"/>
    <w:rsid w:val="00E37758"/>
    <w:rsid w:val="00E37853"/>
    <w:rsid w:val="00E37B26"/>
    <w:rsid w:val="00E404A9"/>
    <w:rsid w:val="00E40558"/>
    <w:rsid w:val="00E40805"/>
    <w:rsid w:val="00E40C5F"/>
    <w:rsid w:val="00E40EBE"/>
    <w:rsid w:val="00E4107F"/>
    <w:rsid w:val="00E4125D"/>
    <w:rsid w:val="00E41441"/>
    <w:rsid w:val="00E41592"/>
    <w:rsid w:val="00E415AF"/>
    <w:rsid w:val="00E416E9"/>
    <w:rsid w:val="00E41FD0"/>
    <w:rsid w:val="00E4212E"/>
    <w:rsid w:val="00E421BC"/>
    <w:rsid w:val="00E4250C"/>
    <w:rsid w:val="00E42601"/>
    <w:rsid w:val="00E42BCD"/>
    <w:rsid w:val="00E43165"/>
    <w:rsid w:val="00E4332B"/>
    <w:rsid w:val="00E4348F"/>
    <w:rsid w:val="00E4370C"/>
    <w:rsid w:val="00E4373E"/>
    <w:rsid w:val="00E439DA"/>
    <w:rsid w:val="00E43AEF"/>
    <w:rsid w:val="00E43CA4"/>
    <w:rsid w:val="00E43DF4"/>
    <w:rsid w:val="00E43E14"/>
    <w:rsid w:val="00E442D1"/>
    <w:rsid w:val="00E443C3"/>
    <w:rsid w:val="00E44632"/>
    <w:rsid w:val="00E446BE"/>
    <w:rsid w:val="00E44F14"/>
    <w:rsid w:val="00E45099"/>
    <w:rsid w:val="00E4588A"/>
    <w:rsid w:val="00E45EF9"/>
    <w:rsid w:val="00E460AE"/>
    <w:rsid w:val="00E46159"/>
    <w:rsid w:val="00E46565"/>
    <w:rsid w:val="00E46752"/>
    <w:rsid w:val="00E4698F"/>
    <w:rsid w:val="00E46D5B"/>
    <w:rsid w:val="00E46E86"/>
    <w:rsid w:val="00E47056"/>
    <w:rsid w:val="00E4708F"/>
    <w:rsid w:val="00E472E2"/>
    <w:rsid w:val="00E472FB"/>
    <w:rsid w:val="00E47499"/>
    <w:rsid w:val="00E47762"/>
    <w:rsid w:val="00E47891"/>
    <w:rsid w:val="00E502A0"/>
    <w:rsid w:val="00E502AB"/>
    <w:rsid w:val="00E50563"/>
    <w:rsid w:val="00E505F7"/>
    <w:rsid w:val="00E50CAF"/>
    <w:rsid w:val="00E50CFF"/>
    <w:rsid w:val="00E50F09"/>
    <w:rsid w:val="00E50F31"/>
    <w:rsid w:val="00E50F64"/>
    <w:rsid w:val="00E511B8"/>
    <w:rsid w:val="00E51303"/>
    <w:rsid w:val="00E5133A"/>
    <w:rsid w:val="00E514E3"/>
    <w:rsid w:val="00E51570"/>
    <w:rsid w:val="00E518A1"/>
    <w:rsid w:val="00E51C4C"/>
    <w:rsid w:val="00E520AC"/>
    <w:rsid w:val="00E521F8"/>
    <w:rsid w:val="00E522B2"/>
    <w:rsid w:val="00E525AB"/>
    <w:rsid w:val="00E5276B"/>
    <w:rsid w:val="00E52CC4"/>
    <w:rsid w:val="00E52CC8"/>
    <w:rsid w:val="00E52DFC"/>
    <w:rsid w:val="00E531F6"/>
    <w:rsid w:val="00E53ABF"/>
    <w:rsid w:val="00E53AD1"/>
    <w:rsid w:val="00E53B29"/>
    <w:rsid w:val="00E53B71"/>
    <w:rsid w:val="00E53C5B"/>
    <w:rsid w:val="00E53E13"/>
    <w:rsid w:val="00E53F57"/>
    <w:rsid w:val="00E53FAA"/>
    <w:rsid w:val="00E53FC7"/>
    <w:rsid w:val="00E5424B"/>
    <w:rsid w:val="00E54262"/>
    <w:rsid w:val="00E547B0"/>
    <w:rsid w:val="00E54B74"/>
    <w:rsid w:val="00E54CD9"/>
    <w:rsid w:val="00E54D83"/>
    <w:rsid w:val="00E553EB"/>
    <w:rsid w:val="00E5563B"/>
    <w:rsid w:val="00E557D5"/>
    <w:rsid w:val="00E558D9"/>
    <w:rsid w:val="00E559DD"/>
    <w:rsid w:val="00E55A1F"/>
    <w:rsid w:val="00E55BE7"/>
    <w:rsid w:val="00E56148"/>
    <w:rsid w:val="00E5616A"/>
    <w:rsid w:val="00E566B1"/>
    <w:rsid w:val="00E5719F"/>
    <w:rsid w:val="00E572D3"/>
    <w:rsid w:val="00E5741E"/>
    <w:rsid w:val="00E57668"/>
    <w:rsid w:val="00E578ED"/>
    <w:rsid w:val="00E57ACC"/>
    <w:rsid w:val="00E57BD3"/>
    <w:rsid w:val="00E57C2B"/>
    <w:rsid w:val="00E57C5A"/>
    <w:rsid w:val="00E57CE1"/>
    <w:rsid w:val="00E57FF2"/>
    <w:rsid w:val="00E6004E"/>
    <w:rsid w:val="00E60065"/>
    <w:rsid w:val="00E6049B"/>
    <w:rsid w:val="00E606BE"/>
    <w:rsid w:val="00E60923"/>
    <w:rsid w:val="00E60B57"/>
    <w:rsid w:val="00E60BD8"/>
    <w:rsid w:val="00E60C79"/>
    <w:rsid w:val="00E60E89"/>
    <w:rsid w:val="00E60E9C"/>
    <w:rsid w:val="00E60F72"/>
    <w:rsid w:val="00E6184C"/>
    <w:rsid w:val="00E61A91"/>
    <w:rsid w:val="00E61BC3"/>
    <w:rsid w:val="00E61BF7"/>
    <w:rsid w:val="00E61F3F"/>
    <w:rsid w:val="00E6206F"/>
    <w:rsid w:val="00E62188"/>
    <w:rsid w:val="00E624F0"/>
    <w:rsid w:val="00E62623"/>
    <w:rsid w:val="00E6262B"/>
    <w:rsid w:val="00E6299A"/>
    <w:rsid w:val="00E62D6A"/>
    <w:rsid w:val="00E62F3C"/>
    <w:rsid w:val="00E6308E"/>
    <w:rsid w:val="00E631B1"/>
    <w:rsid w:val="00E632BD"/>
    <w:rsid w:val="00E632CB"/>
    <w:rsid w:val="00E63356"/>
    <w:rsid w:val="00E636A4"/>
    <w:rsid w:val="00E63C91"/>
    <w:rsid w:val="00E63D41"/>
    <w:rsid w:val="00E63EFB"/>
    <w:rsid w:val="00E64251"/>
    <w:rsid w:val="00E6444D"/>
    <w:rsid w:val="00E64495"/>
    <w:rsid w:val="00E64B93"/>
    <w:rsid w:val="00E65126"/>
    <w:rsid w:val="00E6538F"/>
    <w:rsid w:val="00E655D1"/>
    <w:rsid w:val="00E65CE1"/>
    <w:rsid w:val="00E65D24"/>
    <w:rsid w:val="00E65E98"/>
    <w:rsid w:val="00E66533"/>
    <w:rsid w:val="00E66938"/>
    <w:rsid w:val="00E66BBB"/>
    <w:rsid w:val="00E66D39"/>
    <w:rsid w:val="00E66ED8"/>
    <w:rsid w:val="00E66F13"/>
    <w:rsid w:val="00E670AE"/>
    <w:rsid w:val="00E6714B"/>
    <w:rsid w:val="00E67858"/>
    <w:rsid w:val="00E678BA"/>
    <w:rsid w:val="00E679A6"/>
    <w:rsid w:val="00E679B7"/>
    <w:rsid w:val="00E67D8F"/>
    <w:rsid w:val="00E67DC2"/>
    <w:rsid w:val="00E67E93"/>
    <w:rsid w:val="00E67FEF"/>
    <w:rsid w:val="00E70010"/>
    <w:rsid w:val="00E70127"/>
    <w:rsid w:val="00E70464"/>
    <w:rsid w:val="00E70B43"/>
    <w:rsid w:val="00E70C9F"/>
    <w:rsid w:val="00E70CE3"/>
    <w:rsid w:val="00E70E38"/>
    <w:rsid w:val="00E711D0"/>
    <w:rsid w:val="00E716E1"/>
    <w:rsid w:val="00E718CB"/>
    <w:rsid w:val="00E719A5"/>
    <w:rsid w:val="00E71B84"/>
    <w:rsid w:val="00E71D6E"/>
    <w:rsid w:val="00E71DF3"/>
    <w:rsid w:val="00E71EAA"/>
    <w:rsid w:val="00E72574"/>
    <w:rsid w:val="00E7272D"/>
    <w:rsid w:val="00E72EAF"/>
    <w:rsid w:val="00E72ED4"/>
    <w:rsid w:val="00E72FCE"/>
    <w:rsid w:val="00E7304D"/>
    <w:rsid w:val="00E73209"/>
    <w:rsid w:val="00E732E2"/>
    <w:rsid w:val="00E73425"/>
    <w:rsid w:val="00E73560"/>
    <w:rsid w:val="00E73633"/>
    <w:rsid w:val="00E737E7"/>
    <w:rsid w:val="00E73B23"/>
    <w:rsid w:val="00E73BDD"/>
    <w:rsid w:val="00E73E27"/>
    <w:rsid w:val="00E740DE"/>
    <w:rsid w:val="00E74295"/>
    <w:rsid w:val="00E74562"/>
    <w:rsid w:val="00E7464F"/>
    <w:rsid w:val="00E74880"/>
    <w:rsid w:val="00E74BC1"/>
    <w:rsid w:val="00E74FF2"/>
    <w:rsid w:val="00E750B3"/>
    <w:rsid w:val="00E75129"/>
    <w:rsid w:val="00E751F1"/>
    <w:rsid w:val="00E752FC"/>
    <w:rsid w:val="00E754DE"/>
    <w:rsid w:val="00E755EB"/>
    <w:rsid w:val="00E75812"/>
    <w:rsid w:val="00E759AA"/>
    <w:rsid w:val="00E75A96"/>
    <w:rsid w:val="00E75C7C"/>
    <w:rsid w:val="00E760B7"/>
    <w:rsid w:val="00E763AE"/>
    <w:rsid w:val="00E76549"/>
    <w:rsid w:val="00E76608"/>
    <w:rsid w:val="00E76765"/>
    <w:rsid w:val="00E76C16"/>
    <w:rsid w:val="00E76CD7"/>
    <w:rsid w:val="00E76F1E"/>
    <w:rsid w:val="00E775FD"/>
    <w:rsid w:val="00E7763B"/>
    <w:rsid w:val="00E776D1"/>
    <w:rsid w:val="00E7785F"/>
    <w:rsid w:val="00E77861"/>
    <w:rsid w:val="00E77894"/>
    <w:rsid w:val="00E77BEF"/>
    <w:rsid w:val="00E77D0B"/>
    <w:rsid w:val="00E77E21"/>
    <w:rsid w:val="00E77E67"/>
    <w:rsid w:val="00E800BA"/>
    <w:rsid w:val="00E8032E"/>
    <w:rsid w:val="00E808A6"/>
    <w:rsid w:val="00E80A1B"/>
    <w:rsid w:val="00E80F15"/>
    <w:rsid w:val="00E80F49"/>
    <w:rsid w:val="00E80F57"/>
    <w:rsid w:val="00E81110"/>
    <w:rsid w:val="00E81359"/>
    <w:rsid w:val="00E8187E"/>
    <w:rsid w:val="00E81B7A"/>
    <w:rsid w:val="00E81BCB"/>
    <w:rsid w:val="00E81E28"/>
    <w:rsid w:val="00E82217"/>
    <w:rsid w:val="00E82445"/>
    <w:rsid w:val="00E824C9"/>
    <w:rsid w:val="00E8267B"/>
    <w:rsid w:val="00E827AE"/>
    <w:rsid w:val="00E82A70"/>
    <w:rsid w:val="00E82F32"/>
    <w:rsid w:val="00E830ED"/>
    <w:rsid w:val="00E833A5"/>
    <w:rsid w:val="00E837F4"/>
    <w:rsid w:val="00E83BBD"/>
    <w:rsid w:val="00E83BE9"/>
    <w:rsid w:val="00E83C6B"/>
    <w:rsid w:val="00E83F2F"/>
    <w:rsid w:val="00E840C0"/>
    <w:rsid w:val="00E8443D"/>
    <w:rsid w:val="00E84877"/>
    <w:rsid w:val="00E84910"/>
    <w:rsid w:val="00E849DF"/>
    <w:rsid w:val="00E84AF6"/>
    <w:rsid w:val="00E84BF1"/>
    <w:rsid w:val="00E852A9"/>
    <w:rsid w:val="00E853BA"/>
    <w:rsid w:val="00E85412"/>
    <w:rsid w:val="00E8549E"/>
    <w:rsid w:val="00E85661"/>
    <w:rsid w:val="00E857AF"/>
    <w:rsid w:val="00E85967"/>
    <w:rsid w:val="00E85AF2"/>
    <w:rsid w:val="00E8641D"/>
    <w:rsid w:val="00E86474"/>
    <w:rsid w:val="00E868F4"/>
    <w:rsid w:val="00E86A9C"/>
    <w:rsid w:val="00E86BE7"/>
    <w:rsid w:val="00E86C3F"/>
    <w:rsid w:val="00E86C43"/>
    <w:rsid w:val="00E86E01"/>
    <w:rsid w:val="00E86E93"/>
    <w:rsid w:val="00E8715B"/>
    <w:rsid w:val="00E87376"/>
    <w:rsid w:val="00E8783F"/>
    <w:rsid w:val="00E87A51"/>
    <w:rsid w:val="00E87BFB"/>
    <w:rsid w:val="00E904B3"/>
    <w:rsid w:val="00E9088D"/>
    <w:rsid w:val="00E908CA"/>
    <w:rsid w:val="00E9092C"/>
    <w:rsid w:val="00E90ACA"/>
    <w:rsid w:val="00E90B06"/>
    <w:rsid w:val="00E9143D"/>
    <w:rsid w:val="00E9151E"/>
    <w:rsid w:val="00E91532"/>
    <w:rsid w:val="00E91546"/>
    <w:rsid w:val="00E916B7"/>
    <w:rsid w:val="00E91744"/>
    <w:rsid w:val="00E91AC7"/>
    <w:rsid w:val="00E91C22"/>
    <w:rsid w:val="00E91ED4"/>
    <w:rsid w:val="00E92011"/>
    <w:rsid w:val="00E92211"/>
    <w:rsid w:val="00E9223B"/>
    <w:rsid w:val="00E92695"/>
    <w:rsid w:val="00E92990"/>
    <w:rsid w:val="00E933F2"/>
    <w:rsid w:val="00E935D1"/>
    <w:rsid w:val="00E93611"/>
    <w:rsid w:val="00E937E7"/>
    <w:rsid w:val="00E9385F"/>
    <w:rsid w:val="00E93AEE"/>
    <w:rsid w:val="00E93C0C"/>
    <w:rsid w:val="00E9430B"/>
    <w:rsid w:val="00E943B4"/>
    <w:rsid w:val="00E943EC"/>
    <w:rsid w:val="00E9449B"/>
    <w:rsid w:val="00E94A64"/>
    <w:rsid w:val="00E94AF0"/>
    <w:rsid w:val="00E94C25"/>
    <w:rsid w:val="00E94D12"/>
    <w:rsid w:val="00E95052"/>
    <w:rsid w:val="00E9506F"/>
    <w:rsid w:val="00E95325"/>
    <w:rsid w:val="00E955AC"/>
    <w:rsid w:val="00E956B9"/>
    <w:rsid w:val="00E9570B"/>
    <w:rsid w:val="00E9571C"/>
    <w:rsid w:val="00E957A6"/>
    <w:rsid w:val="00E95B2D"/>
    <w:rsid w:val="00E95E15"/>
    <w:rsid w:val="00E95E24"/>
    <w:rsid w:val="00E96014"/>
    <w:rsid w:val="00E960FB"/>
    <w:rsid w:val="00E96113"/>
    <w:rsid w:val="00E96552"/>
    <w:rsid w:val="00E96560"/>
    <w:rsid w:val="00E96869"/>
    <w:rsid w:val="00E96C09"/>
    <w:rsid w:val="00E96C6A"/>
    <w:rsid w:val="00E970CB"/>
    <w:rsid w:val="00E971E2"/>
    <w:rsid w:val="00E97210"/>
    <w:rsid w:val="00E9750B"/>
    <w:rsid w:val="00E97BB7"/>
    <w:rsid w:val="00E97E34"/>
    <w:rsid w:val="00EA007A"/>
    <w:rsid w:val="00EA00F6"/>
    <w:rsid w:val="00EA0115"/>
    <w:rsid w:val="00EA0684"/>
    <w:rsid w:val="00EA06CE"/>
    <w:rsid w:val="00EA074F"/>
    <w:rsid w:val="00EA07A4"/>
    <w:rsid w:val="00EA09EA"/>
    <w:rsid w:val="00EA0D63"/>
    <w:rsid w:val="00EA10E0"/>
    <w:rsid w:val="00EA11CE"/>
    <w:rsid w:val="00EA13FB"/>
    <w:rsid w:val="00EA1795"/>
    <w:rsid w:val="00EA1B89"/>
    <w:rsid w:val="00EA1D29"/>
    <w:rsid w:val="00EA1E79"/>
    <w:rsid w:val="00EA21EB"/>
    <w:rsid w:val="00EA2276"/>
    <w:rsid w:val="00EA236E"/>
    <w:rsid w:val="00EA23BB"/>
    <w:rsid w:val="00EA2415"/>
    <w:rsid w:val="00EA25D5"/>
    <w:rsid w:val="00EA2ADB"/>
    <w:rsid w:val="00EA2AFE"/>
    <w:rsid w:val="00EA2EA2"/>
    <w:rsid w:val="00EA2EBE"/>
    <w:rsid w:val="00EA2FD1"/>
    <w:rsid w:val="00EA329E"/>
    <w:rsid w:val="00EA344B"/>
    <w:rsid w:val="00EA366E"/>
    <w:rsid w:val="00EA44E8"/>
    <w:rsid w:val="00EA4536"/>
    <w:rsid w:val="00EA4691"/>
    <w:rsid w:val="00EA4793"/>
    <w:rsid w:val="00EA49BA"/>
    <w:rsid w:val="00EA49EE"/>
    <w:rsid w:val="00EA4AC9"/>
    <w:rsid w:val="00EA4E6D"/>
    <w:rsid w:val="00EA4F74"/>
    <w:rsid w:val="00EA5151"/>
    <w:rsid w:val="00EA5213"/>
    <w:rsid w:val="00EA5481"/>
    <w:rsid w:val="00EA5611"/>
    <w:rsid w:val="00EA57AC"/>
    <w:rsid w:val="00EA6224"/>
    <w:rsid w:val="00EA66EE"/>
    <w:rsid w:val="00EA680A"/>
    <w:rsid w:val="00EA6893"/>
    <w:rsid w:val="00EA6897"/>
    <w:rsid w:val="00EA698E"/>
    <w:rsid w:val="00EA69B2"/>
    <w:rsid w:val="00EA6BC6"/>
    <w:rsid w:val="00EA6F86"/>
    <w:rsid w:val="00EA7047"/>
    <w:rsid w:val="00EA718F"/>
    <w:rsid w:val="00EA72CD"/>
    <w:rsid w:val="00EA72E8"/>
    <w:rsid w:val="00EA75DC"/>
    <w:rsid w:val="00EA75E4"/>
    <w:rsid w:val="00EA78A1"/>
    <w:rsid w:val="00EA78A2"/>
    <w:rsid w:val="00EA7C02"/>
    <w:rsid w:val="00EA7E0E"/>
    <w:rsid w:val="00EA7ED2"/>
    <w:rsid w:val="00EB0130"/>
    <w:rsid w:val="00EB0330"/>
    <w:rsid w:val="00EB0495"/>
    <w:rsid w:val="00EB05AD"/>
    <w:rsid w:val="00EB05B3"/>
    <w:rsid w:val="00EB06C8"/>
    <w:rsid w:val="00EB07B4"/>
    <w:rsid w:val="00EB07E3"/>
    <w:rsid w:val="00EB0D93"/>
    <w:rsid w:val="00EB0E56"/>
    <w:rsid w:val="00EB10EC"/>
    <w:rsid w:val="00EB1121"/>
    <w:rsid w:val="00EB133A"/>
    <w:rsid w:val="00EB18DD"/>
    <w:rsid w:val="00EB192C"/>
    <w:rsid w:val="00EB1C87"/>
    <w:rsid w:val="00EB1DC3"/>
    <w:rsid w:val="00EB1F96"/>
    <w:rsid w:val="00EB1FEA"/>
    <w:rsid w:val="00EB21DC"/>
    <w:rsid w:val="00EB223A"/>
    <w:rsid w:val="00EB265E"/>
    <w:rsid w:val="00EB2795"/>
    <w:rsid w:val="00EB2881"/>
    <w:rsid w:val="00EB2A50"/>
    <w:rsid w:val="00EB2D2D"/>
    <w:rsid w:val="00EB3219"/>
    <w:rsid w:val="00EB35B8"/>
    <w:rsid w:val="00EB379B"/>
    <w:rsid w:val="00EB380F"/>
    <w:rsid w:val="00EB386C"/>
    <w:rsid w:val="00EB397B"/>
    <w:rsid w:val="00EB3982"/>
    <w:rsid w:val="00EB3DF3"/>
    <w:rsid w:val="00EB3E84"/>
    <w:rsid w:val="00EB3EC9"/>
    <w:rsid w:val="00EB425B"/>
    <w:rsid w:val="00EB4497"/>
    <w:rsid w:val="00EB465A"/>
    <w:rsid w:val="00EB4702"/>
    <w:rsid w:val="00EB4940"/>
    <w:rsid w:val="00EB4C06"/>
    <w:rsid w:val="00EB4FE3"/>
    <w:rsid w:val="00EB513E"/>
    <w:rsid w:val="00EB561F"/>
    <w:rsid w:val="00EB5686"/>
    <w:rsid w:val="00EB5AE3"/>
    <w:rsid w:val="00EB5B39"/>
    <w:rsid w:val="00EB5DA4"/>
    <w:rsid w:val="00EB5EE7"/>
    <w:rsid w:val="00EB5F32"/>
    <w:rsid w:val="00EB6084"/>
    <w:rsid w:val="00EB60AE"/>
    <w:rsid w:val="00EB61DA"/>
    <w:rsid w:val="00EB62F1"/>
    <w:rsid w:val="00EB6337"/>
    <w:rsid w:val="00EB637C"/>
    <w:rsid w:val="00EB63E0"/>
    <w:rsid w:val="00EB67AD"/>
    <w:rsid w:val="00EB6EB1"/>
    <w:rsid w:val="00EB72F9"/>
    <w:rsid w:val="00EB73DE"/>
    <w:rsid w:val="00EB78CF"/>
    <w:rsid w:val="00EC01CD"/>
    <w:rsid w:val="00EC025B"/>
    <w:rsid w:val="00EC0AA0"/>
    <w:rsid w:val="00EC0B9F"/>
    <w:rsid w:val="00EC0BA7"/>
    <w:rsid w:val="00EC0CB0"/>
    <w:rsid w:val="00EC0F86"/>
    <w:rsid w:val="00EC13C5"/>
    <w:rsid w:val="00EC13D9"/>
    <w:rsid w:val="00EC1489"/>
    <w:rsid w:val="00EC1712"/>
    <w:rsid w:val="00EC1725"/>
    <w:rsid w:val="00EC1BB3"/>
    <w:rsid w:val="00EC1D80"/>
    <w:rsid w:val="00EC1F83"/>
    <w:rsid w:val="00EC2054"/>
    <w:rsid w:val="00EC237D"/>
    <w:rsid w:val="00EC238A"/>
    <w:rsid w:val="00EC23C1"/>
    <w:rsid w:val="00EC2AF9"/>
    <w:rsid w:val="00EC2BB1"/>
    <w:rsid w:val="00EC2C0E"/>
    <w:rsid w:val="00EC2D25"/>
    <w:rsid w:val="00EC2DEC"/>
    <w:rsid w:val="00EC30E3"/>
    <w:rsid w:val="00EC32F1"/>
    <w:rsid w:val="00EC3734"/>
    <w:rsid w:val="00EC3997"/>
    <w:rsid w:val="00EC3B54"/>
    <w:rsid w:val="00EC3CFE"/>
    <w:rsid w:val="00EC3DEA"/>
    <w:rsid w:val="00EC3E1D"/>
    <w:rsid w:val="00EC441B"/>
    <w:rsid w:val="00EC4438"/>
    <w:rsid w:val="00EC44C7"/>
    <w:rsid w:val="00EC462D"/>
    <w:rsid w:val="00EC4843"/>
    <w:rsid w:val="00EC4B39"/>
    <w:rsid w:val="00EC4BFE"/>
    <w:rsid w:val="00EC4E06"/>
    <w:rsid w:val="00EC4ED3"/>
    <w:rsid w:val="00EC4F07"/>
    <w:rsid w:val="00EC551A"/>
    <w:rsid w:val="00EC5604"/>
    <w:rsid w:val="00EC563D"/>
    <w:rsid w:val="00EC56B8"/>
    <w:rsid w:val="00EC575D"/>
    <w:rsid w:val="00EC583F"/>
    <w:rsid w:val="00EC59DA"/>
    <w:rsid w:val="00EC5C18"/>
    <w:rsid w:val="00EC6125"/>
    <w:rsid w:val="00EC61ED"/>
    <w:rsid w:val="00EC631C"/>
    <w:rsid w:val="00EC642E"/>
    <w:rsid w:val="00EC64A0"/>
    <w:rsid w:val="00EC6568"/>
    <w:rsid w:val="00EC6A63"/>
    <w:rsid w:val="00EC6CE0"/>
    <w:rsid w:val="00EC6D86"/>
    <w:rsid w:val="00EC6F61"/>
    <w:rsid w:val="00EC723F"/>
    <w:rsid w:val="00EC72CB"/>
    <w:rsid w:val="00EC7534"/>
    <w:rsid w:val="00EC756B"/>
    <w:rsid w:val="00EC7758"/>
    <w:rsid w:val="00EC7778"/>
    <w:rsid w:val="00EC7C83"/>
    <w:rsid w:val="00EC7DD7"/>
    <w:rsid w:val="00ED00F1"/>
    <w:rsid w:val="00ED0D7A"/>
    <w:rsid w:val="00ED0DA7"/>
    <w:rsid w:val="00ED0E8E"/>
    <w:rsid w:val="00ED0EC7"/>
    <w:rsid w:val="00ED10B0"/>
    <w:rsid w:val="00ED10F3"/>
    <w:rsid w:val="00ED140A"/>
    <w:rsid w:val="00ED1537"/>
    <w:rsid w:val="00ED15BC"/>
    <w:rsid w:val="00ED1772"/>
    <w:rsid w:val="00ED1B46"/>
    <w:rsid w:val="00ED1C82"/>
    <w:rsid w:val="00ED1E8C"/>
    <w:rsid w:val="00ED1F77"/>
    <w:rsid w:val="00ED25A7"/>
    <w:rsid w:val="00ED2612"/>
    <w:rsid w:val="00ED2A9A"/>
    <w:rsid w:val="00ED2B16"/>
    <w:rsid w:val="00ED2BC8"/>
    <w:rsid w:val="00ED310B"/>
    <w:rsid w:val="00ED3258"/>
    <w:rsid w:val="00ED346D"/>
    <w:rsid w:val="00ED35B5"/>
    <w:rsid w:val="00ED3894"/>
    <w:rsid w:val="00ED39F0"/>
    <w:rsid w:val="00ED3A65"/>
    <w:rsid w:val="00ED425E"/>
    <w:rsid w:val="00ED4326"/>
    <w:rsid w:val="00ED43BE"/>
    <w:rsid w:val="00ED45E4"/>
    <w:rsid w:val="00ED4F4D"/>
    <w:rsid w:val="00ED50D6"/>
    <w:rsid w:val="00ED5229"/>
    <w:rsid w:val="00ED559A"/>
    <w:rsid w:val="00ED5D84"/>
    <w:rsid w:val="00ED5DEB"/>
    <w:rsid w:val="00ED6166"/>
    <w:rsid w:val="00ED62E9"/>
    <w:rsid w:val="00ED6303"/>
    <w:rsid w:val="00ED653C"/>
    <w:rsid w:val="00ED69D4"/>
    <w:rsid w:val="00ED6A1F"/>
    <w:rsid w:val="00ED6EBD"/>
    <w:rsid w:val="00ED6F3E"/>
    <w:rsid w:val="00ED70C4"/>
    <w:rsid w:val="00ED716E"/>
    <w:rsid w:val="00ED75C3"/>
    <w:rsid w:val="00ED7DF0"/>
    <w:rsid w:val="00ED7E16"/>
    <w:rsid w:val="00EE043E"/>
    <w:rsid w:val="00EE0558"/>
    <w:rsid w:val="00EE057B"/>
    <w:rsid w:val="00EE0679"/>
    <w:rsid w:val="00EE07E1"/>
    <w:rsid w:val="00EE0A65"/>
    <w:rsid w:val="00EE0AAC"/>
    <w:rsid w:val="00EE0ABC"/>
    <w:rsid w:val="00EE0F5A"/>
    <w:rsid w:val="00EE106E"/>
    <w:rsid w:val="00EE12A1"/>
    <w:rsid w:val="00EE1324"/>
    <w:rsid w:val="00EE184B"/>
    <w:rsid w:val="00EE1AB8"/>
    <w:rsid w:val="00EE1EB5"/>
    <w:rsid w:val="00EE1F61"/>
    <w:rsid w:val="00EE208F"/>
    <w:rsid w:val="00EE21D2"/>
    <w:rsid w:val="00EE2308"/>
    <w:rsid w:val="00EE26BC"/>
    <w:rsid w:val="00EE2AB8"/>
    <w:rsid w:val="00EE2B49"/>
    <w:rsid w:val="00EE2EAB"/>
    <w:rsid w:val="00EE32C9"/>
    <w:rsid w:val="00EE3505"/>
    <w:rsid w:val="00EE3ACB"/>
    <w:rsid w:val="00EE3B4E"/>
    <w:rsid w:val="00EE3BAD"/>
    <w:rsid w:val="00EE3C7D"/>
    <w:rsid w:val="00EE3D9D"/>
    <w:rsid w:val="00EE3F71"/>
    <w:rsid w:val="00EE410D"/>
    <w:rsid w:val="00EE430E"/>
    <w:rsid w:val="00EE433C"/>
    <w:rsid w:val="00EE439B"/>
    <w:rsid w:val="00EE45EA"/>
    <w:rsid w:val="00EE4745"/>
    <w:rsid w:val="00EE4868"/>
    <w:rsid w:val="00EE4B58"/>
    <w:rsid w:val="00EE4B87"/>
    <w:rsid w:val="00EE4C61"/>
    <w:rsid w:val="00EE4CB5"/>
    <w:rsid w:val="00EE4DBA"/>
    <w:rsid w:val="00EE4F64"/>
    <w:rsid w:val="00EE4F68"/>
    <w:rsid w:val="00EE4F89"/>
    <w:rsid w:val="00EE521A"/>
    <w:rsid w:val="00EE5388"/>
    <w:rsid w:val="00EE5425"/>
    <w:rsid w:val="00EE571B"/>
    <w:rsid w:val="00EE579E"/>
    <w:rsid w:val="00EE5A0B"/>
    <w:rsid w:val="00EE5AA2"/>
    <w:rsid w:val="00EE5F0E"/>
    <w:rsid w:val="00EE5F7A"/>
    <w:rsid w:val="00EE60F0"/>
    <w:rsid w:val="00EE620D"/>
    <w:rsid w:val="00EE6395"/>
    <w:rsid w:val="00EE65EB"/>
    <w:rsid w:val="00EE681D"/>
    <w:rsid w:val="00EE687E"/>
    <w:rsid w:val="00EE6B1D"/>
    <w:rsid w:val="00EE6F56"/>
    <w:rsid w:val="00EE7010"/>
    <w:rsid w:val="00EE7133"/>
    <w:rsid w:val="00EE79F9"/>
    <w:rsid w:val="00EE7D06"/>
    <w:rsid w:val="00EE7FA3"/>
    <w:rsid w:val="00EF0259"/>
    <w:rsid w:val="00EF0781"/>
    <w:rsid w:val="00EF07DF"/>
    <w:rsid w:val="00EF09D0"/>
    <w:rsid w:val="00EF0A81"/>
    <w:rsid w:val="00EF1533"/>
    <w:rsid w:val="00EF1735"/>
    <w:rsid w:val="00EF17E0"/>
    <w:rsid w:val="00EF19E0"/>
    <w:rsid w:val="00EF1A31"/>
    <w:rsid w:val="00EF1AF5"/>
    <w:rsid w:val="00EF1B31"/>
    <w:rsid w:val="00EF1D3C"/>
    <w:rsid w:val="00EF1D9B"/>
    <w:rsid w:val="00EF2176"/>
    <w:rsid w:val="00EF22FE"/>
    <w:rsid w:val="00EF23B4"/>
    <w:rsid w:val="00EF24B8"/>
    <w:rsid w:val="00EF26DE"/>
    <w:rsid w:val="00EF2AD2"/>
    <w:rsid w:val="00EF34CC"/>
    <w:rsid w:val="00EF352D"/>
    <w:rsid w:val="00EF3722"/>
    <w:rsid w:val="00EF3724"/>
    <w:rsid w:val="00EF3894"/>
    <w:rsid w:val="00EF3AEC"/>
    <w:rsid w:val="00EF3E06"/>
    <w:rsid w:val="00EF41C9"/>
    <w:rsid w:val="00EF4220"/>
    <w:rsid w:val="00EF43C4"/>
    <w:rsid w:val="00EF46DA"/>
    <w:rsid w:val="00EF47DC"/>
    <w:rsid w:val="00EF48F0"/>
    <w:rsid w:val="00EF4B05"/>
    <w:rsid w:val="00EF4B34"/>
    <w:rsid w:val="00EF4D56"/>
    <w:rsid w:val="00EF4E68"/>
    <w:rsid w:val="00EF4FC4"/>
    <w:rsid w:val="00EF514E"/>
    <w:rsid w:val="00EF516F"/>
    <w:rsid w:val="00EF579C"/>
    <w:rsid w:val="00EF5851"/>
    <w:rsid w:val="00EF5924"/>
    <w:rsid w:val="00EF5A21"/>
    <w:rsid w:val="00EF5AA3"/>
    <w:rsid w:val="00EF5BB7"/>
    <w:rsid w:val="00EF614A"/>
    <w:rsid w:val="00EF627F"/>
    <w:rsid w:val="00EF634B"/>
    <w:rsid w:val="00EF6642"/>
    <w:rsid w:val="00EF68EE"/>
    <w:rsid w:val="00EF6D8F"/>
    <w:rsid w:val="00EF6F41"/>
    <w:rsid w:val="00EF720D"/>
    <w:rsid w:val="00EF733F"/>
    <w:rsid w:val="00EF742D"/>
    <w:rsid w:val="00EF768E"/>
    <w:rsid w:val="00EF7734"/>
    <w:rsid w:val="00EF78F0"/>
    <w:rsid w:val="00F006B2"/>
    <w:rsid w:val="00F008DD"/>
    <w:rsid w:val="00F008F0"/>
    <w:rsid w:val="00F00B63"/>
    <w:rsid w:val="00F00D4F"/>
    <w:rsid w:val="00F00E6F"/>
    <w:rsid w:val="00F00FB0"/>
    <w:rsid w:val="00F01271"/>
    <w:rsid w:val="00F0127B"/>
    <w:rsid w:val="00F0145D"/>
    <w:rsid w:val="00F01BB9"/>
    <w:rsid w:val="00F01C36"/>
    <w:rsid w:val="00F01C7B"/>
    <w:rsid w:val="00F01EA1"/>
    <w:rsid w:val="00F01EB6"/>
    <w:rsid w:val="00F02016"/>
    <w:rsid w:val="00F0207A"/>
    <w:rsid w:val="00F02134"/>
    <w:rsid w:val="00F02552"/>
    <w:rsid w:val="00F026B0"/>
    <w:rsid w:val="00F02928"/>
    <w:rsid w:val="00F02B24"/>
    <w:rsid w:val="00F02F49"/>
    <w:rsid w:val="00F03178"/>
    <w:rsid w:val="00F03473"/>
    <w:rsid w:val="00F0352D"/>
    <w:rsid w:val="00F0358E"/>
    <w:rsid w:val="00F03704"/>
    <w:rsid w:val="00F037FD"/>
    <w:rsid w:val="00F03A61"/>
    <w:rsid w:val="00F03B4C"/>
    <w:rsid w:val="00F03DD1"/>
    <w:rsid w:val="00F03E0F"/>
    <w:rsid w:val="00F03E20"/>
    <w:rsid w:val="00F03F4E"/>
    <w:rsid w:val="00F042C9"/>
    <w:rsid w:val="00F04468"/>
    <w:rsid w:val="00F04492"/>
    <w:rsid w:val="00F04759"/>
    <w:rsid w:val="00F0480C"/>
    <w:rsid w:val="00F04BC0"/>
    <w:rsid w:val="00F04C97"/>
    <w:rsid w:val="00F04FAD"/>
    <w:rsid w:val="00F0501E"/>
    <w:rsid w:val="00F05250"/>
    <w:rsid w:val="00F05656"/>
    <w:rsid w:val="00F05695"/>
    <w:rsid w:val="00F05787"/>
    <w:rsid w:val="00F05A72"/>
    <w:rsid w:val="00F05E41"/>
    <w:rsid w:val="00F0619B"/>
    <w:rsid w:val="00F061DF"/>
    <w:rsid w:val="00F065C4"/>
    <w:rsid w:val="00F06616"/>
    <w:rsid w:val="00F069AB"/>
    <w:rsid w:val="00F06C2D"/>
    <w:rsid w:val="00F06C31"/>
    <w:rsid w:val="00F07148"/>
    <w:rsid w:val="00F07172"/>
    <w:rsid w:val="00F071AA"/>
    <w:rsid w:val="00F073E2"/>
    <w:rsid w:val="00F073ED"/>
    <w:rsid w:val="00F073EE"/>
    <w:rsid w:val="00F0768B"/>
    <w:rsid w:val="00F077EF"/>
    <w:rsid w:val="00F0791C"/>
    <w:rsid w:val="00F07AD6"/>
    <w:rsid w:val="00F07B15"/>
    <w:rsid w:val="00F07D17"/>
    <w:rsid w:val="00F07EF5"/>
    <w:rsid w:val="00F1005F"/>
    <w:rsid w:val="00F10382"/>
    <w:rsid w:val="00F10449"/>
    <w:rsid w:val="00F1092E"/>
    <w:rsid w:val="00F109B9"/>
    <w:rsid w:val="00F1113F"/>
    <w:rsid w:val="00F111D1"/>
    <w:rsid w:val="00F11411"/>
    <w:rsid w:val="00F11E26"/>
    <w:rsid w:val="00F11FE8"/>
    <w:rsid w:val="00F12385"/>
    <w:rsid w:val="00F12905"/>
    <w:rsid w:val="00F1296B"/>
    <w:rsid w:val="00F12BC8"/>
    <w:rsid w:val="00F12F46"/>
    <w:rsid w:val="00F12FB1"/>
    <w:rsid w:val="00F13107"/>
    <w:rsid w:val="00F1331F"/>
    <w:rsid w:val="00F13498"/>
    <w:rsid w:val="00F139EF"/>
    <w:rsid w:val="00F13C0A"/>
    <w:rsid w:val="00F13F3D"/>
    <w:rsid w:val="00F1404D"/>
    <w:rsid w:val="00F140CB"/>
    <w:rsid w:val="00F14133"/>
    <w:rsid w:val="00F1433F"/>
    <w:rsid w:val="00F14390"/>
    <w:rsid w:val="00F143CF"/>
    <w:rsid w:val="00F14565"/>
    <w:rsid w:val="00F149E5"/>
    <w:rsid w:val="00F14CC3"/>
    <w:rsid w:val="00F14E04"/>
    <w:rsid w:val="00F14F20"/>
    <w:rsid w:val="00F14F99"/>
    <w:rsid w:val="00F1558F"/>
    <w:rsid w:val="00F1584D"/>
    <w:rsid w:val="00F15B5E"/>
    <w:rsid w:val="00F15DDC"/>
    <w:rsid w:val="00F16132"/>
    <w:rsid w:val="00F16333"/>
    <w:rsid w:val="00F1658D"/>
    <w:rsid w:val="00F16BB0"/>
    <w:rsid w:val="00F16EB8"/>
    <w:rsid w:val="00F17035"/>
    <w:rsid w:val="00F1714D"/>
    <w:rsid w:val="00F17281"/>
    <w:rsid w:val="00F17653"/>
    <w:rsid w:val="00F177C9"/>
    <w:rsid w:val="00F17A67"/>
    <w:rsid w:val="00F17C66"/>
    <w:rsid w:val="00F2027B"/>
    <w:rsid w:val="00F205EC"/>
    <w:rsid w:val="00F20A75"/>
    <w:rsid w:val="00F20ADC"/>
    <w:rsid w:val="00F20B8D"/>
    <w:rsid w:val="00F20C23"/>
    <w:rsid w:val="00F20E89"/>
    <w:rsid w:val="00F21386"/>
    <w:rsid w:val="00F213A9"/>
    <w:rsid w:val="00F2150F"/>
    <w:rsid w:val="00F215C0"/>
    <w:rsid w:val="00F21B3B"/>
    <w:rsid w:val="00F21C62"/>
    <w:rsid w:val="00F21E7A"/>
    <w:rsid w:val="00F21EDB"/>
    <w:rsid w:val="00F223B1"/>
    <w:rsid w:val="00F22D01"/>
    <w:rsid w:val="00F22DEF"/>
    <w:rsid w:val="00F2356C"/>
    <w:rsid w:val="00F235D4"/>
    <w:rsid w:val="00F23922"/>
    <w:rsid w:val="00F23949"/>
    <w:rsid w:val="00F23F1D"/>
    <w:rsid w:val="00F240B1"/>
    <w:rsid w:val="00F2410C"/>
    <w:rsid w:val="00F2414A"/>
    <w:rsid w:val="00F2440C"/>
    <w:rsid w:val="00F246A2"/>
    <w:rsid w:val="00F247DA"/>
    <w:rsid w:val="00F2493F"/>
    <w:rsid w:val="00F24A9F"/>
    <w:rsid w:val="00F24C23"/>
    <w:rsid w:val="00F255E7"/>
    <w:rsid w:val="00F25E1F"/>
    <w:rsid w:val="00F2607C"/>
    <w:rsid w:val="00F26317"/>
    <w:rsid w:val="00F26559"/>
    <w:rsid w:val="00F267BC"/>
    <w:rsid w:val="00F26808"/>
    <w:rsid w:val="00F26D5C"/>
    <w:rsid w:val="00F26F33"/>
    <w:rsid w:val="00F26FA5"/>
    <w:rsid w:val="00F27157"/>
    <w:rsid w:val="00F271D7"/>
    <w:rsid w:val="00F27685"/>
    <w:rsid w:val="00F27731"/>
    <w:rsid w:val="00F277F2"/>
    <w:rsid w:val="00F27A5B"/>
    <w:rsid w:val="00F27BA5"/>
    <w:rsid w:val="00F27F6D"/>
    <w:rsid w:val="00F27FB8"/>
    <w:rsid w:val="00F27FF1"/>
    <w:rsid w:val="00F30006"/>
    <w:rsid w:val="00F30534"/>
    <w:rsid w:val="00F307FF"/>
    <w:rsid w:val="00F30815"/>
    <w:rsid w:val="00F3097E"/>
    <w:rsid w:val="00F309BF"/>
    <w:rsid w:val="00F30BB3"/>
    <w:rsid w:val="00F30D87"/>
    <w:rsid w:val="00F31656"/>
    <w:rsid w:val="00F31B69"/>
    <w:rsid w:val="00F320C5"/>
    <w:rsid w:val="00F3245B"/>
    <w:rsid w:val="00F328BB"/>
    <w:rsid w:val="00F32C70"/>
    <w:rsid w:val="00F32DE2"/>
    <w:rsid w:val="00F333C8"/>
    <w:rsid w:val="00F334FC"/>
    <w:rsid w:val="00F336D2"/>
    <w:rsid w:val="00F339A8"/>
    <w:rsid w:val="00F34318"/>
    <w:rsid w:val="00F34860"/>
    <w:rsid w:val="00F34E0D"/>
    <w:rsid w:val="00F34FBB"/>
    <w:rsid w:val="00F35818"/>
    <w:rsid w:val="00F35BFD"/>
    <w:rsid w:val="00F35F11"/>
    <w:rsid w:val="00F36018"/>
    <w:rsid w:val="00F3602B"/>
    <w:rsid w:val="00F3610E"/>
    <w:rsid w:val="00F365A1"/>
    <w:rsid w:val="00F365E3"/>
    <w:rsid w:val="00F36B89"/>
    <w:rsid w:val="00F36DC4"/>
    <w:rsid w:val="00F36E13"/>
    <w:rsid w:val="00F37186"/>
    <w:rsid w:val="00F37199"/>
    <w:rsid w:val="00F374AB"/>
    <w:rsid w:val="00F374F1"/>
    <w:rsid w:val="00F3763B"/>
    <w:rsid w:val="00F3785E"/>
    <w:rsid w:val="00F37C53"/>
    <w:rsid w:val="00F37DCB"/>
    <w:rsid w:val="00F37DCE"/>
    <w:rsid w:val="00F37E29"/>
    <w:rsid w:val="00F40155"/>
    <w:rsid w:val="00F401CC"/>
    <w:rsid w:val="00F40420"/>
    <w:rsid w:val="00F4063C"/>
    <w:rsid w:val="00F4072E"/>
    <w:rsid w:val="00F40AFB"/>
    <w:rsid w:val="00F40C0C"/>
    <w:rsid w:val="00F41B23"/>
    <w:rsid w:val="00F41BDF"/>
    <w:rsid w:val="00F42096"/>
    <w:rsid w:val="00F422D4"/>
    <w:rsid w:val="00F42486"/>
    <w:rsid w:val="00F42669"/>
    <w:rsid w:val="00F42A1B"/>
    <w:rsid w:val="00F42B7F"/>
    <w:rsid w:val="00F42DA7"/>
    <w:rsid w:val="00F42E88"/>
    <w:rsid w:val="00F42F64"/>
    <w:rsid w:val="00F4302B"/>
    <w:rsid w:val="00F430E5"/>
    <w:rsid w:val="00F432CE"/>
    <w:rsid w:val="00F434A4"/>
    <w:rsid w:val="00F434CF"/>
    <w:rsid w:val="00F434D1"/>
    <w:rsid w:val="00F43542"/>
    <w:rsid w:val="00F436AC"/>
    <w:rsid w:val="00F43A56"/>
    <w:rsid w:val="00F43A77"/>
    <w:rsid w:val="00F43BCB"/>
    <w:rsid w:val="00F43F9B"/>
    <w:rsid w:val="00F43FD3"/>
    <w:rsid w:val="00F44019"/>
    <w:rsid w:val="00F44094"/>
    <w:rsid w:val="00F44687"/>
    <w:rsid w:val="00F44937"/>
    <w:rsid w:val="00F44A04"/>
    <w:rsid w:val="00F44B04"/>
    <w:rsid w:val="00F44B93"/>
    <w:rsid w:val="00F44E46"/>
    <w:rsid w:val="00F44F20"/>
    <w:rsid w:val="00F44FE6"/>
    <w:rsid w:val="00F45053"/>
    <w:rsid w:val="00F4518E"/>
    <w:rsid w:val="00F45537"/>
    <w:rsid w:val="00F4573A"/>
    <w:rsid w:val="00F45C5C"/>
    <w:rsid w:val="00F45E2E"/>
    <w:rsid w:val="00F45FB6"/>
    <w:rsid w:val="00F4625F"/>
    <w:rsid w:val="00F46289"/>
    <w:rsid w:val="00F46659"/>
    <w:rsid w:val="00F46AA1"/>
    <w:rsid w:val="00F46B5C"/>
    <w:rsid w:val="00F46B63"/>
    <w:rsid w:val="00F46C85"/>
    <w:rsid w:val="00F4701D"/>
    <w:rsid w:val="00F47495"/>
    <w:rsid w:val="00F4753A"/>
    <w:rsid w:val="00F475BD"/>
    <w:rsid w:val="00F4773D"/>
    <w:rsid w:val="00F47825"/>
    <w:rsid w:val="00F47BE8"/>
    <w:rsid w:val="00F47C2C"/>
    <w:rsid w:val="00F47C97"/>
    <w:rsid w:val="00F47CC5"/>
    <w:rsid w:val="00F47E23"/>
    <w:rsid w:val="00F47EC3"/>
    <w:rsid w:val="00F5022C"/>
    <w:rsid w:val="00F505A6"/>
    <w:rsid w:val="00F506AF"/>
    <w:rsid w:val="00F5090D"/>
    <w:rsid w:val="00F50B6C"/>
    <w:rsid w:val="00F5103D"/>
    <w:rsid w:val="00F510FB"/>
    <w:rsid w:val="00F51207"/>
    <w:rsid w:val="00F51267"/>
    <w:rsid w:val="00F512D0"/>
    <w:rsid w:val="00F514E7"/>
    <w:rsid w:val="00F51632"/>
    <w:rsid w:val="00F5165F"/>
    <w:rsid w:val="00F51A22"/>
    <w:rsid w:val="00F51D51"/>
    <w:rsid w:val="00F51FE4"/>
    <w:rsid w:val="00F521D1"/>
    <w:rsid w:val="00F52301"/>
    <w:rsid w:val="00F52327"/>
    <w:rsid w:val="00F52544"/>
    <w:rsid w:val="00F527A9"/>
    <w:rsid w:val="00F52895"/>
    <w:rsid w:val="00F5296B"/>
    <w:rsid w:val="00F529A5"/>
    <w:rsid w:val="00F529F9"/>
    <w:rsid w:val="00F52A7D"/>
    <w:rsid w:val="00F52F56"/>
    <w:rsid w:val="00F53012"/>
    <w:rsid w:val="00F531E3"/>
    <w:rsid w:val="00F53322"/>
    <w:rsid w:val="00F533D1"/>
    <w:rsid w:val="00F53436"/>
    <w:rsid w:val="00F53881"/>
    <w:rsid w:val="00F538A9"/>
    <w:rsid w:val="00F53CED"/>
    <w:rsid w:val="00F53D62"/>
    <w:rsid w:val="00F540F6"/>
    <w:rsid w:val="00F54286"/>
    <w:rsid w:val="00F542E7"/>
    <w:rsid w:val="00F54374"/>
    <w:rsid w:val="00F544B8"/>
    <w:rsid w:val="00F54520"/>
    <w:rsid w:val="00F54601"/>
    <w:rsid w:val="00F54604"/>
    <w:rsid w:val="00F54723"/>
    <w:rsid w:val="00F54799"/>
    <w:rsid w:val="00F54914"/>
    <w:rsid w:val="00F54BA3"/>
    <w:rsid w:val="00F54C5C"/>
    <w:rsid w:val="00F54D6D"/>
    <w:rsid w:val="00F54DF0"/>
    <w:rsid w:val="00F55619"/>
    <w:rsid w:val="00F55D9A"/>
    <w:rsid w:val="00F56491"/>
    <w:rsid w:val="00F564CF"/>
    <w:rsid w:val="00F56956"/>
    <w:rsid w:val="00F56ADC"/>
    <w:rsid w:val="00F56E8B"/>
    <w:rsid w:val="00F56E8C"/>
    <w:rsid w:val="00F56EC1"/>
    <w:rsid w:val="00F573AD"/>
    <w:rsid w:val="00F5754A"/>
    <w:rsid w:val="00F57631"/>
    <w:rsid w:val="00F576BA"/>
    <w:rsid w:val="00F5793A"/>
    <w:rsid w:val="00F579CC"/>
    <w:rsid w:val="00F57AE9"/>
    <w:rsid w:val="00F57B62"/>
    <w:rsid w:val="00F600E0"/>
    <w:rsid w:val="00F60577"/>
    <w:rsid w:val="00F6081B"/>
    <w:rsid w:val="00F60871"/>
    <w:rsid w:val="00F60986"/>
    <w:rsid w:val="00F60B97"/>
    <w:rsid w:val="00F60DF8"/>
    <w:rsid w:val="00F612DD"/>
    <w:rsid w:val="00F6138B"/>
    <w:rsid w:val="00F614DE"/>
    <w:rsid w:val="00F6168D"/>
    <w:rsid w:val="00F61706"/>
    <w:rsid w:val="00F6187C"/>
    <w:rsid w:val="00F61BA9"/>
    <w:rsid w:val="00F61CAC"/>
    <w:rsid w:val="00F61CEF"/>
    <w:rsid w:val="00F62028"/>
    <w:rsid w:val="00F625A2"/>
    <w:rsid w:val="00F6281F"/>
    <w:rsid w:val="00F62B6E"/>
    <w:rsid w:val="00F62D5E"/>
    <w:rsid w:val="00F62F74"/>
    <w:rsid w:val="00F634DC"/>
    <w:rsid w:val="00F634E3"/>
    <w:rsid w:val="00F63532"/>
    <w:rsid w:val="00F635B4"/>
    <w:rsid w:val="00F639AF"/>
    <w:rsid w:val="00F63EE1"/>
    <w:rsid w:val="00F63EE8"/>
    <w:rsid w:val="00F63FA2"/>
    <w:rsid w:val="00F64239"/>
    <w:rsid w:val="00F6440D"/>
    <w:rsid w:val="00F6452D"/>
    <w:rsid w:val="00F64AB5"/>
    <w:rsid w:val="00F64B28"/>
    <w:rsid w:val="00F64E72"/>
    <w:rsid w:val="00F652B6"/>
    <w:rsid w:val="00F65A4D"/>
    <w:rsid w:val="00F65D2F"/>
    <w:rsid w:val="00F65F17"/>
    <w:rsid w:val="00F664B8"/>
    <w:rsid w:val="00F66811"/>
    <w:rsid w:val="00F668AD"/>
    <w:rsid w:val="00F672E2"/>
    <w:rsid w:val="00F67323"/>
    <w:rsid w:val="00F67505"/>
    <w:rsid w:val="00F6756C"/>
    <w:rsid w:val="00F67800"/>
    <w:rsid w:val="00F678F9"/>
    <w:rsid w:val="00F67C80"/>
    <w:rsid w:val="00F7018E"/>
    <w:rsid w:val="00F7048B"/>
    <w:rsid w:val="00F70514"/>
    <w:rsid w:val="00F70719"/>
    <w:rsid w:val="00F7099F"/>
    <w:rsid w:val="00F71019"/>
    <w:rsid w:val="00F71024"/>
    <w:rsid w:val="00F718A4"/>
    <w:rsid w:val="00F71C78"/>
    <w:rsid w:val="00F71E41"/>
    <w:rsid w:val="00F71E8D"/>
    <w:rsid w:val="00F71F63"/>
    <w:rsid w:val="00F7225F"/>
    <w:rsid w:val="00F722F5"/>
    <w:rsid w:val="00F72327"/>
    <w:rsid w:val="00F72488"/>
    <w:rsid w:val="00F725A9"/>
    <w:rsid w:val="00F72794"/>
    <w:rsid w:val="00F728D1"/>
    <w:rsid w:val="00F729FB"/>
    <w:rsid w:val="00F72B79"/>
    <w:rsid w:val="00F733EC"/>
    <w:rsid w:val="00F73664"/>
    <w:rsid w:val="00F736F3"/>
    <w:rsid w:val="00F73AFB"/>
    <w:rsid w:val="00F73D4C"/>
    <w:rsid w:val="00F73DCA"/>
    <w:rsid w:val="00F73F7C"/>
    <w:rsid w:val="00F74B53"/>
    <w:rsid w:val="00F74BF8"/>
    <w:rsid w:val="00F74D10"/>
    <w:rsid w:val="00F74E88"/>
    <w:rsid w:val="00F74F4E"/>
    <w:rsid w:val="00F7501F"/>
    <w:rsid w:val="00F75085"/>
    <w:rsid w:val="00F752E8"/>
    <w:rsid w:val="00F753E9"/>
    <w:rsid w:val="00F75425"/>
    <w:rsid w:val="00F7559F"/>
    <w:rsid w:val="00F755B2"/>
    <w:rsid w:val="00F75C31"/>
    <w:rsid w:val="00F75C65"/>
    <w:rsid w:val="00F75CBF"/>
    <w:rsid w:val="00F75ECE"/>
    <w:rsid w:val="00F75FCE"/>
    <w:rsid w:val="00F76225"/>
    <w:rsid w:val="00F76372"/>
    <w:rsid w:val="00F763C6"/>
    <w:rsid w:val="00F76457"/>
    <w:rsid w:val="00F766E5"/>
    <w:rsid w:val="00F76787"/>
    <w:rsid w:val="00F76970"/>
    <w:rsid w:val="00F76D63"/>
    <w:rsid w:val="00F7706F"/>
    <w:rsid w:val="00F7730B"/>
    <w:rsid w:val="00F773E6"/>
    <w:rsid w:val="00F77D39"/>
    <w:rsid w:val="00F77DF1"/>
    <w:rsid w:val="00F803CD"/>
    <w:rsid w:val="00F80AAD"/>
    <w:rsid w:val="00F80C84"/>
    <w:rsid w:val="00F80DE9"/>
    <w:rsid w:val="00F80E9E"/>
    <w:rsid w:val="00F810C1"/>
    <w:rsid w:val="00F813A7"/>
    <w:rsid w:val="00F81547"/>
    <w:rsid w:val="00F8154F"/>
    <w:rsid w:val="00F816C6"/>
    <w:rsid w:val="00F817E2"/>
    <w:rsid w:val="00F81915"/>
    <w:rsid w:val="00F81938"/>
    <w:rsid w:val="00F81D50"/>
    <w:rsid w:val="00F81D74"/>
    <w:rsid w:val="00F81F90"/>
    <w:rsid w:val="00F820E8"/>
    <w:rsid w:val="00F820EB"/>
    <w:rsid w:val="00F82606"/>
    <w:rsid w:val="00F82B9E"/>
    <w:rsid w:val="00F832F6"/>
    <w:rsid w:val="00F8350D"/>
    <w:rsid w:val="00F8365E"/>
    <w:rsid w:val="00F8381E"/>
    <w:rsid w:val="00F83950"/>
    <w:rsid w:val="00F839A0"/>
    <w:rsid w:val="00F83D41"/>
    <w:rsid w:val="00F83FE5"/>
    <w:rsid w:val="00F84061"/>
    <w:rsid w:val="00F8473B"/>
    <w:rsid w:val="00F849F1"/>
    <w:rsid w:val="00F84DDB"/>
    <w:rsid w:val="00F853AD"/>
    <w:rsid w:val="00F86110"/>
    <w:rsid w:val="00F8633A"/>
    <w:rsid w:val="00F8647C"/>
    <w:rsid w:val="00F8670B"/>
    <w:rsid w:val="00F86E5F"/>
    <w:rsid w:val="00F86F13"/>
    <w:rsid w:val="00F86F34"/>
    <w:rsid w:val="00F87087"/>
    <w:rsid w:val="00F8721A"/>
    <w:rsid w:val="00F87259"/>
    <w:rsid w:val="00F8786F"/>
    <w:rsid w:val="00F878C4"/>
    <w:rsid w:val="00F87935"/>
    <w:rsid w:val="00F8796C"/>
    <w:rsid w:val="00F87990"/>
    <w:rsid w:val="00F87EFE"/>
    <w:rsid w:val="00F9011D"/>
    <w:rsid w:val="00F90207"/>
    <w:rsid w:val="00F90217"/>
    <w:rsid w:val="00F90475"/>
    <w:rsid w:val="00F904BC"/>
    <w:rsid w:val="00F909F4"/>
    <w:rsid w:val="00F90A14"/>
    <w:rsid w:val="00F90D74"/>
    <w:rsid w:val="00F90F8A"/>
    <w:rsid w:val="00F90FF6"/>
    <w:rsid w:val="00F9120A"/>
    <w:rsid w:val="00F91481"/>
    <w:rsid w:val="00F9191F"/>
    <w:rsid w:val="00F91AF3"/>
    <w:rsid w:val="00F92203"/>
    <w:rsid w:val="00F9239C"/>
    <w:rsid w:val="00F92738"/>
    <w:rsid w:val="00F927AF"/>
    <w:rsid w:val="00F92841"/>
    <w:rsid w:val="00F92C74"/>
    <w:rsid w:val="00F92C93"/>
    <w:rsid w:val="00F93147"/>
    <w:rsid w:val="00F9327A"/>
    <w:rsid w:val="00F932A1"/>
    <w:rsid w:val="00F93586"/>
    <w:rsid w:val="00F93B75"/>
    <w:rsid w:val="00F93CB1"/>
    <w:rsid w:val="00F94019"/>
    <w:rsid w:val="00F9421D"/>
    <w:rsid w:val="00F943BF"/>
    <w:rsid w:val="00F94404"/>
    <w:rsid w:val="00F94470"/>
    <w:rsid w:val="00F94D2B"/>
    <w:rsid w:val="00F94E01"/>
    <w:rsid w:val="00F94ED9"/>
    <w:rsid w:val="00F95729"/>
    <w:rsid w:val="00F957D6"/>
    <w:rsid w:val="00F958EF"/>
    <w:rsid w:val="00F95C47"/>
    <w:rsid w:val="00F95CF2"/>
    <w:rsid w:val="00F95DC9"/>
    <w:rsid w:val="00F96478"/>
    <w:rsid w:val="00F964E6"/>
    <w:rsid w:val="00F966AD"/>
    <w:rsid w:val="00F969B9"/>
    <w:rsid w:val="00F96CC6"/>
    <w:rsid w:val="00F96FC9"/>
    <w:rsid w:val="00F9701C"/>
    <w:rsid w:val="00F97386"/>
    <w:rsid w:val="00F97621"/>
    <w:rsid w:val="00F977CA"/>
    <w:rsid w:val="00F978FE"/>
    <w:rsid w:val="00F97960"/>
    <w:rsid w:val="00F979A7"/>
    <w:rsid w:val="00F97D5A"/>
    <w:rsid w:val="00FA002E"/>
    <w:rsid w:val="00FA024C"/>
    <w:rsid w:val="00FA05D0"/>
    <w:rsid w:val="00FA06D3"/>
    <w:rsid w:val="00FA0888"/>
    <w:rsid w:val="00FA08B0"/>
    <w:rsid w:val="00FA09C4"/>
    <w:rsid w:val="00FA09F2"/>
    <w:rsid w:val="00FA0A19"/>
    <w:rsid w:val="00FA1184"/>
    <w:rsid w:val="00FA1258"/>
    <w:rsid w:val="00FA1676"/>
    <w:rsid w:val="00FA16BB"/>
    <w:rsid w:val="00FA1B0B"/>
    <w:rsid w:val="00FA28B4"/>
    <w:rsid w:val="00FA2CA6"/>
    <w:rsid w:val="00FA2E7C"/>
    <w:rsid w:val="00FA2FCE"/>
    <w:rsid w:val="00FA316C"/>
    <w:rsid w:val="00FA318A"/>
    <w:rsid w:val="00FA3449"/>
    <w:rsid w:val="00FA34C9"/>
    <w:rsid w:val="00FA36A1"/>
    <w:rsid w:val="00FA39D4"/>
    <w:rsid w:val="00FA3F60"/>
    <w:rsid w:val="00FA4147"/>
    <w:rsid w:val="00FA43DE"/>
    <w:rsid w:val="00FA4A87"/>
    <w:rsid w:val="00FA4E2B"/>
    <w:rsid w:val="00FA4E88"/>
    <w:rsid w:val="00FA4EA6"/>
    <w:rsid w:val="00FA524E"/>
    <w:rsid w:val="00FA5300"/>
    <w:rsid w:val="00FA560C"/>
    <w:rsid w:val="00FA57C7"/>
    <w:rsid w:val="00FA5B2E"/>
    <w:rsid w:val="00FA5C52"/>
    <w:rsid w:val="00FA633B"/>
    <w:rsid w:val="00FA67E2"/>
    <w:rsid w:val="00FA6ACF"/>
    <w:rsid w:val="00FA6B9D"/>
    <w:rsid w:val="00FA6BEA"/>
    <w:rsid w:val="00FA6DCE"/>
    <w:rsid w:val="00FA6E30"/>
    <w:rsid w:val="00FA6EB2"/>
    <w:rsid w:val="00FA71A8"/>
    <w:rsid w:val="00FA7305"/>
    <w:rsid w:val="00FA7313"/>
    <w:rsid w:val="00FA78F1"/>
    <w:rsid w:val="00FA7912"/>
    <w:rsid w:val="00FA7EBC"/>
    <w:rsid w:val="00FB0003"/>
    <w:rsid w:val="00FB0488"/>
    <w:rsid w:val="00FB0C53"/>
    <w:rsid w:val="00FB0F7A"/>
    <w:rsid w:val="00FB102B"/>
    <w:rsid w:val="00FB10E0"/>
    <w:rsid w:val="00FB119D"/>
    <w:rsid w:val="00FB1374"/>
    <w:rsid w:val="00FB13C2"/>
    <w:rsid w:val="00FB146C"/>
    <w:rsid w:val="00FB171E"/>
    <w:rsid w:val="00FB1959"/>
    <w:rsid w:val="00FB1DFA"/>
    <w:rsid w:val="00FB1E6D"/>
    <w:rsid w:val="00FB21A6"/>
    <w:rsid w:val="00FB26FC"/>
    <w:rsid w:val="00FB2962"/>
    <w:rsid w:val="00FB2989"/>
    <w:rsid w:val="00FB2E33"/>
    <w:rsid w:val="00FB2E77"/>
    <w:rsid w:val="00FB2EDF"/>
    <w:rsid w:val="00FB2F9F"/>
    <w:rsid w:val="00FB3204"/>
    <w:rsid w:val="00FB34EA"/>
    <w:rsid w:val="00FB3614"/>
    <w:rsid w:val="00FB3777"/>
    <w:rsid w:val="00FB3A86"/>
    <w:rsid w:val="00FB3E18"/>
    <w:rsid w:val="00FB3E86"/>
    <w:rsid w:val="00FB3F9B"/>
    <w:rsid w:val="00FB42EC"/>
    <w:rsid w:val="00FB46BF"/>
    <w:rsid w:val="00FB4849"/>
    <w:rsid w:val="00FB4CD2"/>
    <w:rsid w:val="00FB4CF3"/>
    <w:rsid w:val="00FB4D3D"/>
    <w:rsid w:val="00FB4D57"/>
    <w:rsid w:val="00FB4E43"/>
    <w:rsid w:val="00FB5134"/>
    <w:rsid w:val="00FB51E0"/>
    <w:rsid w:val="00FB532F"/>
    <w:rsid w:val="00FB5613"/>
    <w:rsid w:val="00FB56BA"/>
    <w:rsid w:val="00FB57C1"/>
    <w:rsid w:val="00FB5DF6"/>
    <w:rsid w:val="00FB5F4E"/>
    <w:rsid w:val="00FB6246"/>
    <w:rsid w:val="00FB65A6"/>
    <w:rsid w:val="00FB67B1"/>
    <w:rsid w:val="00FB682B"/>
    <w:rsid w:val="00FB6849"/>
    <w:rsid w:val="00FB6D44"/>
    <w:rsid w:val="00FB7363"/>
    <w:rsid w:val="00FB741B"/>
    <w:rsid w:val="00FB78AE"/>
    <w:rsid w:val="00FB7C32"/>
    <w:rsid w:val="00FB7D80"/>
    <w:rsid w:val="00FB7E41"/>
    <w:rsid w:val="00FB7F38"/>
    <w:rsid w:val="00FC0581"/>
    <w:rsid w:val="00FC05D1"/>
    <w:rsid w:val="00FC09DC"/>
    <w:rsid w:val="00FC0DB8"/>
    <w:rsid w:val="00FC0EDD"/>
    <w:rsid w:val="00FC1027"/>
    <w:rsid w:val="00FC1049"/>
    <w:rsid w:val="00FC1128"/>
    <w:rsid w:val="00FC14AA"/>
    <w:rsid w:val="00FC1ADA"/>
    <w:rsid w:val="00FC1F15"/>
    <w:rsid w:val="00FC207E"/>
    <w:rsid w:val="00FC23F4"/>
    <w:rsid w:val="00FC24A7"/>
    <w:rsid w:val="00FC25BF"/>
    <w:rsid w:val="00FC273B"/>
    <w:rsid w:val="00FC2B8F"/>
    <w:rsid w:val="00FC2DC3"/>
    <w:rsid w:val="00FC2EAF"/>
    <w:rsid w:val="00FC2EFE"/>
    <w:rsid w:val="00FC332F"/>
    <w:rsid w:val="00FC3358"/>
    <w:rsid w:val="00FC359D"/>
    <w:rsid w:val="00FC36BB"/>
    <w:rsid w:val="00FC36EF"/>
    <w:rsid w:val="00FC3717"/>
    <w:rsid w:val="00FC3A0A"/>
    <w:rsid w:val="00FC3A21"/>
    <w:rsid w:val="00FC3D54"/>
    <w:rsid w:val="00FC3E4F"/>
    <w:rsid w:val="00FC3E75"/>
    <w:rsid w:val="00FC3F57"/>
    <w:rsid w:val="00FC40CF"/>
    <w:rsid w:val="00FC40D3"/>
    <w:rsid w:val="00FC40FA"/>
    <w:rsid w:val="00FC4370"/>
    <w:rsid w:val="00FC444B"/>
    <w:rsid w:val="00FC44D2"/>
    <w:rsid w:val="00FC451E"/>
    <w:rsid w:val="00FC49B5"/>
    <w:rsid w:val="00FC4C96"/>
    <w:rsid w:val="00FC51BD"/>
    <w:rsid w:val="00FC55BF"/>
    <w:rsid w:val="00FC5754"/>
    <w:rsid w:val="00FC578F"/>
    <w:rsid w:val="00FC5A08"/>
    <w:rsid w:val="00FC5BFD"/>
    <w:rsid w:val="00FC5CDA"/>
    <w:rsid w:val="00FC5E32"/>
    <w:rsid w:val="00FC61DD"/>
    <w:rsid w:val="00FC63F4"/>
    <w:rsid w:val="00FC64E6"/>
    <w:rsid w:val="00FC662A"/>
    <w:rsid w:val="00FC6634"/>
    <w:rsid w:val="00FC682C"/>
    <w:rsid w:val="00FC6934"/>
    <w:rsid w:val="00FC6E0D"/>
    <w:rsid w:val="00FC7040"/>
    <w:rsid w:val="00FC7057"/>
    <w:rsid w:val="00FC734C"/>
    <w:rsid w:val="00FC7D42"/>
    <w:rsid w:val="00FC7D62"/>
    <w:rsid w:val="00FC7FA1"/>
    <w:rsid w:val="00FD0024"/>
    <w:rsid w:val="00FD0449"/>
    <w:rsid w:val="00FD05AB"/>
    <w:rsid w:val="00FD05C6"/>
    <w:rsid w:val="00FD0FE2"/>
    <w:rsid w:val="00FD121A"/>
    <w:rsid w:val="00FD1236"/>
    <w:rsid w:val="00FD131F"/>
    <w:rsid w:val="00FD13F3"/>
    <w:rsid w:val="00FD1935"/>
    <w:rsid w:val="00FD1D0B"/>
    <w:rsid w:val="00FD1E34"/>
    <w:rsid w:val="00FD21A4"/>
    <w:rsid w:val="00FD230B"/>
    <w:rsid w:val="00FD242B"/>
    <w:rsid w:val="00FD2552"/>
    <w:rsid w:val="00FD25E6"/>
    <w:rsid w:val="00FD2651"/>
    <w:rsid w:val="00FD2972"/>
    <w:rsid w:val="00FD2B4A"/>
    <w:rsid w:val="00FD2BBE"/>
    <w:rsid w:val="00FD2BEE"/>
    <w:rsid w:val="00FD2D9A"/>
    <w:rsid w:val="00FD2FC1"/>
    <w:rsid w:val="00FD378B"/>
    <w:rsid w:val="00FD3847"/>
    <w:rsid w:val="00FD3BE0"/>
    <w:rsid w:val="00FD3C4E"/>
    <w:rsid w:val="00FD3CC0"/>
    <w:rsid w:val="00FD4033"/>
    <w:rsid w:val="00FD4417"/>
    <w:rsid w:val="00FD44CF"/>
    <w:rsid w:val="00FD44E2"/>
    <w:rsid w:val="00FD44F2"/>
    <w:rsid w:val="00FD470F"/>
    <w:rsid w:val="00FD4871"/>
    <w:rsid w:val="00FD4A8A"/>
    <w:rsid w:val="00FD4C0E"/>
    <w:rsid w:val="00FD4C5A"/>
    <w:rsid w:val="00FD4E0D"/>
    <w:rsid w:val="00FD5124"/>
    <w:rsid w:val="00FD5404"/>
    <w:rsid w:val="00FD5B85"/>
    <w:rsid w:val="00FD5DCC"/>
    <w:rsid w:val="00FD5F21"/>
    <w:rsid w:val="00FD5FB1"/>
    <w:rsid w:val="00FD600B"/>
    <w:rsid w:val="00FD634A"/>
    <w:rsid w:val="00FD66BF"/>
    <w:rsid w:val="00FD67CB"/>
    <w:rsid w:val="00FD680A"/>
    <w:rsid w:val="00FD6F75"/>
    <w:rsid w:val="00FD7467"/>
    <w:rsid w:val="00FD7951"/>
    <w:rsid w:val="00FE0136"/>
    <w:rsid w:val="00FE088D"/>
    <w:rsid w:val="00FE08D2"/>
    <w:rsid w:val="00FE0BCE"/>
    <w:rsid w:val="00FE12A0"/>
    <w:rsid w:val="00FE15DA"/>
    <w:rsid w:val="00FE1610"/>
    <w:rsid w:val="00FE1969"/>
    <w:rsid w:val="00FE19CE"/>
    <w:rsid w:val="00FE1B3F"/>
    <w:rsid w:val="00FE1DB3"/>
    <w:rsid w:val="00FE23D8"/>
    <w:rsid w:val="00FE23DE"/>
    <w:rsid w:val="00FE2EEB"/>
    <w:rsid w:val="00FE304D"/>
    <w:rsid w:val="00FE31D3"/>
    <w:rsid w:val="00FE32D1"/>
    <w:rsid w:val="00FE3359"/>
    <w:rsid w:val="00FE336D"/>
    <w:rsid w:val="00FE33F9"/>
    <w:rsid w:val="00FE36C9"/>
    <w:rsid w:val="00FE3863"/>
    <w:rsid w:val="00FE392F"/>
    <w:rsid w:val="00FE3BB9"/>
    <w:rsid w:val="00FE424B"/>
    <w:rsid w:val="00FE447C"/>
    <w:rsid w:val="00FE4A50"/>
    <w:rsid w:val="00FE4A5F"/>
    <w:rsid w:val="00FE4D76"/>
    <w:rsid w:val="00FE4E07"/>
    <w:rsid w:val="00FE4FFC"/>
    <w:rsid w:val="00FE524C"/>
    <w:rsid w:val="00FE5D18"/>
    <w:rsid w:val="00FE5F0E"/>
    <w:rsid w:val="00FE5F12"/>
    <w:rsid w:val="00FE5FA9"/>
    <w:rsid w:val="00FE63A8"/>
    <w:rsid w:val="00FE6487"/>
    <w:rsid w:val="00FE65BB"/>
    <w:rsid w:val="00FE6B47"/>
    <w:rsid w:val="00FE6BF6"/>
    <w:rsid w:val="00FE6CDA"/>
    <w:rsid w:val="00FE6DD9"/>
    <w:rsid w:val="00FE6EE5"/>
    <w:rsid w:val="00FE7295"/>
    <w:rsid w:val="00FE76F3"/>
    <w:rsid w:val="00FE7A82"/>
    <w:rsid w:val="00FF00EF"/>
    <w:rsid w:val="00FF02E9"/>
    <w:rsid w:val="00FF032B"/>
    <w:rsid w:val="00FF053A"/>
    <w:rsid w:val="00FF058E"/>
    <w:rsid w:val="00FF060E"/>
    <w:rsid w:val="00FF0A79"/>
    <w:rsid w:val="00FF10BD"/>
    <w:rsid w:val="00FF1565"/>
    <w:rsid w:val="00FF1736"/>
    <w:rsid w:val="00FF1844"/>
    <w:rsid w:val="00FF1A65"/>
    <w:rsid w:val="00FF1C9B"/>
    <w:rsid w:val="00FF1FDC"/>
    <w:rsid w:val="00FF20DD"/>
    <w:rsid w:val="00FF21E1"/>
    <w:rsid w:val="00FF2206"/>
    <w:rsid w:val="00FF2222"/>
    <w:rsid w:val="00FF268B"/>
    <w:rsid w:val="00FF28B2"/>
    <w:rsid w:val="00FF2B4D"/>
    <w:rsid w:val="00FF2DF0"/>
    <w:rsid w:val="00FF2F34"/>
    <w:rsid w:val="00FF339A"/>
    <w:rsid w:val="00FF357A"/>
    <w:rsid w:val="00FF39BE"/>
    <w:rsid w:val="00FF3B87"/>
    <w:rsid w:val="00FF3D79"/>
    <w:rsid w:val="00FF3FE3"/>
    <w:rsid w:val="00FF40C8"/>
    <w:rsid w:val="00FF430D"/>
    <w:rsid w:val="00FF4347"/>
    <w:rsid w:val="00FF4392"/>
    <w:rsid w:val="00FF461C"/>
    <w:rsid w:val="00FF462B"/>
    <w:rsid w:val="00FF46FF"/>
    <w:rsid w:val="00FF4DF9"/>
    <w:rsid w:val="00FF4F8F"/>
    <w:rsid w:val="00FF519C"/>
    <w:rsid w:val="00FF5382"/>
    <w:rsid w:val="00FF55AB"/>
    <w:rsid w:val="00FF5C68"/>
    <w:rsid w:val="00FF60CA"/>
    <w:rsid w:val="00FF6212"/>
    <w:rsid w:val="00FF6351"/>
    <w:rsid w:val="00FF649F"/>
    <w:rsid w:val="00FF6862"/>
    <w:rsid w:val="00FF6890"/>
    <w:rsid w:val="00FF689C"/>
    <w:rsid w:val="00FF6AD1"/>
    <w:rsid w:val="00FF6B5D"/>
    <w:rsid w:val="00FF6B8E"/>
    <w:rsid w:val="00FF6FB3"/>
    <w:rsid w:val="00FF6FE2"/>
    <w:rsid w:val="00FF712E"/>
    <w:rsid w:val="00FF7218"/>
    <w:rsid w:val="00FF75A4"/>
    <w:rsid w:val="00FF76F5"/>
    <w:rsid w:val="00FF77B8"/>
    <w:rsid w:val="00FF7AEC"/>
    <w:rsid w:val="05720B50"/>
    <w:rsid w:val="1AF434F8"/>
    <w:rsid w:val="23700025"/>
    <w:rsid w:val="35011425"/>
    <w:rsid w:val="53D6494C"/>
    <w:rsid w:val="579F6BFA"/>
    <w:rsid w:val="5DCA423E"/>
    <w:rsid w:val="5FC36F77"/>
    <w:rsid w:val="60CA446F"/>
    <w:rsid w:val="6B013226"/>
    <w:rsid w:val="765C4824"/>
    <w:rsid w:val="7D0B04DD"/>
    <w:rsid w:val="7E4330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iPriority="0" w:semiHidden="0" w:name="annotation text"/>
    <w:lsdException w:qFormat="1" w:uiPriority="0" w:semiHidden="0" w:name="header"/>
    <w:lsdException w:qFormat="1" w:uiPriority="99" w:semiHidden="0" w:name="footer"/>
    <w:lsdException w:qFormat="1" w:unhideWhenUsed="0" w:uiPriority="0" w:name="index heading"/>
    <w:lsdException w:qFormat="1" w:uiPriority="0" w:semiHidden="0" w:name="caption"/>
    <w:lsdException w:qFormat="1" w:unhideWhenUsed="0" w:uiPriority="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iPriority="0" w:semiHidden="0" w:name="annotation reference"/>
    <w:lsdException w:qFormat="1" w:unhideWhenUsed="0" w:uiPriority="0" w:semiHidden="0" w:name="line number"/>
    <w:lsdException w:qFormat="1" w:unhideWhenUsed="0" w:uiPriority="0" w:semiHidden="0" w:name="page number"/>
    <w:lsdException w:qFormat="1" w:uiPriority="0" w:name="endnote reference"/>
    <w:lsdException w:qFormat="1" w:uiPriority="0" w:semiHidden="0" w:name="endnote text"/>
    <w:lsdException w:qFormat="1" w:unhideWhenUsed="0" w:uiPriority="0" w:semiHidden="0" w:name="table of authorities"/>
    <w:lsdException w:qFormat="1" w:uiPriority="99"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name="HTML Acronym"/>
    <w:lsdException w:qFormat="1" w:unhideWhenUsed="0" w:uiPriority="0" w:semiHidden="0" w:name="HTML Address"/>
    <w:lsdException w:qFormat="1" w:unhideWhenUsed="0" w:uiPriority="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name="HTML Sample"/>
    <w:lsdException w:qFormat="1" w:unhideWhenUsed="0" w:uiPriority="0" w:semiHidden="0" w:name="HTML Typewriter"/>
    <w:lsdException w:qFormat="1" w:unhideWhenUsed="0" w:uiPriority="0" w:name="HTML Variable"/>
    <w:lsdException w:qFormat="1" w:uiPriority="99" w:name="Normal Table"/>
    <w:lsdException w:qFormat="1" w:uiPriority="99" w:semiHidden="0" w:name="annotation subject"/>
    <w:lsdException w:qFormat="1" w:unhideWhenUsed="0" w:uiPriority="0" w:semiHidden="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uiPriority="99"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semiHidden="0" w:name="Table Grid 1"/>
    <w:lsdException w:qFormat="1" w:unhideWhenUsed="0" w:uiPriority="0" w:semiHidden="0" w:name="Table Grid 2"/>
    <w:lsdException w:qFormat="1" w:unhideWhenUsed="0" w:uiPriority="0" w:name="Table Grid 3"/>
    <w:lsdException w:qFormat="1" w:unhideWhenUsed="0" w:uiPriority="0" w:name="Table Grid 4"/>
    <w:lsdException w:qFormat="1" w:unhideWhenUsed="0" w:uiPriority="0" w:semiHidden="0" w:name="Table Grid 5"/>
    <w:lsdException w:qFormat="1" w:unhideWhenUsed="0" w:uiPriority="0" w:name="Table Grid 6"/>
    <w:lsdException w:qFormat="1" w:unhideWhenUsed="0" w:uiPriority="0" w:semiHidden="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semiHidden="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iPriority="0" w:semiHidden="0" w:name="Balloon Text"/>
    <w:lsdException w:qFormat="1" w:unhideWhenUsed="0" w:uiPriority="39" w:semiHidden="0" w:name="Table Grid"/>
    <w:lsdException w:qFormat="1" w:unhideWhenUsed="0" w:uiPriority="0" w:semiHidden="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480" w:lineRule="exact"/>
      <w:ind w:firstLine="200" w:firstLineChars="200"/>
    </w:pPr>
    <w:rPr>
      <w:rFonts w:ascii="Times New Roman" w:hAnsi="Times New Roman" w:eastAsia="宋体" w:cs="Times New Roman"/>
      <w:kern w:val="2"/>
      <w:sz w:val="26"/>
      <w:szCs w:val="22"/>
      <w:lang w:val="en-US" w:eastAsia="zh-CN" w:bidi="ar-SA"/>
    </w:rPr>
  </w:style>
  <w:style w:type="paragraph" w:styleId="3">
    <w:name w:val="heading 1"/>
    <w:next w:val="1"/>
    <w:link w:val="152"/>
    <w:qFormat/>
    <w:uiPriority w:val="0"/>
    <w:pPr>
      <w:numPr>
        <w:ilvl w:val="0"/>
        <w:numId w:val="1"/>
      </w:numPr>
      <w:tabs>
        <w:tab w:val="left" w:pos="0"/>
      </w:tabs>
      <w:adjustRightInd w:val="0"/>
      <w:snapToGrid w:val="0"/>
      <w:spacing w:beforeLines="100" w:afterLines="100" w:line="480" w:lineRule="exact"/>
      <w:jc w:val="center"/>
      <w:outlineLvl w:val="0"/>
    </w:pPr>
    <w:rPr>
      <w:rFonts w:ascii="Times New Roman" w:hAnsi="Times New Roman" w:eastAsia="宋体" w:cs="Times New Roman"/>
      <w:b/>
      <w:bCs/>
      <w:snapToGrid w:val="0"/>
      <w:kern w:val="44"/>
      <w:sz w:val="44"/>
      <w:szCs w:val="44"/>
      <w:lang w:val="en-US" w:eastAsia="zh-CN" w:bidi="ar-SA"/>
    </w:rPr>
  </w:style>
  <w:style w:type="paragraph" w:styleId="4">
    <w:name w:val="heading 2"/>
    <w:next w:val="1"/>
    <w:link w:val="153"/>
    <w:unhideWhenUsed/>
    <w:qFormat/>
    <w:uiPriority w:val="0"/>
    <w:pPr>
      <w:tabs>
        <w:tab w:val="left" w:pos="0"/>
      </w:tabs>
      <w:adjustRightInd w:val="0"/>
      <w:snapToGrid w:val="0"/>
      <w:spacing w:before="120" w:beforeLines="50" w:after="120" w:afterLines="50" w:line="480" w:lineRule="exact"/>
      <w:outlineLvl w:val="1"/>
    </w:pPr>
    <w:rPr>
      <w:rFonts w:ascii="Times New Roman" w:hAnsi="Times New Roman" w:eastAsia="宋体" w:cs="Times New Roman"/>
      <w:b/>
      <w:bCs/>
      <w:snapToGrid w:val="0"/>
      <w:kern w:val="2"/>
      <w:sz w:val="30"/>
      <w:szCs w:val="32"/>
      <w:lang w:val="en-US" w:eastAsia="zh-CN" w:bidi="ar-SA"/>
    </w:rPr>
  </w:style>
  <w:style w:type="paragraph" w:styleId="5">
    <w:name w:val="heading 3"/>
    <w:next w:val="1"/>
    <w:link w:val="154"/>
    <w:unhideWhenUsed/>
    <w:qFormat/>
    <w:uiPriority w:val="0"/>
    <w:pPr>
      <w:tabs>
        <w:tab w:val="left" w:pos="0"/>
      </w:tabs>
      <w:adjustRightInd w:val="0"/>
      <w:snapToGrid w:val="0"/>
      <w:spacing w:line="360" w:lineRule="auto"/>
      <w:outlineLvl w:val="2"/>
    </w:pPr>
    <w:rPr>
      <w:rFonts w:ascii="Times New Roman" w:hAnsi="Times New Roman" w:eastAsia="宋体" w:cs="Times New Roman"/>
      <w:b/>
      <w:snapToGrid w:val="0"/>
      <w:color w:val="0000FF"/>
      <w:kern w:val="2"/>
      <w:sz w:val="24"/>
      <w:szCs w:val="32"/>
      <w:lang w:val="en-US" w:eastAsia="zh-CN" w:bidi="en-US"/>
    </w:rPr>
  </w:style>
  <w:style w:type="paragraph" w:styleId="6">
    <w:name w:val="heading 4"/>
    <w:next w:val="1"/>
    <w:link w:val="156"/>
    <w:unhideWhenUsed/>
    <w:qFormat/>
    <w:uiPriority w:val="0"/>
    <w:pPr>
      <w:numPr>
        <w:ilvl w:val="3"/>
        <w:numId w:val="1"/>
      </w:numPr>
      <w:tabs>
        <w:tab w:val="left" w:pos="0"/>
      </w:tabs>
      <w:adjustRightInd w:val="0"/>
      <w:snapToGrid w:val="0"/>
      <w:spacing w:line="480" w:lineRule="exact"/>
      <w:outlineLvl w:val="3"/>
    </w:pPr>
    <w:rPr>
      <w:rFonts w:ascii="Times New Roman" w:hAnsi="Times New Roman" w:eastAsia="宋体" w:cs="Times New Roman"/>
      <w:b/>
      <w:bCs/>
      <w:snapToGrid w:val="0"/>
      <w:kern w:val="2"/>
      <w:sz w:val="26"/>
      <w:szCs w:val="28"/>
      <w:lang w:val="en-US" w:eastAsia="zh-CN" w:bidi="ar-SA"/>
    </w:rPr>
  </w:style>
  <w:style w:type="paragraph" w:styleId="7">
    <w:name w:val="heading 5"/>
    <w:basedOn w:val="1"/>
    <w:next w:val="1"/>
    <w:link w:val="157"/>
    <w:unhideWhenUsed/>
    <w:qFormat/>
    <w:uiPriority w:val="0"/>
    <w:pPr>
      <w:numPr>
        <w:ilvl w:val="4"/>
        <w:numId w:val="2"/>
      </w:numPr>
      <w:ind w:firstLine="0" w:firstLineChars="0"/>
      <w:outlineLvl w:val="4"/>
    </w:pPr>
    <w:rPr>
      <w:bCs/>
      <w:szCs w:val="28"/>
    </w:rPr>
  </w:style>
  <w:style w:type="paragraph" w:styleId="8">
    <w:name w:val="heading 6"/>
    <w:basedOn w:val="1"/>
    <w:next w:val="1"/>
    <w:link w:val="158"/>
    <w:unhideWhenUsed/>
    <w:qFormat/>
    <w:uiPriority w:val="0"/>
    <w:pPr>
      <w:keepNext/>
      <w:keepLines/>
      <w:numPr>
        <w:ilvl w:val="5"/>
        <w:numId w:val="1"/>
      </w:numPr>
      <w:spacing w:before="240" w:after="64" w:line="320" w:lineRule="atLeast"/>
      <w:ind w:firstLineChars="0"/>
      <w:outlineLvl w:val="5"/>
    </w:pPr>
    <w:rPr>
      <w:rFonts w:ascii="Cambria" w:hAnsi="Cambria"/>
      <w:b/>
      <w:bCs/>
      <w:sz w:val="24"/>
    </w:rPr>
  </w:style>
  <w:style w:type="paragraph" w:styleId="9">
    <w:name w:val="heading 7"/>
    <w:basedOn w:val="1"/>
    <w:next w:val="1"/>
    <w:link w:val="159"/>
    <w:unhideWhenUsed/>
    <w:qFormat/>
    <w:uiPriority w:val="0"/>
    <w:pPr>
      <w:keepNext/>
      <w:keepLines/>
      <w:numPr>
        <w:ilvl w:val="6"/>
        <w:numId w:val="1"/>
      </w:numPr>
      <w:spacing w:before="240" w:after="64" w:line="320" w:lineRule="atLeast"/>
      <w:ind w:firstLineChars="0"/>
      <w:outlineLvl w:val="6"/>
    </w:pPr>
    <w:rPr>
      <w:b/>
      <w:bCs/>
      <w:sz w:val="24"/>
    </w:rPr>
  </w:style>
  <w:style w:type="paragraph" w:styleId="10">
    <w:name w:val="heading 8"/>
    <w:basedOn w:val="1"/>
    <w:next w:val="1"/>
    <w:link w:val="160"/>
    <w:unhideWhenUsed/>
    <w:qFormat/>
    <w:uiPriority w:val="0"/>
    <w:pPr>
      <w:keepNext/>
      <w:keepLines/>
      <w:numPr>
        <w:ilvl w:val="7"/>
        <w:numId w:val="1"/>
      </w:numPr>
      <w:spacing w:before="240" w:after="64" w:line="320" w:lineRule="atLeast"/>
      <w:ind w:firstLineChars="0"/>
      <w:outlineLvl w:val="7"/>
    </w:pPr>
    <w:rPr>
      <w:rFonts w:ascii="Cambria" w:hAnsi="Cambria"/>
      <w:sz w:val="24"/>
    </w:rPr>
  </w:style>
  <w:style w:type="paragraph" w:styleId="11">
    <w:name w:val="heading 9"/>
    <w:basedOn w:val="1"/>
    <w:next w:val="1"/>
    <w:link w:val="161"/>
    <w:unhideWhenUsed/>
    <w:qFormat/>
    <w:uiPriority w:val="0"/>
    <w:pPr>
      <w:keepNext/>
      <w:keepLines/>
      <w:numPr>
        <w:ilvl w:val="8"/>
        <w:numId w:val="1"/>
      </w:numPr>
      <w:spacing w:before="240" w:after="64" w:line="320" w:lineRule="atLeast"/>
      <w:ind w:firstLineChars="0"/>
      <w:outlineLvl w:val="8"/>
    </w:pPr>
    <w:rPr>
      <w:rFonts w:ascii="Cambria" w:hAnsi="Cambria"/>
      <w:sz w:val="21"/>
      <w:szCs w:val="21"/>
    </w:rPr>
  </w:style>
  <w:style w:type="character" w:default="1" w:styleId="132">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310"/>
    <w:unhideWhenUsed/>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480" w:firstLineChars="200"/>
    </w:pPr>
    <w:rPr>
      <w:rFonts w:ascii="Courier New" w:hAnsi="Courier New" w:eastAsia="宋体" w:cs="Courier New"/>
      <w:kern w:val="2"/>
      <w:sz w:val="24"/>
      <w:szCs w:val="24"/>
      <w:lang w:val="en-US" w:eastAsia="zh-CN" w:bidi="ar-SA"/>
    </w:rPr>
  </w:style>
  <w:style w:type="paragraph" w:styleId="12">
    <w:name w:val="List 3"/>
    <w:basedOn w:val="1"/>
    <w:link w:val="2434"/>
    <w:qFormat/>
    <w:uiPriority w:val="0"/>
    <w:pPr>
      <w:adjustRightInd/>
      <w:snapToGrid/>
      <w:spacing w:line="240" w:lineRule="auto"/>
      <w:ind w:left="100" w:leftChars="400" w:hanging="200" w:hangingChars="200"/>
      <w:jc w:val="both"/>
    </w:pPr>
    <w:rPr>
      <w:sz w:val="21"/>
      <w:szCs w:val="24"/>
    </w:rPr>
  </w:style>
  <w:style w:type="paragraph" w:styleId="13">
    <w:name w:val="toc 7"/>
    <w:basedOn w:val="1"/>
    <w:next w:val="1"/>
    <w:unhideWhenUsed/>
    <w:qFormat/>
    <w:uiPriority w:val="39"/>
    <w:pPr>
      <w:ind w:left="1560"/>
    </w:pPr>
    <w:rPr>
      <w:rFonts w:asciiTheme="minorHAnsi" w:hAnsiTheme="minorHAnsi" w:cstheme="minorHAnsi"/>
      <w:sz w:val="18"/>
      <w:szCs w:val="18"/>
    </w:rPr>
  </w:style>
  <w:style w:type="paragraph" w:styleId="14">
    <w:name w:val="List Number 2"/>
    <w:basedOn w:val="15"/>
    <w:unhideWhenUsed/>
    <w:qFormat/>
    <w:uiPriority w:val="0"/>
    <w:pPr>
      <w:numPr>
        <w:ilvl w:val="0"/>
        <w:numId w:val="3"/>
      </w:numPr>
      <w:tabs>
        <w:tab w:val="left" w:pos="360"/>
        <w:tab w:val="left" w:pos="425"/>
      </w:tabs>
      <w:adjustRightInd/>
      <w:snapToGrid/>
      <w:spacing w:beforeLines="0" w:line="320" w:lineRule="exact"/>
      <w:ind w:firstLine="0" w:firstLineChars="0"/>
      <w:contextualSpacing/>
      <w:jc w:val="left"/>
    </w:pPr>
    <w:rPr>
      <w:rFonts w:ascii="Calibri" w:hAnsi="Calibri" w:eastAsia="Times New Roman"/>
      <w:snapToGrid/>
      <w:color w:val="000000"/>
      <w:kern w:val="2"/>
      <w:sz w:val="22"/>
    </w:rPr>
  </w:style>
  <w:style w:type="paragraph" w:styleId="15">
    <w:name w:val="List Number"/>
    <w:basedOn w:val="1"/>
    <w:qFormat/>
    <w:uiPriority w:val="0"/>
    <w:pPr>
      <w:numPr>
        <w:ilvl w:val="0"/>
        <w:numId w:val="4"/>
      </w:numPr>
      <w:spacing w:beforeLines="10" w:line="460" w:lineRule="exact"/>
      <w:jc w:val="both"/>
    </w:pPr>
    <w:rPr>
      <w:snapToGrid w:val="0"/>
      <w:kern w:val="0"/>
      <w:sz w:val="24"/>
      <w:szCs w:val="24"/>
    </w:rPr>
  </w:style>
  <w:style w:type="paragraph" w:styleId="16">
    <w:name w:val="table of authorities"/>
    <w:basedOn w:val="1"/>
    <w:next w:val="1"/>
    <w:qFormat/>
    <w:uiPriority w:val="0"/>
    <w:pPr>
      <w:adjustRightInd/>
      <w:snapToGrid/>
      <w:spacing w:line="240" w:lineRule="auto"/>
      <w:ind w:left="420" w:firstLine="0" w:firstLineChars="0"/>
      <w:jc w:val="both"/>
    </w:pPr>
    <w:rPr>
      <w:rFonts w:ascii="宋体" w:hAnsi="宋体"/>
      <w:color w:val="000000"/>
      <w:kern w:val="0"/>
      <w:sz w:val="21"/>
      <w:szCs w:val="20"/>
    </w:rPr>
  </w:style>
  <w:style w:type="paragraph" w:styleId="17">
    <w:name w:val="Note Heading"/>
    <w:basedOn w:val="1"/>
    <w:next w:val="1"/>
    <w:link w:val="311"/>
    <w:qFormat/>
    <w:uiPriority w:val="0"/>
    <w:pPr>
      <w:adjustRightInd/>
      <w:snapToGrid/>
      <w:spacing w:line="240" w:lineRule="auto"/>
      <w:ind w:firstLine="0" w:firstLineChars="0"/>
      <w:jc w:val="center"/>
    </w:pPr>
    <w:rPr>
      <w:rFonts w:ascii="Arial Narrow" w:hAnsi="Arial Narrow" w:eastAsia="仿宋_GB2312"/>
      <w:sz w:val="24"/>
      <w:szCs w:val="24"/>
    </w:rPr>
  </w:style>
  <w:style w:type="paragraph" w:styleId="18">
    <w:name w:val="List Bullet 4"/>
    <w:basedOn w:val="1"/>
    <w:qFormat/>
    <w:uiPriority w:val="0"/>
    <w:pPr>
      <w:tabs>
        <w:tab w:val="left" w:pos="432"/>
      </w:tabs>
      <w:adjustRightInd/>
      <w:snapToGrid/>
      <w:spacing w:line="240" w:lineRule="auto"/>
      <w:ind w:left="432" w:hanging="432" w:firstLineChars="0"/>
      <w:jc w:val="both"/>
    </w:pPr>
    <w:rPr>
      <w:rFonts w:ascii="Arial Narrow" w:hAnsi="Arial Narrow" w:eastAsia="仿宋_GB2312"/>
      <w:sz w:val="24"/>
      <w:szCs w:val="24"/>
    </w:rPr>
  </w:style>
  <w:style w:type="paragraph" w:styleId="19">
    <w:name w:val="index 8"/>
    <w:basedOn w:val="1"/>
    <w:next w:val="1"/>
    <w:semiHidden/>
    <w:qFormat/>
    <w:uiPriority w:val="0"/>
    <w:pPr>
      <w:adjustRightInd/>
      <w:snapToGrid/>
      <w:spacing w:line="300" w:lineRule="auto"/>
      <w:ind w:left="1400" w:leftChars="1400" w:firstLine="0" w:firstLineChars="0"/>
      <w:jc w:val="both"/>
    </w:pPr>
    <w:rPr>
      <w:rFonts w:ascii="Arial Narrow" w:hAnsi="Arial Narrow" w:eastAsia="仿宋_GB2312"/>
      <w:sz w:val="24"/>
      <w:szCs w:val="24"/>
    </w:rPr>
  </w:style>
  <w:style w:type="paragraph" w:styleId="20">
    <w:name w:val="E-mail Signature"/>
    <w:basedOn w:val="1"/>
    <w:link w:val="312"/>
    <w:qFormat/>
    <w:uiPriority w:val="0"/>
    <w:pPr>
      <w:adjustRightInd/>
      <w:snapToGrid/>
      <w:spacing w:line="240" w:lineRule="auto"/>
      <w:ind w:firstLine="0" w:firstLineChars="0"/>
      <w:jc w:val="both"/>
    </w:pPr>
    <w:rPr>
      <w:sz w:val="21"/>
      <w:szCs w:val="24"/>
    </w:rPr>
  </w:style>
  <w:style w:type="paragraph" w:styleId="21">
    <w:name w:val="Normal Indent"/>
    <w:basedOn w:val="1"/>
    <w:link w:val="242"/>
    <w:qFormat/>
    <w:uiPriority w:val="0"/>
    <w:pPr>
      <w:adjustRightInd/>
      <w:snapToGrid/>
      <w:ind w:firstLine="0" w:firstLineChars="0"/>
      <w:jc w:val="center"/>
    </w:pPr>
    <w:rPr>
      <w:b/>
      <w:color w:val="000000"/>
      <w:kern w:val="0"/>
      <w:sz w:val="24"/>
      <w:szCs w:val="24"/>
    </w:rPr>
  </w:style>
  <w:style w:type="paragraph" w:styleId="22">
    <w:name w:val="caption"/>
    <w:basedOn w:val="1"/>
    <w:next w:val="1"/>
    <w:link w:val="200"/>
    <w:unhideWhenUsed/>
    <w:qFormat/>
    <w:uiPriority w:val="0"/>
    <w:pPr>
      <w:spacing w:line="240" w:lineRule="auto"/>
      <w:ind w:firstLine="0" w:firstLineChars="0"/>
      <w:jc w:val="center"/>
    </w:pPr>
    <w:rPr>
      <w:rFonts w:ascii="Cambria" w:hAnsi="Cambria" w:eastAsia="黑体"/>
      <w:sz w:val="24"/>
      <w:szCs w:val="20"/>
    </w:rPr>
  </w:style>
  <w:style w:type="paragraph" w:styleId="23">
    <w:name w:val="index 5"/>
    <w:basedOn w:val="1"/>
    <w:next w:val="1"/>
    <w:semiHidden/>
    <w:qFormat/>
    <w:uiPriority w:val="0"/>
    <w:pPr>
      <w:adjustRightInd/>
      <w:snapToGrid/>
      <w:spacing w:line="300" w:lineRule="auto"/>
      <w:ind w:left="800" w:leftChars="800" w:firstLine="0" w:firstLineChars="0"/>
      <w:jc w:val="both"/>
    </w:pPr>
    <w:rPr>
      <w:rFonts w:ascii="Arial Narrow" w:hAnsi="Arial Narrow" w:eastAsia="仿宋_GB2312"/>
      <w:sz w:val="24"/>
      <w:szCs w:val="24"/>
    </w:rPr>
  </w:style>
  <w:style w:type="paragraph" w:styleId="24">
    <w:name w:val="List Bullet"/>
    <w:basedOn w:val="1"/>
    <w:qFormat/>
    <w:uiPriority w:val="0"/>
    <w:pPr>
      <w:tabs>
        <w:tab w:val="left" w:pos="1416"/>
      </w:tabs>
      <w:adjustRightInd/>
      <w:snapToGrid/>
      <w:spacing w:line="240" w:lineRule="auto"/>
      <w:ind w:left="1416" w:hanging="720" w:firstLineChars="0"/>
      <w:jc w:val="both"/>
    </w:pPr>
    <w:rPr>
      <w:rFonts w:ascii="Arial Narrow" w:hAnsi="Arial Narrow" w:eastAsia="仿宋_GB2312"/>
      <w:sz w:val="24"/>
      <w:szCs w:val="24"/>
    </w:rPr>
  </w:style>
  <w:style w:type="paragraph" w:styleId="25">
    <w:name w:val="envelope address"/>
    <w:basedOn w:val="1"/>
    <w:qFormat/>
    <w:uiPriority w:val="0"/>
    <w:pPr>
      <w:framePr w:w="7920" w:h="1980" w:hRule="exact" w:hSpace="180" w:wrap="around" w:vAnchor="margin" w:hAnchor="page" w:xAlign="center" w:yAlign="bottom"/>
      <w:adjustRightInd/>
      <w:spacing w:line="240" w:lineRule="auto"/>
      <w:ind w:left="100" w:leftChars="1400" w:firstLine="0" w:firstLineChars="0"/>
      <w:jc w:val="both"/>
    </w:pPr>
    <w:rPr>
      <w:rFonts w:ascii="Arial" w:hAnsi="Arial" w:cs="Arial"/>
      <w:sz w:val="24"/>
      <w:szCs w:val="24"/>
    </w:rPr>
  </w:style>
  <w:style w:type="paragraph" w:styleId="26">
    <w:name w:val="Document Map"/>
    <w:basedOn w:val="1"/>
    <w:link w:val="182"/>
    <w:unhideWhenUsed/>
    <w:qFormat/>
    <w:uiPriority w:val="0"/>
    <w:rPr>
      <w:rFonts w:ascii="宋体"/>
      <w:sz w:val="18"/>
      <w:szCs w:val="18"/>
    </w:rPr>
  </w:style>
  <w:style w:type="paragraph" w:styleId="27">
    <w:name w:val="toa heading"/>
    <w:basedOn w:val="1"/>
    <w:next w:val="1"/>
    <w:qFormat/>
    <w:uiPriority w:val="0"/>
    <w:pPr>
      <w:adjustRightInd/>
      <w:snapToGrid/>
      <w:spacing w:before="120" w:line="240" w:lineRule="auto"/>
      <w:ind w:firstLine="0" w:firstLineChars="0"/>
      <w:jc w:val="both"/>
    </w:pPr>
    <w:rPr>
      <w:rFonts w:ascii="Arial" w:hAnsi="Arial" w:cs="Arial"/>
      <w:sz w:val="24"/>
      <w:szCs w:val="24"/>
    </w:rPr>
  </w:style>
  <w:style w:type="paragraph" w:styleId="28">
    <w:name w:val="annotation text"/>
    <w:basedOn w:val="1"/>
    <w:link w:val="190"/>
    <w:unhideWhenUsed/>
    <w:qFormat/>
    <w:uiPriority w:val="0"/>
    <w:pPr>
      <w:spacing w:line="240" w:lineRule="auto"/>
      <w:ind w:left="179" w:leftChars="69" w:firstLine="0" w:firstLineChars="0"/>
    </w:pPr>
    <w:rPr>
      <w:b/>
      <w:sz w:val="21"/>
    </w:rPr>
  </w:style>
  <w:style w:type="paragraph" w:styleId="29">
    <w:name w:val="index 6"/>
    <w:basedOn w:val="1"/>
    <w:next w:val="1"/>
    <w:semiHidden/>
    <w:qFormat/>
    <w:uiPriority w:val="0"/>
    <w:pPr>
      <w:adjustRightInd/>
      <w:snapToGrid/>
      <w:spacing w:line="300" w:lineRule="auto"/>
      <w:ind w:left="1000" w:leftChars="1000" w:firstLine="0" w:firstLineChars="0"/>
      <w:jc w:val="both"/>
    </w:pPr>
    <w:rPr>
      <w:rFonts w:ascii="Arial Narrow" w:hAnsi="Arial Narrow" w:eastAsia="仿宋_GB2312"/>
      <w:sz w:val="24"/>
      <w:szCs w:val="24"/>
    </w:rPr>
  </w:style>
  <w:style w:type="paragraph" w:styleId="30">
    <w:name w:val="Salutation"/>
    <w:basedOn w:val="1"/>
    <w:next w:val="1"/>
    <w:link w:val="313"/>
    <w:qFormat/>
    <w:uiPriority w:val="0"/>
    <w:pPr>
      <w:autoSpaceDE w:val="0"/>
      <w:autoSpaceDN w:val="0"/>
      <w:spacing w:line="300" w:lineRule="auto"/>
      <w:ind w:firstLine="480"/>
      <w:jc w:val="both"/>
    </w:pPr>
    <w:rPr>
      <w:rFonts w:ascii="仿宋_GB2312" w:hAnsi="宋体" w:eastAsia="仿宋_GB2312" w:cs="宋体"/>
      <w:sz w:val="21"/>
      <w:szCs w:val="24"/>
    </w:rPr>
  </w:style>
  <w:style w:type="paragraph" w:styleId="31">
    <w:name w:val="Body Text 3"/>
    <w:basedOn w:val="1"/>
    <w:link w:val="314"/>
    <w:qFormat/>
    <w:uiPriority w:val="0"/>
    <w:pPr>
      <w:adjustRightInd/>
      <w:snapToGrid/>
      <w:spacing w:beforeLines="50" w:afterLines="50" w:line="360" w:lineRule="auto"/>
      <w:jc w:val="both"/>
    </w:pPr>
    <w:rPr>
      <w:sz w:val="16"/>
      <w:szCs w:val="16"/>
    </w:rPr>
  </w:style>
  <w:style w:type="paragraph" w:styleId="32">
    <w:name w:val="Closing"/>
    <w:basedOn w:val="1"/>
    <w:link w:val="315"/>
    <w:qFormat/>
    <w:uiPriority w:val="0"/>
    <w:pPr>
      <w:adjustRightInd/>
      <w:snapToGrid/>
      <w:spacing w:line="240" w:lineRule="auto"/>
      <w:ind w:left="100" w:leftChars="2100" w:firstLine="0" w:firstLineChars="0"/>
      <w:jc w:val="both"/>
    </w:pPr>
    <w:rPr>
      <w:sz w:val="21"/>
      <w:szCs w:val="24"/>
    </w:rPr>
  </w:style>
  <w:style w:type="paragraph" w:styleId="33">
    <w:name w:val="List Bullet 3"/>
    <w:basedOn w:val="1"/>
    <w:qFormat/>
    <w:uiPriority w:val="0"/>
    <w:pPr>
      <w:tabs>
        <w:tab w:val="left" w:pos="1416"/>
      </w:tabs>
      <w:autoSpaceDE w:val="0"/>
      <w:autoSpaceDN w:val="0"/>
      <w:snapToGrid/>
      <w:spacing w:line="240" w:lineRule="auto"/>
      <w:ind w:left="1416" w:hanging="720" w:firstLineChars="0"/>
      <w:textAlignment w:val="baseline"/>
    </w:pPr>
    <w:rPr>
      <w:kern w:val="0"/>
      <w:sz w:val="20"/>
      <w:szCs w:val="20"/>
    </w:rPr>
  </w:style>
  <w:style w:type="paragraph" w:styleId="34">
    <w:name w:val="Body Text"/>
    <w:basedOn w:val="1"/>
    <w:link w:val="183"/>
    <w:qFormat/>
    <w:uiPriority w:val="0"/>
    <w:pPr>
      <w:spacing w:before="24" w:beforeLines="10" w:line="360" w:lineRule="auto"/>
      <w:ind w:firstLine="480"/>
      <w:jc w:val="both"/>
    </w:pPr>
    <w:rPr>
      <w:snapToGrid w:val="0"/>
      <w:kern w:val="0"/>
      <w:sz w:val="24"/>
      <w:szCs w:val="24"/>
    </w:rPr>
  </w:style>
  <w:style w:type="paragraph" w:styleId="35">
    <w:name w:val="Body Text Indent"/>
    <w:basedOn w:val="1"/>
    <w:link w:val="212"/>
    <w:unhideWhenUsed/>
    <w:qFormat/>
    <w:uiPriority w:val="0"/>
    <w:pPr>
      <w:spacing w:line="240" w:lineRule="auto"/>
      <w:ind w:firstLine="0" w:firstLineChars="0"/>
      <w:jc w:val="center"/>
    </w:pPr>
  </w:style>
  <w:style w:type="paragraph" w:styleId="36">
    <w:name w:val="List Number 3"/>
    <w:basedOn w:val="1"/>
    <w:qFormat/>
    <w:uiPriority w:val="0"/>
    <w:pPr>
      <w:tabs>
        <w:tab w:val="left" w:pos="720"/>
      </w:tabs>
      <w:adjustRightInd/>
      <w:snapToGrid/>
      <w:spacing w:line="240" w:lineRule="auto"/>
      <w:ind w:left="720" w:hanging="720" w:firstLineChars="0"/>
      <w:jc w:val="both"/>
    </w:pPr>
    <w:rPr>
      <w:rFonts w:ascii="Arial Narrow" w:hAnsi="Arial Narrow" w:eastAsia="仿宋_GB2312"/>
      <w:sz w:val="24"/>
      <w:szCs w:val="24"/>
    </w:rPr>
  </w:style>
  <w:style w:type="paragraph" w:styleId="37">
    <w:name w:val="List 2"/>
    <w:basedOn w:val="1"/>
    <w:qFormat/>
    <w:uiPriority w:val="0"/>
    <w:pPr>
      <w:adjustRightInd/>
      <w:snapToGrid/>
      <w:spacing w:line="240" w:lineRule="auto"/>
      <w:ind w:left="100" w:leftChars="200" w:hanging="200" w:hangingChars="200"/>
      <w:jc w:val="both"/>
    </w:pPr>
    <w:rPr>
      <w:sz w:val="21"/>
      <w:szCs w:val="24"/>
    </w:rPr>
  </w:style>
  <w:style w:type="paragraph" w:styleId="38">
    <w:name w:val="List Continue"/>
    <w:basedOn w:val="1"/>
    <w:qFormat/>
    <w:uiPriority w:val="0"/>
    <w:pPr>
      <w:adjustRightInd/>
      <w:snapToGrid/>
      <w:spacing w:after="120" w:line="240" w:lineRule="auto"/>
      <w:ind w:left="420" w:leftChars="200" w:firstLine="0" w:firstLineChars="0"/>
      <w:jc w:val="both"/>
    </w:pPr>
    <w:rPr>
      <w:sz w:val="21"/>
      <w:szCs w:val="24"/>
    </w:rPr>
  </w:style>
  <w:style w:type="paragraph" w:styleId="39">
    <w:name w:val="Block Text"/>
    <w:basedOn w:val="1"/>
    <w:qFormat/>
    <w:uiPriority w:val="0"/>
    <w:pPr>
      <w:adjustRightInd/>
      <w:snapToGrid/>
      <w:spacing w:line="336" w:lineRule="auto"/>
      <w:ind w:left="103" w:leftChars="43" w:right="480" w:rightChars="200" w:firstLine="317" w:firstLineChars="0"/>
      <w:jc w:val="both"/>
    </w:pPr>
    <w:rPr>
      <w:rFonts w:ascii="宋体"/>
      <w:sz w:val="24"/>
      <w:szCs w:val="20"/>
    </w:rPr>
  </w:style>
  <w:style w:type="paragraph" w:styleId="40">
    <w:name w:val="List Bullet 2"/>
    <w:basedOn w:val="1"/>
    <w:qFormat/>
    <w:uiPriority w:val="0"/>
    <w:pPr>
      <w:tabs>
        <w:tab w:val="left" w:pos="720"/>
      </w:tabs>
      <w:adjustRightInd/>
      <w:snapToGrid/>
      <w:spacing w:line="240" w:lineRule="auto"/>
      <w:ind w:left="720" w:hanging="720" w:firstLineChars="0"/>
      <w:jc w:val="both"/>
    </w:pPr>
    <w:rPr>
      <w:rFonts w:ascii="Arial Narrow" w:hAnsi="Arial Narrow" w:eastAsia="仿宋_GB2312"/>
      <w:sz w:val="24"/>
      <w:szCs w:val="24"/>
    </w:rPr>
  </w:style>
  <w:style w:type="paragraph" w:styleId="41">
    <w:name w:val="HTML Address"/>
    <w:basedOn w:val="1"/>
    <w:link w:val="316"/>
    <w:qFormat/>
    <w:uiPriority w:val="0"/>
    <w:pPr>
      <w:adjustRightInd/>
      <w:snapToGrid/>
      <w:spacing w:line="240" w:lineRule="auto"/>
      <w:ind w:firstLine="0" w:firstLineChars="0"/>
      <w:jc w:val="both"/>
    </w:pPr>
    <w:rPr>
      <w:i/>
      <w:iCs/>
      <w:sz w:val="21"/>
      <w:szCs w:val="24"/>
    </w:rPr>
  </w:style>
  <w:style w:type="paragraph" w:styleId="42">
    <w:name w:val="index 4"/>
    <w:basedOn w:val="1"/>
    <w:next w:val="1"/>
    <w:semiHidden/>
    <w:qFormat/>
    <w:uiPriority w:val="0"/>
    <w:pPr>
      <w:adjustRightInd/>
      <w:snapToGrid/>
      <w:spacing w:line="300" w:lineRule="auto"/>
      <w:ind w:left="600" w:leftChars="600" w:firstLine="0" w:firstLineChars="0"/>
      <w:jc w:val="both"/>
    </w:pPr>
    <w:rPr>
      <w:rFonts w:ascii="Arial Narrow" w:hAnsi="Arial Narrow" w:eastAsia="仿宋_GB2312"/>
      <w:sz w:val="24"/>
      <w:szCs w:val="24"/>
    </w:rPr>
  </w:style>
  <w:style w:type="paragraph" w:styleId="43">
    <w:name w:val="toc 5"/>
    <w:basedOn w:val="1"/>
    <w:next w:val="1"/>
    <w:unhideWhenUsed/>
    <w:qFormat/>
    <w:uiPriority w:val="39"/>
    <w:pPr>
      <w:ind w:left="1040"/>
    </w:pPr>
    <w:rPr>
      <w:rFonts w:asciiTheme="minorHAnsi" w:hAnsiTheme="minorHAnsi" w:cstheme="minorHAnsi"/>
      <w:sz w:val="18"/>
      <w:szCs w:val="18"/>
    </w:rPr>
  </w:style>
  <w:style w:type="paragraph" w:styleId="44">
    <w:name w:val="toc 3"/>
    <w:basedOn w:val="1"/>
    <w:next w:val="1"/>
    <w:unhideWhenUsed/>
    <w:qFormat/>
    <w:uiPriority w:val="39"/>
    <w:pPr>
      <w:ind w:left="520"/>
    </w:pPr>
    <w:rPr>
      <w:rFonts w:asciiTheme="minorHAnsi" w:hAnsiTheme="minorHAnsi" w:cstheme="minorHAnsi"/>
      <w:i/>
      <w:iCs/>
      <w:sz w:val="20"/>
      <w:szCs w:val="20"/>
    </w:rPr>
  </w:style>
  <w:style w:type="paragraph" w:styleId="45">
    <w:name w:val="Plain Text"/>
    <w:basedOn w:val="1"/>
    <w:link w:val="194"/>
    <w:qFormat/>
    <w:uiPriority w:val="0"/>
    <w:pPr>
      <w:spacing w:line="240" w:lineRule="auto"/>
      <w:ind w:firstLine="0" w:firstLineChars="0"/>
      <w:jc w:val="center"/>
    </w:pPr>
    <w:rPr>
      <w:rFonts w:ascii="宋体" w:hAnsi="Courier New"/>
      <w:sz w:val="21"/>
      <w:szCs w:val="21"/>
    </w:rPr>
  </w:style>
  <w:style w:type="paragraph" w:styleId="46">
    <w:name w:val="List Bullet 5"/>
    <w:basedOn w:val="1"/>
    <w:qFormat/>
    <w:uiPriority w:val="0"/>
    <w:pPr>
      <w:tabs>
        <w:tab w:val="left" w:pos="0"/>
      </w:tabs>
      <w:adjustRightInd/>
      <w:snapToGrid/>
      <w:spacing w:line="240" w:lineRule="auto"/>
      <w:ind w:left="425" w:hanging="425" w:firstLineChars="0"/>
      <w:jc w:val="both"/>
    </w:pPr>
    <w:rPr>
      <w:rFonts w:ascii="Arial Narrow" w:hAnsi="Arial Narrow" w:eastAsia="仿宋_GB2312"/>
      <w:sz w:val="24"/>
      <w:szCs w:val="24"/>
    </w:rPr>
  </w:style>
  <w:style w:type="paragraph" w:styleId="47">
    <w:name w:val="List Number 4"/>
    <w:basedOn w:val="1"/>
    <w:qFormat/>
    <w:uiPriority w:val="0"/>
    <w:pPr>
      <w:tabs>
        <w:tab w:val="left" w:pos="1416"/>
      </w:tabs>
      <w:adjustRightInd/>
      <w:snapToGrid/>
      <w:spacing w:line="240" w:lineRule="auto"/>
      <w:ind w:left="1416" w:hanging="720" w:firstLineChars="0"/>
      <w:jc w:val="both"/>
    </w:pPr>
    <w:rPr>
      <w:rFonts w:ascii="Arial Narrow" w:hAnsi="Arial Narrow" w:eastAsia="仿宋_GB2312"/>
      <w:sz w:val="24"/>
      <w:szCs w:val="24"/>
    </w:rPr>
  </w:style>
  <w:style w:type="paragraph" w:styleId="48">
    <w:name w:val="toc 8"/>
    <w:basedOn w:val="1"/>
    <w:next w:val="1"/>
    <w:unhideWhenUsed/>
    <w:qFormat/>
    <w:uiPriority w:val="39"/>
    <w:pPr>
      <w:ind w:left="1820"/>
    </w:pPr>
    <w:rPr>
      <w:rFonts w:asciiTheme="minorHAnsi" w:hAnsiTheme="minorHAnsi" w:cstheme="minorHAnsi"/>
      <w:sz w:val="18"/>
      <w:szCs w:val="18"/>
    </w:rPr>
  </w:style>
  <w:style w:type="paragraph" w:styleId="49">
    <w:name w:val="index 3"/>
    <w:basedOn w:val="1"/>
    <w:next w:val="1"/>
    <w:semiHidden/>
    <w:qFormat/>
    <w:uiPriority w:val="0"/>
    <w:pPr>
      <w:adjustRightInd/>
      <w:snapToGrid/>
      <w:spacing w:line="300" w:lineRule="auto"/>
      <w:ind w:left="400" w:leftChars="400" w:firstLine="0" w:firstLineChars="0"/>
      <w:jc w:val="both"/>
    </w:pPr>
    <w:rPr>
      <w:rFonts w:ascii="Arial Narrow" w:hAnsi="Arial Narrow" w:eastAsia="仿宋_GB2312"/>
      <w:sz w:val="24"/>
      <w:szCs w:val="24"/>
    </w:rPr>
  </w:style>
  <w:style w:type="paragraph" w:styleId="50">
    <w:name w:val="Date"/>
    <w:basedOn w:val="1"/>
    <w:next w:val="1"/>
    <w:link w:val="317"/>
    <w:qFormat/>
    <w:uiPriority w:val="0"/>
    <w:pPr>
      <w:adjustRightInd/>
      <w:snapToGrid/>
      <w:spacing w:line="300" w:lineRule="auto"/>
      <w:ind w:left="100" w:leftChars="2500" w:firstLine="0" w:firstLineChars="0"/>
      <w:jc w:val="both"/>
    </w:pPr>
    <w:rPr>
      <w:rFonts w:ascii="Arial Narrow" w:hAnsi="Arial Narrow" w:eastAsia="仿宋_GB2312"/>
      <w:color w:val="000000"/>
      <w:kern w:val="0"/>
      <w:sz w:val="24"/>
      <w:szCs w:val="24"/>
      <w:lang w:val="zh-CN"/>
    </w:rPr>
  </w:style>
  <w:style w:type="paragraph" w:styleId="51">
    <w:name w:val="Body Text Indent 2"/>
    <w:basedOn w:val="1"/>
    <w:link w:val="273"/>
    <w:qFormat/>
    <w:uiPriority w:val="0"/>
    <w:pPr>
      <w:adjustRightInd/>
      <w:snapToGrid/>
      <w:spacing w:beforeLines="10" w:afterLines="10" w:line="480" w:lineRule="auto"/>
      <w:ind w:left="420" w:leftChars="200"/>
      <w:jc w:val="both"/>
    </w:pPr>
    <w:rPr>
      <w:sz w:val="24"/>
      <w:szCs w:val="24"/>
    </w:rPr>
  </w:style>
  <w:style w:type="paragraph" w:styleId="52">
    <w:name w:val="endnote text"/>
    <w:basedOn w:val="1"/>
    <w:link w:val="248"/>
    <w:unhideWhenUsed/>
    <w:qFormat/>
    <w:uiPriority w:val="0"/>
    <w:pPr>
      <w:spacing w:line="240" w:lineRule="auto"/>
      <w:ind w:firstLine="0" w:firstLineChars="0"/>
      <w:jc w:val="center"/>
    </w:pPr>
    <w:rPr>
      <w:color w:val="FF0000"/>
      <w:sz w:val="21"/>
      <w:szCs w:val="21"/>
    </w:rPr>
  </w:style>
  <w:style w:type="paragraph" w:styleId="53">
    <w:name w:val="List Continue 5"/>
    <w:basedOn w:val="1"/>
    <w:qFormat/>
    <w:uiPriority w:val="0"/>
    <w:pPr>
      <w:adjustRightInd/>
      <w:snapToGrid/>
      <w:spacing w:after="120" w:line="240" w:lineRule="auto"/>
      <w:ind w:left="2100" w:leftChars="1000" w:firstLine="0" w:firstLineChars="0"/>
      <w:jc w:val="both"/>
    </w:pPr>
    <w:rPr>
      <w:sz w:val="21"/>
      <w:szCs w:val="24"/>
    </w:rPr>
  </w:style>
  <w:style w:type="paragraph" w:styleId="54">
    <w:name w:val="Balloon Text"/>
    <w:basedOn w:val="1"/>
    <w:link w:val="192"/>
    <w:unhideWhenUsed/>
    <w:qFormat/>
    <w:uiPriority w:val="0"/>
    <w:pPr>
      <w:spacing w:line="240" w:lineRule="auto"/>
    </w:pPr>
    <w:rPr>
      <w:sz w:val="18"/>
      <w:szCs w:val="18"/>
    </w:rPr>
  </w:style>
  <w:style w:type="paragraph" w:styleId="55">
    <w:name w:val="footer"/>
    <w:basedOn w:val="1"/>
    <w:link w:val="151"/>
    <w:unhideWhenUsed/>
    <w:qFormat/>
    <w:uiPriority w:val="99"/>
    <w:pPr>
      <w:pBdr>
        <w:top w:val="single" w:color="auto" w:sz="4" w:space="1"/>
      </w:pBdr>
      <w:tabs>
        <w:tab w:val="center" w:pos="4153"/>
        <w:tab w:val="right" w:pos="8306"/>
      </w:tabs>
      <w:spacing w:line="240" w:lineRule="auto"/>
      <w:ind w:firstLine="520" w:firstLineChars="0"/>
      <w:jc w:val="right"/>
    </w:pPr>
    <w:rPr>
      <w:sz w:val="21"/>
      <w:szCs w:val="18"/>
    </w:rPr>
  </w:style>
  <w:style w:type="paragraph" w:styleId="56">
    <w:name w:val="envelope return"/>
    <w:basedOn w:val="1"/>
    <w:qFormat/>
    <w:uiPriority w:val="0"/>
    <w:pPr>
      <w:adjustRightInd/>
      <w:spacing w:line="240" w:lineRule="auto"/>
      <w:ind w:firstLine="0" w:firstLineChars="0"/>
      <w:jc w:val="both"/>
    </w:pPr>
    <w:rPr>
      <w:rFonts w:ascii="Arial" w:hAnsi="Arial" w:cs="Arial"/>
      <w:sz w:val="21"/>
      <w:szCs w:val="24"/>
    </w:rPr>
  </w:style>
  <w:style w:type="paragraph" w:styleId="57">
    <w:name w:val="header"/>
    <w:basedOn w:val="1"/>
    <w:link w:val="150"/>
    <w:unhideWhenUsed/>
    <w:qFormat/>
    <w:uiPriority w:val="0"/>
    <w:pPr>
      <w:pBdr>
        <w:bottom w:val="single" w:color="auto" w:sz="6" w:space="1"/>
      </w:pBdr>
      <w:tabs>
        <w:tab w:val="center" w:pos="4153"/>
        <w:tab w:val="right" w:pos="8306"/>
      </w:tabs>
      <w:spacing w:line="240" w:lineRule="auto"/>
      <w:ind w:firstLine="0" w:firstLineChars="0"/>
      <w:jc w:val="center"/>
    </w:pPr>
    <w:rPr>
      <w:bCs/>
      <w:sz w:val="21"/>
      <w:szCs w:val="18"/>
    </w:rPr>
  </w:style>
  <w:style w:type="paragraph" w:styleId="58">
    <w:name w:val="Signature"/>
    <w:basedOn w:val="1"/>
    <w:link w:val="319"/>
    <w:qFormat/>
    <w:uiPriority w:val="0"/>
    <w:pPr>
      <w:adjustRightInd/>
      <w:snapToGrid/>
      <w:spacing w:line="240" w:lineRule="auto"/>
      <w:ind w:left="100" w:leftChars="2100" w:firstLine="0" w:firstLineChars="0"/>
      <w:jc w:val="both"/>
    </w:pPr>
    <w:rPr>
      <w:sz w:val="21"/>
      <w:szCs w:val="24"/>
    </w:rPr>
  </w:style>
  <w:style w:type="paragraph" w:styleId="59">
    <w:name w:val="toc 1"/>
    <w:basedOn w:val="1"/>
    <w:next w:val="1"/>
    <w:unhideWhenUsed/>
    <w:qFormat/>
    <w:uiPriority w:val="39"/>
    <w:pPr>
      <w:spacing w:before="120" w:after="120"/>
    </w:pPr>
    <w:rPr>
      <w:rFonts w:asciiTheme="minorHAnsi" w:hAnsiTheme="minorHAnsi" w:cstheme="minorHAnsi"/>
      <w:b/>
      <w:bCs/>
      <w:caps/>
      <w:sz w:val="20"/>
      <w:szCs w:val="20"/>
    </w:rPr>
  </w:style>
  <w:style w:type="paragraph" w:styleId="60">
    <w:name w:val="List Continue 4"/>
    <w:basedOn w:val="1"/>
    <w:qFormat/>
    <w:uiPriority w:val="0"/>
    <w:pPr>
      <w:adjustRightInd/>
      <w:snapToGrid/>
      <w:spacing w:after="120" w:line="240" w:lineRule="auto"/>
      <w:ind w:left="1680" w:leftChars="800" w:firstLine="0" w:firstLineChars="0"/>
      <w:jc w:val="both"/>
    </w:pPr>
    <w:rPr>
      <w:sz w:val="21"/>
      <w:szCs w:val="24"/>
    </w:rPr>
  </w:style>
  <w:style w:type="paragraph" w:styleId="61">
    <w:name w:val="toc 4"/>
    <w:basedOn w:val="1"/>
    <w:next w:val="1"/>
    <w:unhideWhenUsed/>
    <w:qFormat/>
    <w:uiPriority w:val="39"/>
    <w:pPr>
      <w:ind w:left="780"/>
    </w:pPr>
    <w:rPr>
      <w:rFonts w:asciiTheme="minorHAnsi" w:hAnsiTheme="minorHAnsi" w:cstheme="minorHAnsi"/>
      <w:sz w:val="18"/>
      <w:szCs w:val="18"/>
    </w:rPr>
  </w:style>
  <w:style w:type="paragraph" w:styleId="62">
    <w:name w:val="index heading"/>
    <w:basedOn w:val="1"/>
    <w:next w:val="63"/>
    <w:semiHidden/>
    <w:qFormat/>
    <w:uiPriority w:val="0"/>
    <w:pPr>
      <w:adjustRightInd/>
      <w:snapToGrid/>
      <w:spacing w:line="300" w:lineRule="auto"/>
      <w:ind w:firstLine="0" w:firstLineChars="0"/>
      <w:jc w:val="both"/>
    </w:pPr>
    <w:rPr>
      <w:rFonts w:ascii="Arial Narrow" w:hAnsi="Arial Narrow" w:eastAsia="仿宋_GB2312"/>
      <w:sz w:val="24"/>
      <w:szCs w:val="24"/>
    </w:rPr>
  </w:style>
  <w:style w:type="paragraph" w:styleId="63">
    <w:name w:val="index 1"/>
    <w:basedOn w:val="1"/>
    <w:next w:val="1"/>
    <w:unhideWhenUsed/>
    <w:qFormat/>
    <w:uiPriority w:val="0"/>
    <w:pPr>
      <w:adjustRightInd/>
      <w:snapToGrid/>
      <w:spacing w:beforeLines="10" w:afterLines="10" w:line="360" w:lineRule="auto"/>
      <w:ind w:firstLine="0"/>
      <w:jc w:val="both"/>
    </w:pPr>
    <w:rPr>
      <w:rFonts w:eastAsiaTheme="minorEastAsia" w:cstheme="minorBidi"/>
      <w:sz w:val="24"/>
    </w:rPr>
  </w:style>
  <w:style w:type="paragraph" w:styleId="64">
    <w:name w:val="Subtitle"/>
    <w:basedOn w:val="1"/>
    <w:next w:val="1"/>
    <w:link w:val="162"/>
    <w:qFormat/>
    <w:uiPriority w:val="0"/>
    <w:pPr>
      <w:spacing w:before="240" w:after="60" w:line="312" w:lineRule="atLeast"/>
      <w:jc w:val="center"/>
      <w:outlineLvl w:val="1"/>
    </w:pPr>
    <w:rPr>
      <w:rFonts w:ascii="Cambria" w:hAnsi="Cambria"/>
      <w:b/>
      <w:bCs/>
      <w:kern w:val="28"/>
      <w:sz w:val="32"/>
      <w:szCs w:val="32"/>
    </w:rPr>
  </w:style>
  <w:style w:type="paragraph" w:styleId="65">
    <w:name w:val="List Number 5"/>
    <w:basedOn w:val="1"/>
    <w:qFormat/>
    <w:uiPriority w:val="0"/>
    <w:pPr>
      <w:tabs>
        <w:tab w:val="left" w:pos="1416"/>
      </w:tabs>
      <w:adjustRightInd/>
      <w:snapToGrid/>
      <w:spacing w:line="240" w:lineRule="auto"/>
      <w:ind w:left="1416" w:hanging="720" w:firstLineChars="0"/>
      <w:jc w:val="both"/>
    </w:pPr>
    <w:rPr>
      <w:rFonts w:ascii="Arial Narrow" w:hAnsi="Arial Narrow" w:eastAsia="仿宋_GB2312"/>
      <w:sz w:val="24"/>
      <w:szCs w:val="24"/>
    </w:rPr>
  </w:style>
  <w:style w:type="paragraph" w:styleId="66">
    <w:name w:val="List"/>
    <w:basedOn w:val="1"/>
    <w:link w:val="335"/>
    <w:qFormat/>
    <w:uiPriority w:val="0"/>
    <w:pPr>
      <w:adjustRightInd/>
      <w:snapToGrid/>
      <w:spacing w:line="240" w:lineRule="auto"/>
      <w:ind w:firstLine="0" w:firstLineChars="0"/>
      <w:jc w:val="center"/>
      <w:textAlignment w:val="baseline"/>
    </w:pPr>
    <w:rPr>
      <w:sz w:val="21"/>
      <w:szCs w:val="21"/>
    </w:rPr>
  </w:style>
  <w:style w:type="paragraph" w:styleId="67">
    <w:name w:val="footnote text"/>
    <w:basedOn w:val="1"/>
    <w:link w:val="320"/>
    <w:qFormat/>
    <w:uiPriority w:val="0"/>
    <w:pPr>
      <w:adjustRightInd/>
      <w:spacing w:line="300" w:lineRule="auto"/>
      <w:ind w:firstLine="0" w:firstLineChars="0"/>
    </w:pPr>
    <w:rPr>
      <w:rFonts w:ascii="Arial Narrow" w:hAnsi="Arial Narrow" w:eastAsia="仿宋_GB2312"/>
      <w:sz w:val="18"/>
      <w:szCs w:val="18"/>
    </w:rPr>
  </w:style>
  <w:style w:type="paragraph" w:styleId="68">
    <w:name w:val="toc 6"/>
    <w:basedOn w:val="1"/>
    <w:next w:val="1"/>
    <w:unhideWhenUsed/>
    <w:qFormat/>
    <w:uiPriority w:val="39"/>
    <w:pPr>
      <w:ind w:left="1300"/>
    </w:pPr>
    <w:rPr>
      <w:rFonts w:asciiTheme="minorHAnsi" w:hAnsiTheme="minorHAnsi" w:cstheme="minorHAnsi"/>
      <w:sz w:val="18"/>
      <w:szCs w:val="18"/>
    </w:rPr>
  </w:style>
  <w:style w:type="paragraph" w:styleId="69">
    <w:name w:val="List 5"/>
    <w:basedOn w:val="1"/>
    <w:qFormat/>
    <w:uiPriority w:val="0"/>
    <w:pPr>
      <w:adjustRightInd/>
      <w:snapToGrid/>
      <w:spacing w:line="240" w:lineRule="auto"/>
      <w:ind w:left="100" w:leftChars="800" w:hanging="200" w:hangingChars="200"/>
      <w:jc w:val="both"/>
    </w:pPr>
    <w:rPr>
      <w:sz w:val="21"/>
      <w:szCs w:val="24"/>
    </w:rPr>
  </w:style>
  <w:style w:type="paragraph" w:styleId="70">
    <w:name w:val="Body Text Indent 3"/>
    <w:basedOn w:val="1"/>
    <w:link w:val="295"/>
    <w:qFormat/>
    <w:uiPriority w:val="0"/>
    <w:pPr>
      <w:adjustRightInd/>
      <w:snapToGrid/>
      <w:spacing w:beforeLines="10" w:afterLines="10" w:line="360" w:lineRule="auto"/>
      <w:ind w:left="420" w:leftChars="200"/>
      <w:jc w:val="both"/>
    </w:pPr>
    <w:rPr>
      <w:sz w:val="16"/>
      <w:szCs w:val="16"/>
    </w:rPr>
  </w:style>
  <w:style w:type="paragraph" w:styleId="71">
    <w:name w:val="index 7"/>
    <w:basedOn w:val="1"/>
    <w:next w:val="1"/>
    <w:semiHidden/>
    <w:qFormat/>
    <w:uiPriority w:val="0"/>
    <w:pPr>
      <w:adjustRightInd/>
      <w:snapToGrid/>
      <w:spacing w:line="300" w:lineRule="auto"/>
      <w:ind w:left="1200" w:leftChars="1200" w:firstLine="0" w:firstLineChars="0"/>
      <w:jc w:val="both"/>
    </w:pPr>
    <w:rPr>
      <w:rFonts w:ascii="Arial Narrow" w:hAnsi="Arial Narrow" w:eastAsia="仿宋_GB2312"/>
      <w:sz w:val="24"/>
      <w:szCs w:val="24"/>
    </w:rPr>
  </w:style>
  <w:style w:type="paragraph" w:styleId="72">
    <w:name w:val="index 9"/>
    <w:basedOn w:val="1"/>
    <w:next w:val="1"/>
    <w:semiHidden/>
    <w:qFormat/>
    <w:uiPriority w:val="0"/>
    <w:pPr>
      <w:adjustRightInd/>
      <w:snapToGrid/>
      <w:spacing w:line="300" w:lineRule="auto"/>
      <w:ind w:left="1600" w:leftChars="1600" w:firstLine="0" w:firstLineChars="0"/>
      <w:jc w:val="both"/>
    </w:pPr>
    <w:rPr>
      <w:rFonts w:ascii="Arial Narrow" w:hAnsi="Arial Narrow" w:eastAsia="仿宋_GB2312"/>
      <w:sz w:val="24"/>
      <w:szCs w:val="24"/>
    </w:rPr>
  </w:style>
  <w:style w:type="paragraph" w:styleId="73">
    <w:name w:val="table of figures"/>
    <w:basedOn w:val="1"/>
    <w:next w:val="1"/>
    <w:semiHidden/>
    <w:qFormat/>
    <w:uiPriority w:val="0"/>
    <w:pPr>
      <w:adjustRightInd/>
      <w:snapToGrid/>
      <w:spacing w:line="240" w:lineRule="auto"/>
      <w:ind w:left="840" w:leftChars="200" w:hanging="420" w:hangingChars="200"/>
      <w:jc w:val="both"/>
    </w:pPr>
    <w:rPr>
      <w:sz w:val="21"/>
      <w:szCs w:val="20"/>
    </w:rPr>
  </w:style>
  <w:style w:type="paragraph" w:styleId="74">
    <w:name w:val="toc 2"/>
    <w:basedOn w:val="1"/>
    <w:next w:val="1"/>
    <w:unhideWhenUsed/>
    <w:qFormat/>
    <w:uiPriority w:val="39"/>
    <w:pPr>
      <w:ind w:left="260"/>
    </w:pPr>
    <w:rPr>
      <w:rFonts w:asciiTheme="minorHAnsi" w:hAnsiTheme="minorHAnsi" w:cstheme="minorHAnsi"/>
      <w:smallCaps/>
      <w:sz w:val="20"/>
      <w:szCs w:val="20"/>
    </w:rPr>
  </w:style>
  <w:style w:type="paragraph" w:styleId="75">
    <w:name w:val="toc 9"/>
    <w:basedOn w:val="1"/>
    <w:next w:val="1"/>
    <w:unhideWhenUsed/>
    <w:qFormat/>
    <w:uiPriority w:val="39"/>
    <w:pPr>
      <w:ind w:left="2080"/>
    </w:pPr>
    <w:rPr>
      <w:rFonts w:asciiTheme="minorHAnsi" w:hAnsiTheme="minorHAnsi" w:cstheme="minorHAnsi"/>
      <w:sz w:val="18"/>
      <w:szCs w:val="18"/>
    </w:rPr>
  </w:style>
  <w:style w:type="paragraph" w:styleId="76">
    <w:name w:val="Body Text 2"/>
    <w:basedOn w:val="1"/>
    <w:link w:val="279"/>
    <w:qFormat/>
    <w:uiPriority w:val="0"/>
    <w:pPr>
      <w:adjustRightInd/>
      <w:snapToGrid/>
      <w:spacing w:beforeLines="10" w:afterLines="10" w:line="480" w:lineRule="auto"/>
      <w:jc w:val="both"/>
    </w:pPr>
    <w:rPr>
      <w:sz w:val="24"/>
      <w:szCs w:val="24"/>
    </w:rPr>
  </w:style>
  <w:style w:type="paragraph" w:styleId="77">
    <w:name w:val="List 4"/>
    <w:basedOn w:val="1"/>
    <w:qFormat/>
    <w:uiPriority w:val="0"/>
    <w:pPr>
      <w:adjustRightInd/>
      <w:snapToGrid/>
      <w:spacing w:line="240" w:lineRule="auto"/>
      <w:ind w:left="100" w:leftChars="600" w:hanging="200" w:hangingChars="200"/>
      <w:jc w:val="both"/>
    </w:pPr>
    <w:rPr>
      <w:sz w:val="21"/>
      <w:szCs w:val="24"/>
    </w:rPr>
  </w:style>
  <w:style w:type="paragraph" w:styleId="78">
    <w:name w:val="List Continue 2"/>
    <w:basedOn w:val="1"/>
    <w:qFormat/>
    <w:uiPriority w:val="0"/>
    <w:pPr>
      <w:adjustRightInd/>
      <w:snapToGrid/>
      <w:spacing w:after="120" w:line="240" w:lineRule="auto"/>
      <w:ind w:left="840" w:leftChars="400" w:firstLine="0" w:firstLineChars="0"/>
      <w:jc w:val="both"/>
    </w:pPr>
    <w:rPr>
      <w:sz w:val="21"/>
      <w:szCs w:val="24"/>
    </w:rPr>
  </w:style>
  <w:style w:type="paragraph" w:styleId="79">
    <w:name w:val="Message Header"/>
    <w:basedOn w:val="1"/>
    <w:link w:val="321"/>
    <w:qFormat/>
    <w:uiPriority w:val="0"/>
    <w:pPr>
      <w:pBdr>
        <w:top w:val="single" w:color="auto" w:sz="6" w:space="1"/>
        <w:left w:val="single" w:color="auto" w:sz="6" w:space="1"/>
        <w:bottom w:val="single" w:color="auto" w:sz="6" w:space="1"/>
        <w:right w:val="single" w:color="auto" w:sz="6" w:space="1"/>
      </w:pBdr>
      <w:shd w:val="pct20" w:color="auto" w:fill="auto"/>
      <w:adjustRightInd/>
      <w:snapToGrid/>
      <w:spacing w:line="240" w:lineRule="auto"/>
      <w:ind w:left="1080" w:leftChars="500" w:hanging="1080" w:hangingChars="500"/>
      <w:jc w:val="both"/>
    </w:pPr>
    <w:rPr>
      <w:rFonts w:ascii="Arial" w:hAnsi="Arial" w:cs="Arial"/>
      <w:sz w:val="24"/>
      <w:szCs w:val="24"/>
    </w:rPr>
  </w:style>
  <w:style w:type="paragraph" w:styleId="80">
    <w:name w:val="HTML Preformatted"/>
    <w:basedOn w:val="1"/>
    <w:link w:val="23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line="240" w:lineRule="auto"/>
      <w:ind w:firstLine="0" w:firstLineChars="0"/>
    </w:pPr>
    <w:rPr>
      <w:rFonts w:ascii="宋体" w:hAnsi="宋体" w:cs="宋体"/>
      <w:kern w:val="0"/>
      <w:sz w:val="24"/>
      <w:szCs w:val="24"/>
    </w:rPr>
  </w:style>
  <w:style w:type="paragraph" w:styleId="81">
    <w:name w:val="Normal (Web)"/>
    <w:basedOn w:val="1"/>
    <w:link w:val="285"/>
    <w:qFormat/>
    <w:uiPriority w:val="99"/>
    <w:pPr>
      <w:widowControl/>
      <w:adjustRightInd/>
      <w:snapToGrid/>
      <w:spacing w:beforeAutospacing="1" w:after="100" w:afterAutospacing="1" w:line="240" w:lineRule="auto"/>
      <w:ind w:firstLine="0" w:firstLineChars="0"/>
    </w:pPr>
    <w:rPr>
      <w:rFonts w:ascii="宋体" w:hAnsi="宋体"/>
      <w:kern w:val="0"/>
      <w:sz w:val="24"/>
      <w:szCs w:val="24"/>
    </w:rPr>
  </w:style>
  <w:style w:type="paragraph" w:styleId="82">
    <w:name w:val="List Continue 3"/>
    <w:basedOn w:val="1"/>
    <w:qFormat/>
    <w:uiPriority w:val="0"/>
    <w:pPr>
      <w:adjustRightInd/>
      <w:snapToGrid/>
      <w:spacing w:after="120" w:line="240" w:lineRule="auto"/>
      <w:ind w:left="1260" w:leftChars="600" w:firstLine="0" w:firstLineChars="0"/>
      <w:jc w:val="both"/>
    </w:pPr>
    <w:rPr>
      <w:sz w:val="21"/>
      <w:szCs w:val="24"/>
    </w:rPr>
  </w:style>
  <w:style w:type="paragraph" w:styleId="83">
    <w:name w:val="index 2"/>
    <w:basedOn w:val="1"/>
    <w:next w:val="1"/>
    <w:semiHidden/>
    <w:qFormat/>
    <w:uiPriority w:val="0"/>
    <w:pPr>
      <w:adjustRightInd/>
      <w:snapToGrid/>
      <w:spacing w:line="300" w:lineRule="auto"/>
      <w:ind w:left="200" w:leftChars="200" w:firstLine="0" w:firstLineChars="0"/>
      <w:jc w:val="both"/>
    </w:pPr>
    <w:rPr>
      <w:rFonts w:ascii="Arial Narrow" w:hAnsi="Arial Narrow" w:eastAsia="仿宋_GB2312"/>
      <w:sz w:val="24"/>
      <w:szCs w:val="24"/>
    </w:rPr>
  </w:style>
  <w:style w:type="paragraph" w:styleId="84">
    <w:name w:val="Title"/>
    <w:basedOn w:val="1"/>
    <w:next w:val="1"/>
    <w:link w:val="155"/>
    <w:qFormat/>
    <w:uiPriority w:val="0"/>
    <w:pPr>
      <w:widowControl/>
      <w:spacing w:line="240" w:lineRule="atLeast"/>
      <w:ind w:firstLine="0" w:firstLineChars="0"/>
      <w:jc w:val="center"/>
    </w:pPr>
    <w:rPr>
      <w:bCs/>
      <w:snapToGrid w:val="0"/>
      <w:kern w:val="0"/>
      <w:sz w:val="24"/>
      <w:szCs w:val="26"/>
      <w:lang w:val="ru-RU"/>
    </w:rPr>
  </w:style>
  <w:style w:type="paragraph" w:styleId="85">
    <w:name w:val="annotation subject"/>
    <w:basedOn w:val="28"/>
    <w:next w:val="28"/>
    <w:link w:val="191"/>
    <w:unhideWhenUsed/>
    <w:qFormat/>
    <w:uiPriority w:val="99"/>
    <w:rPr>
      <w:b w:val="0"/>
      <w:bCs/>
    </w:rPr>
  </w:style>
  <w:style w:type="paragraph" w:styleId="86">
    <w:name w:val="Body Text First Indent"/>
    <w:basedOn w:val="34"/>
    <w:link w:val="617"/>
    <w:qFormat/>
    <w:uiPriority w:val="0"/>
    <w:pPr>
      <w:adjustRightInd/>
      <w:snapToGrid/>
      <w:spacing w:beforeLines="0" w:after="120" w:line="240" w:lineRule="auto"/>
      <w:ind w:firstLine="420" w:firstLineChars="100"/>
    </w:pPr>
    <w:rPr>
      <w:snapToGrid/>
      <w:color w:val="000000"/>
      <w:kern w:val="2"/>
    </w:rPr>
  </w:style>
  <w:style w:type="paragraph" w:styleId="87">
    <w:name w:val="Body Text First Indent 2"/>
    <w:basedOn w:val="35"/>
    <w:link w:val="318"/>
    <w:qFormat/>
    <w:uiPriority w:val="99"/>
    <w:pPr>
      <w:spacing w:line="300" w:lineRule="auto"/>
      <w:ind w:firstLine="420"/>
    </w:pPr>
    <w:rPr>
      <w:rFonts w:ascii="Arial Narrow" w:hAnsi="Arial Narrow" w:eastAsia="仿宋_GB2312"/>
      <w:sz w:val="24"/>
      <w:szCs w:val="24"/>
    </w:rPr>
  </w:style>
  <w:style w:type="table" w:styleId="89">
    <w:name w:val="Table Grid"/>
    <w:basedOn w:val="88"/>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2"/>
    <w:basedOn w:val="88"/>
    <w:semiHidden/>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2">
    <w:name w:val="Table Colorful 3"/>
    <w:basedOn w:val="88"/>
    <w:semiHidden/>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3">
    <w:name w:val="Table Elegant"/>
    <w:basedOn w:val="88"/>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4">
    <w:name w:val="Table Classic 1"/>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5">
    <w:name w:val="Table Classic 2"/>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6">
    <w:name w:val="Table Classic 3"/>
    <w:basedOn w:val="88"/>
    <w:semiHidden/>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7">
    <w:name w:val="Table Classic 4"/>
    <w:basedOn w:val="88"/>
    <w:semiHidden/>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8">
    <w:name w:val="Table Simple 1"/>
    <w:basedOn w:val="88"/>
    <w:qFormat/>
    <w:uiPriority w:val="0"/>
    <w:pPr>
      <w:widowControl w:val="0"/>
      <w:adjustRightInd w:val="0"/>
      <w:textAlignment w:val="baseline"/>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99">
    <w:name w:val="Table Simple 2"/>
    <w:basedOn w:val="88"/>
    <w:semiHidden/>
    <w:qFormat/>
    <w:uiPriority w:val="0"/>
    <w:pPr>
      <w:widowControl w:val="0"/>
      <w:jc w:val="both"/>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0">
    <w:name w:val="Table Simple 3"/>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1">
    <w:name w:val="Table Subtle 1"/>
    <w:basedOn w:val="88"/>
    <w:semiHidden/>
    <w:qFormat/>
    <w:uiPriority w:val="0"/>
    <w:pPr>
      <w:widowControl w:val="0"/>
      <w:jc w:val="both"/>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2">
    <w:name w:val="Table Subtle 2"/>
    <w:basedOn w:val="88"/>
    <w:semiHidden/>
    <w:qFormat/>
    <w:uiPriority w:val="0"/>
    <w:pPr>
      <w:widowControl w:val="0"/>
      <w:jc w:val="both"/>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3D effects 1"/>
    <w:basedOn w:val="88"/>
    <w:semiHidden/>
    <w:qFormat/>
    <w:uiPriority w:val="0"/>
    <w:pPr>
      <w:widowControl w:val="0"/>
      <w:jc w:val="both"/>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4">
    <w:name w:val="Table 3D effects 2"/>
    <w:basedOn w:val="88"/>
    <w:semiHidden/>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5">
    <w:name w:val="Table 3D effects 3"/>
    <w:basedOn w:val="88"/>
    <w:semiHidden/>
    <w:qFormat/>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List 1"/>
    <w:basedOn w:val="88"/>
    <w:semiHidden/>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7">
    <w:name w:val="Table List 2"/>
    <w:basedOn w:val="88"/>
    <w:semiHidden/>
    <w:qFormat/>
    <w:uiPriority w:val="0"/>
    <w:pPr>
      <w:widowControl w:val="0"/>
      <w:jc w:val="both"/>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3"/>
    <w:basedOn w:val="88"/>
    <w:semiHidden/>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09">
    <w:name w:val="Table List 4"/>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0">
    <w:name w:val="Table List 5"/>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1">
    <w:name w:val="Table List 6"/>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2">
    <w:name w:val="Table List 7"/>
    <w:basedOn w:val="88"/>
    <w:semiHidden/>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3">
    <w:name w:val="Table List 8"/>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4">
    <w:name w:val="Table Contemporary"/>
    <w:basedOn w:val="88"/>
    <w:semiHidden/>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5">
    <w:name w:val="Table Columns 1"/>
    <w:basedOn w:val="88"/>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6">
    <w:name w:val="Table Columns 2"/>
    <w:basedOn w:val="88"/>
    <w:semiHidden/>
    <w:qFormat/>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3"/>
    <w:basedOn w:val="88"/>
    <w:semiHidden/>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8">
    <w:name w:val="Table Columns 4"/>
    <w:basedOn w:val="88"/>
    <w:semiHidden/>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9">
    <w:name w:val="Table Columns 5"/>
    <w:basedOn w:val="88"/>
    <w:semiHidden/>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0">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1">
    <w:name w:val="Table Grid 2"/>
    <w:basedOn w:val="88"/>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2">
    <w:name w:val="Table Grid 3"/>
    <w:basedOn w:val="88"/>
    <w:semiHidden/>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3">
    <w:name w:val="Table Grid 4"/>
    <w:basedOn w:val="88"/>
    <w:semiHidden/>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4">
    <w:name w:val="Table Grid 5"/>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5">
    <w:name w:val="Table Grid 6"/>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7"/>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8"/>
    <w:basedOn w:val="88"/>
    <w:semiHidden/>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8">
    <w:name w:val="Table Web 1"/>
    <w:basedOn w:val="88"/>
    <w:semiHidden/>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29">
    <w:name w:val="Table Web 2"/>
    <w:basedOn w:val="88"/>
    <w:semiHidden/>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3"/>
    <w:basedOn w:val="88"/>
    <w:semiHidden/>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Professional"/>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3">
    <w:name w:val="Strong"/>
    <w:qFormat/>
    <w:uiPriority w:val="22"/>
    <w:rPr>
      <w:b/>
      <w:bCs/>
    </w:rPr>
  </w:style>
  <w:style w:type="character" w:styleId="134">
    <w:name w:val="endnote reference"/>
    <w:basedOn w:val="132"/>
    <w:semiHidden/>
    <w:unhideWhenUsed/>
    <w:qFormat/>
    <w:uiPriority w:val="0"/>
    <w:rPr>
      <w:vertAlign w:val="superscript"/>
    </w:rPr>
  </w:style>
  <w:style w:type="character" w:styleId="135">
    <w:name w:val="page number"/>
    <w:qFormat/>
    <w:uiPriority w:val="0"/>
    <w:rPr>
      <w:rFonts w:eastAsia="宋体"/>
      <w:sz w:val="18"/>
    </w:rPr>
  </w:style>
  <w:style w:type="character" w:styleId="136">
    <w:name w:val="FollowedHyperlink"/>
    <w:qFormat/>
    <w:uiPriority w:val="0"/>
    <w:rPr>
      <w:color w:val="800080"/>
      <w:u w:val="single"/>
    </w:rPr>
  </w:style>
  <w:style w:type="character" w:styleId="137">
    <w:name w:val="Emphasis"/>
    <w:qFormat/>
    <w:uiPriority w:val="20"/>
    <w:rPr>
      <w:i/>
      <w:iCs/>
    </w:rPr>
  </w:style>
  <w:style w:type="character" w:styleId="138">
    <w:name w:val="line number"/>
    <w:qFormat/>
    <w:uiPriority w:val="0"/>
    <w:rPr>
      <w:rFonts w:ascii="Verdana" w:hAnsi="Verdana" w:eastAsia="宋体"/>
      <w:lang w:val="en-US" w:eastAsia="en-US" w:bidi="ar-SA"/>
    </w:rPr>
  </w:style>
  <w:style w:type="character" w:styleId="139">
    <w:name w:val="HTML Definition"/>
    <w:qFormat/>
    <w:uiPriority w:val="0"/>
    <w:rPr>
      <w:rFonts w:ascii="Verdana" w:hAnsi="Verdana" w:eastAsia="宋体"/>
      <w:i/>
      <w:iCs/>
      <w:lang w:val="en-US" w:eastAsia="en-US" w:bidi="ar-SA"/>
    </w:rPr>
  </w:style>
  <w:style w:type="character" w:styleId="140">
    <w:name w:val="HTML Typewriter"/>
    <w:qFormat/>
    <w:uiPriority w:val="0"/>
    <w:rPr>
      <w:rFonts w:ascii="Courier New" w:hAnsi="Courier New" w:eastAsia="宋体" w:cs="Courier New"/>
      <w:kern w:val="2"/>
      <w:sz w:val="20"/>
      <w:szCs w:val="20"/>
      <w:lang w:val="en-US" w:eastAsia="zh-CN" w:bidi="ar-SA"/>
    </w:rPr>
  </w:style>
  <w:style w:type="character" w:styleId="141">
    <w:name w:val="HTML Acronym"/>
    <w:semiHidden/>
    <w:qFormat/>
    <w:uiPriority w:val="0"/>
    <w:rPr>
      <w:rFonts w:ascii="宋体" w:hAnsi="宋体" w:eastAsia="宋体" w:cs="Courier New"/>
      <w:kern w:val="2"/>
      <w:sz w:val="32"/>
      <w:szCs w:val="32"/>
      <w:lang w:val="en-US" w:eastAsia="zh-CN" w:bidi="ar-SA"/>
    </w:rPr>
  </w:style>
  <w:style w:type="character" w:styleId="142">
    <w:name w:val="HTML Variable"/>
    <w:semiHidden/>
    <w:qFormat/>
    <w:uiPriority w:val="0"/>
    <w:rPr>
      <w:rFonts w:ascii="宋体" w:hAnsi="宋体" w:eastAsia="宋体" w:cs="Courier New"/>
      <w:i/>
      <w:iCs/>
      <w:kern w:val="2"/>
      <w:sz w:val="32"/>
      <w:szCs w:val="32"/>
      <w:lang w:val="en-US" w:eastAsia="zh-CN" w:bidi="ar-SA"/>
    </w:rPr>
  </w:style>
  <w:style w:type="character" w:styleId="143">
    <w:name w:val="Hyperlink"/>
    <w:basedOn w:val="132"/>
    <w:unhideWhenUsed/>
    <w:qFormat/>
    <w:uiPriority w:val="99"/>
    <w:rPr>
      <w:color w:val="0000FF"/>
      <w:u w:val="single"/>
    </w:rPr>
  </w:style>
  <w:style w:type="character" w:styleId="144">
    <w:name w:val="HTML Code"/>
    <w:qFormat/>
    <w:uiPriority w:val="0"/>
    <w:rPr>
      <w:rFonts w:ascii="Courier New" w:hAnsi="Courier New" w:eastAsia="宋体" w:cs="Courier New"/>
      <w:sz w:val="20"/>
      <w:szCs w:val="20"/>
      <w:lang w:val="en-US" w:eastAsia="en-US" w:bidi="ar-SA"/>
    </w:rPr>
  </w:style>
  <w:style w:type="character" w:styleId="145">
    <w:name w:val="annotation reference"/>
    <w:unhideWhenUsed/>
    <w:qFormat/>
    <w:uiPriority w:val="0"/>
    <w:rPr>
      <w:sz w:val="21"/>
      <w:szCs w:val="21"/>
    </w:rPr>
  </w:style>
  <w:style w:type="character" w:styleId="146">
    <w:name w:val="HTML Cite"/>
    <w:semiHidden/>
    <w:qFormat/>
    <w:uiPriority w:val="0"/>
    <w:rPr>
      <w:rFonts w:ascii="宋体" w:hAnsi="宋体" w:eastAsia="宋体" w:cs="Courier New"/>
      <w:i/>
      <w:iCs/>
      <w:kern w:val="2"/>
      <w:sz w:val="32"/>
      <w:szCs w:val="32"/>
      <w:lang w:val="en-US" w:eastAsia="zh-CN" w:bidi="ar-SA"/>
    </w:rPr>
  </w:style>
  <w:style w:type="character" w:styleId="147">
    <w:name w:val="footnote reference"/>
    <w:qFormat/>
    <w:uiPriority w:val="0"/>
    <w:rPr>
      <w:rFonts w:ascii="Verdana" w:hAnsi="Verdana" w:eastAsia="宋体"/>
      <w:vertAlign w:val="superscript"/>
      <w:lang w:val="en-US" w:eastAsia="en-US" w:bidi="ar-SA"/>
    </w:rPr>
  </w:style>
  <w:style w:type="character" w:styleId="148">
    <w:name w:val="HTML Keyboard"/>
    <w:qFormat/>
    <w:uiPriority w:val="0"/>
    <w:rPr>
      <w:rFonts w:ascii="Courier New" w:hAnsi="Courier New" w:eastAsia="宋体"/>
      <w:sz w:val="20"/>
      <w:szCs w:val="20"/>
      <w:lang w:val="en-US" w:eastAsia="en-US" w:bidi="ar-SA"/>
    </w:rPr>
  </w:style>
  <w:style w:type="character" w:styleId="149">
    <w:name w:val="HTML Sample"/>
    <w:semiHidden/>
    <w:qFormat/>
    <w:uiPriority w:val="0"/>
    <w:rPr>
      <w:rFonts w:ascii="Courier New" w:hAnsi="Courier New" w:eastAsia="宋体" w:cs="Courier New"/>
      <w:kern w:val="2"/>
      <w:sz w:val="32"/>
      <w:szCs w:val="32"/>
      <w:lang w:val="en-US" w:eastAsia="zh-CN" w:bidi="ar-SA"/>
    </w:rPr>
  </w:style>
  <w:style w:type="character" w:customStyle="1" w:styleId="150">
    <w:name w:val="页眉 字符"/>
    <w:link w:val="57"/>
    <w:qFormat/>
    <w:uiPriority w:val="0"/>
    <w:rPr>
      <w:rFonts w:ascii="Times New Roman" w:hAnsi="Times New Roman"/>
      <w:bCs/>
      <w:kern w:val="2"/>
      <w:sz w:val="21"/>
      <w:szCs w:val="18"/>
    </w:rPr>
  </w:style>
  <w:style w:type="character" w:customStyle="1" w:styleId="151">
    <w:name w:val="页脚 字符"/>
    <w:link w:val="55"/>
    <w:qFormat/>
    <w:uiPriority w:val="99"/>
    <w:rPr>
      <w:rFonts w:ascii="Times New Roman" w:hAnsi="Times New Roman"/>
      <w:kern w:val="2"/>
      <w:sz w:val="21"/>
      <w:szCs w:val="18"/>
    </w:rPr>
  </w:style>
  <w:style w:type="character" w:customStyle="1" w:styleId="152">
    <w:name w:val="标题 1 字符"/>
    <w:link w:val="3"/>
    <w:qFormat/>
    <w:uiPriority w:val="0"/>
    <w:rPr>
      <w:rFonts w:ascii="Times New Roman" w:hAnsi="Times New Roman"/>
      <w:b/>
      <w:bCs/>
      <w:snapToGrid w:val="0"/>
      <w:kern w:val="44"/>
      <w:sz w:val="44"/>
      <w:szCs w:val="44"/>
    </w:rPr>
  </w:style>
  <w:style w:type="character" w:customStyle="1" w:styleId="153">
    <w:name w:val="标题 2 字符"/>
    <w:link w:val="4"/>
    <w:qFormat/>
    <w:uiPriority w:val="0"/>
    <w:rPr>
      <w:b/>
      <w:bCs/>
      <w:snapToGrid w:val="0"/>
      <w:kern w:val="2"/>
      <w:sz w:val="30"/>
      <w:szCs w:val="32"/>
    </w:rPr>
  </w:style>
  <w:style w:type="character" w:customStyle="1" w:styleId="154">
    <w:name w:val="标题 3 字符"/>
    <w:link w:val="5"/>
    <w:qFormat/>
    <w:uiPriority w:val="0"/>
    <w:rPr>
      <w:b/>
      <w:snapToGrid w:val="0"/>
      <w:color w:val="0000FF"/>
      <w:kern w:val="2"/>
      <w:sz w:val="24"/>
      <w:szCs w:val="32"/>
      <w:lang w:bidi="en-US"/>
    </w:rPr>
  </w:style>
  <w:style w:type="character" w:customStyle="1" w:styleId="155">
    <w:name w:val="标题 字符"/>
    <w:link w:val="84"/>
    <w:qFormat/>
    <w:uiPriority w:val="0"/>
    <w:rPr>
      <w:bCs/>
      <w:snapToGrid w:val="0"/>
      <w:sz w:val="24"/>
      <w:szCs w:val="26"/>
      <w:lang w:val="ru-RU"/>
    </w:rPr>
  </w:style>
  <w:style w:type="character" w:customStyle="1" w:styleId="156">
    <w:name w:val="标题 4 字符"/>
    <w:link w:val="6"/>
    <w:qFormat/>
    <w:uiPriority w:val="0"/>
    <w:rPr>
      <w:rFonts w:ascii="Times New Roman" w:hAnsi="Times New Roman"/>
      <w:b/>
      <w:bCs/>
      <w:snapToGrid w:val="0"/>
      <w:kern w:val="2"/>
      <w:sz w:val="26"/>
      <w:szCs w:val="28"/>
    </w:rPr>
  </w:style>
  <w:style w:type="character" w:customStyle="1" w:styleId="157">
    <w:name w:val="标题 5 字符"/>
    <w:link w:val="7"/>
    <w:qFormat/>
    <w:uiPriority w:val="0"/>
    <w:rPr>
      <w:rFonts w:ascii="Times New Roman" w:hAnsi="Times New Roman"/>
      <w:bCs/>
      <w:kern w:val="2"/>
      <w:sz w:val="26"/>
      <w:szCs w:val="28"/>
    </w:rPr>
  </w:style>
  <w:style w:type="character" w:customStyle="1" w:styleId="158">
    <w:name w:val="标题 6 字符"/>
    <w:link w:val="8"/>
    <w:qFormat/>
    <w:uiPriority w:val="0"/>
    <w:rPr>
      <w:rFonts w:ascii="Cambria" w:hAnsi="Cambria"/>
      <w:b/>
      <w:bCs/>
      <w:kern w:val="2"/>
      <w:sz w:val="24"/>
      <w:szCs w:val="22"/>
    </w:rPr>
  </w:style>
  <w:style w:type="character" w:customStyle="1" w:styleId="159">
    <w:name w:val="标题 7 字符"/>
    <w:link w:val="9"/>
    <w:qFormat/>
    <w:uiPriority w:val="0"/>
    <w:rPr>
      <w:rFonts w:ascii="Times New Roman" w:hAnsi="Times New Roman"/>
      <w:b/>
      <w:bCs/>
      <w:kern w:val="2"/>
      <w:sz w:val="24"/>
      <w:szCs w:val="22"/>
    </w:rPr>
  </w:style>
  <w:style w:type="character" w:customStyle="1" w:styleId="160">
    <w:name w:val="标题 8 字符"/>
    <w:link w:val="10"/>
    <w:qFormat/>
    <w:uiPriority w:val="0"/>
    <w:rPr>
      <w:rFonts w:ascii="Cambria" w:hAnsi="Cambria"/>
      <w:kern w:val="2"/>
      <w:sz w:val="24"/>
      <w:szCs w:val="22"/>
    </w:rPr>
  </w:style>
  <w:style w:type="character" w:customStyle="1" w:styleId="161">
    <w:name w:val="标题 9 字符"/>
    <w:link w:val="11"/>
    <w:qFormat/>
    <w:uiPriority w:val="0"/>
    <w:rPr>
      <w:rFonts w:ascii="Cambria" w:hAnsi="Cambria"/>
      <w:kern w:val="2"/>
      <w:sz w:val="21"/>
      <w:szCs w:val="21"/>
    </w:rPr>
  </w:style>
  <w:style w:type="character" w:customStyle="1" w:styleId="162">
    <w:name w:val="副标题 字符"/>
    <w:link w:val="64"/>
    <w:qFormat/>
    <w:uiPriority w:val="0"/>
    <w:rPr>
      <w:rFonts w:ascii="Cambria" w:hAnsi="Cambria"/>
      <w:b/>
      <w:bCs/>
      <w:kern w:val="28"/>
      <w:sz w:val="32"/>
      <w:szCs w:val="32"/>
    </w:rPr>
  </w:style>
  <w:style w:type="paragraph" w:styleId="163">
    <w:name w:val="No Spacing"/>
    <w:link w:val="246"/>
    <w:qFormat/>
    <w:uiPriority w:val="0"/>
    <w:pPr>
      <w:widowControl w:val="0"/>
      <w:adjustRightInd w:val="0"/>
      <w:snapToGrid w:val="0"/>
      <w:spacing w:line="480" w:lineRule="exact"/>
      <w:ind w:firstLine="200" w:firstLineChars="200"/>
    </w:pPr>
    <w:rPr>
      <w:rFonts w:ascii="Times New Roman" w:hAnsi="Times New Roman" w:eastAsia="宋体" w:cs="Times New Roman"/>
      <w:kern w:val="2"/>
      <w:sz w:val="26"/>
      <w:szCs w:val="22"/>
      <w:lang w:val="en-US" w:eastAsia="zh-CN" w:bidi="ar-SA"/>
    </w:rPr>
  </w:style>
  <w:style w:type="paragraph" w:styleId="164">
    <w:name w:val="List Paragraph"/>
    <w:basedOn w:val="1"/>
    <w:qFormat/>
    <w:uiPriority w:val="34"/>
    <w:pPr>
      <w:ind w:firstLine="420"/>
    </w:pPr>
  </w:style>
  <w:style w:type="paragraph" w:styleId="165">
    <w:name w:val="Quote"/>
    <w:basedOn w:val="1"/>
    <w:next w:val="1"/>
    <w:link w:val="166"/>
    <w:qFormat/>
    <w:uiPriority w:val="29"/>
    <w:rPr>
      <w:i/>
      <w:iCs/>
      <w:color w:val="000000"/>
    </w:rPr>
  </w:style>
  <w:style w:type="character" w:customStyle="1" w:styleId="166">
    <w:name w:val="引用 字符"/>
    <w:link w:val="165"/>
    <w:qFormat/>
    <w:uiPriority w:val="0"/>
    <w:rPr>
      <w:rFonts w:ascii="Times New Roman" w:hAnsi="Times New Roman"/>
      <w:i/>
      <w:iCs/>
      <w:color w:val="000000"/>
      <w:kern w:val="2"/>
      <w:sz w:val="26"/>
      <w:szCs w:val="22"/>
    </w:rPr>
  </w:style>
  <w:style w:type="paragraph" w:styleId="167">
    <w:name w:val="Intense Quote"/>
    <w:basedOn w:val="1"/>
    <w:next w:val="1"/>
    <w:link w:val="168"/>
    <w:qFormat/>
    <w:uiPriority w:val="30"/>
    <w:pPr>
      <w:pBdr>
        <w:bottom w:val="single" w:color="4F81BD" w:sz="4" w:space="4"/>
      </w:pBdr>
      <w:spacing w:before="200" w:after="280"/>
      <w:ind w:left="936" w:right="936"/>
    </w:pPr>
    <w:rPr>
      <w:b/>
      <w:bCs/>
      <w:i/>
      <w:iCs/>
      <w:color w:val="4F81BD"/>
    </w:rPr>
  </w:style>
  <w:style w:type="character" w:customStyle="1" w:styleId="168">
    <w:name w:val="明显引用 字符"/>
    <w:link w:val="167"/>
    <w:qFormat/>
    <w:uiPriority w:val="0"/>
    <w:rPr>
      <w:rFonts w:ascii="Times New Roman" w:hAnsi="Times New Roman"/>
      <w:b/>
      <w:bCs/>
      <w:i/>
      <w:iCs/>
      <w:color w:val="4F81BD"/>
      <w:kern w:val="2"/>
      <w:sz w:val="26"/>
      <w:szCs w:val="22"/>
    </w:rPr>
  </w:style>
  <w:style w:type="character" w:customStyle="1" w:styleId="169">
    <w:name w:val="不明显强调1"/>
    <w:qFormat/>
    <w:uiPriority w:val="19"/>
    <w:rPr>
      <w:i/>
      <w:iCs/>
      <w:color w:val="808080"/>
    </w:rPr>
  </w:style>
  <w:style w:type="character" w:customStyle="1" w:styleId="170">
    <w:name w:val="明显强调1"/>
    <w:qFormat/>
    <w:uiPriority w:val="21"/>
    <w:rPr>
      <w:b/>
      <w:bCs/>
      <w:i/>
      <w:iCs/>
      <w:color w:val="4F81BD"/>
    </w:rPr>
  </w:style>
  <w:style w:type="character" w:customStyle="1" w:styleId="171">
    <w:name w:val="不明显参考1"/>
    <w:qFormat/>
    <w:uiPriority w:val="31"/>
    <w:rPr>
      <w:smallCaps/>
      <w:color w:val="C0504D"/>
      <w:u w:val="single"/>
    </w:rPr>
  </w:style>
  <w:style w:type="character" w:customStyle="1" w:styleId="172">
    <w:name w:val="明显参考1"/>
    <w:qFormat/>
    <w:uiPriority w:val="32"/>
    <w:rPr>
      <w:b/>
      <w:bCs/>
      <w:smallCaps/>
      <w:color w:val="C0504D"/>
      <w:spacing w:val="5"/>
      <w:u w:val="single"/>
    </w:rPr>
  </w:style>
  <w:style w:type="character" w:customStyle="1" w:styleId="173">
    <w:name w:val="书籍标题1"/>
    <w:qFormat/>
    <w:uiPriority w:val="33"/>
    <w:rPr>
      <w:b/>
      <w:bCs/>
      <w:smallCaps/>
      <w:spacing w:val="5"/>
    </w:rPr>
  </w:style>
  <w:style w:type="paragraph" w:customStyle="1" w:styleId="174">
    <w:name w:val="TOC 标题1"/>
    <w:basedOn w:val="3"/>
    <w:next w:val="1"/>
    <w:unhideWhenUsed/>
    <w:qFormat/>
    <w:uiPriority w:val="39"/>
    <w:pPr>
      <w:keepNext/>
      <w:keepLines/>
      <w:numPr>
        <w:numId w:val="0"/>
      </w:numPr>
      <w:spacing w:beforeLines="0" w:afterLines="0" w:line="578" w:lineRule="atLeast"/>
      <w:jc w:val="left"/>
      <w:outlineLvl w:val="9"/>
    </w:pPr>
    <w:rPr>
      <w:snapToGrid/>
    </w:rPr>
  </w:style>
  <w:style w:type="paragraph" w:customStyle="1" w:styleId="175">
    <w:name w:val="正编号"/>
    <w:basedOn w:val="1"/>
    <w:next w:val="1"/>
    <w:link w:val="176"/>
    <w:qFormat/>
    <w:uiPriority w:val="0"/>
    <w:pPr>
      <w:numPr>
        <w:ilvl w:val="0"/>
        <w:numId w:val="5"/>
      </w:numPr>
      <w:tabs>
        <w:tab w:val="left" w:pos="0"/>
      </w:tabs>
      <w:ind w:firstLine="0" w:firstLineChars="0"/>
    </w:pPr>
  </w:style>
  <w:style w:type="character" w:customStyle="1" w:styleId="176">
    <w:name w:val="正编号 Char"/>
    <w:link w:val="175"/>
    <w:qFormat/>
    <w:uiPriority w:val="0"/>
    <w:rPr>
      <w:rFonts w:ascii="Times New Roman" w:hAnsi="Times New Roman"/>
      <w:kern w:val="2"/>
      <w:sz w:val="26"/>
      <w:szCs w:val="22"/>
    </w:rPr>
  </w:style>
  <w:style w:type="paragraph" w:customStyle="1" w:styleId="177">
    <w:name w:val="页眉x"/>
    <w:basedOn w:val="1"/>
    <w:qFormat/>
    <w:uiPriority w:val="0"/>
    <w:pPr>
      <w:spacing w:line="240" w:lineRule="auto"/>
      <w:ind w:firstLine="0" w:firstLineChars="0"/>
      <w:jc w:val="center"/>
    </w:pPr>
    <w:rPr>
      <w:rFonts w:ascii="宋体" w:hAnsi="宋体" w:cs="宋体"/>
      <w:kern w:val="0"/>
      <w:sz w:val="21"/>
    </w:rPr>
  </w:style>
  <w:style w:type="paragraph" w:customStyle="1" w:styleId="178">
    <w:name w:val="页脚X"/>
    <w:basedOn w:val="1"/>
    <w:qFormat/>
    <w:uiPriority w:val="0"/>
    <w:pPr>
      <w:spacing w:line="240" w:lineRule="auto"/>
      <w:ind w:firstLine="0" w:firstLineChars="0"/>
      <w:jc w:val="center"/>
    </w:pPr>
    <w:rPr>
      <w:color w:val="FF0000"/>
      <w:sz w:val="21"/>
      <w:szCs w:val="21"/>
    </w:rPr>
  </w:style>
  <w:style w:type="paragraph" w:customStyle="1" w:styleId="179">
    <w:name w:val="页眉msy"/>
    <w:qFormat/>
    <w:uiPriority w:val="0"/>
    <w:pPr>
      <w:pBdr>
        <w:bottom w:val="single" w:color="auto" w:sz="4" w:space="1"/>
      </w:pBdr>
      <w:adjustRightInd w:val="0"/>
      <w:snapToGrid w:val="0"/>
      <w:jc w:val="center"/>
    </w:pPr>
    <w:rPr>
      <w:rFonts w:ascii="Times New Roman" w:hAnsi="Times New Roman" w:eastAsia="宋体" w:cs="Times New Roman"/>
      <w:kern w:val="2"/>
      <w:sz w:val="22"/>
      <w:szCs w:val="22"/>
      <w:lang w:val="en-US" w:eastAsia="zh-CN" w:bidi="ar-SA"/>
    </w:rPr>
  </w:style>
  <w:style w:type="paragraph" w:customStyle="1" w:styleId="180">
    <w:name w:val="页脚msy"/>
    <w:qFormat/>
    <w:uiPriority w:val="0"/>
    <w:pPr>
      <w:pBdr>
        <w:top w:val="single" w:color="auto" w:sz="4" w:space="1"/>
      </w:pBdr>
      <w:adjustRightInd w:val="0"/>
      <w:snapToGrid w:val="0"/>
      <w:jc w:val="center"/>
    </w:pPr>
    <w:rPr>
      <w:rFonts w:ascii="Times New Roman" w:hAnsi="Times New Roman" w:eastAsia="宋体" w:cs="Times New Roman"/>
      <w:kern w:val="2"/>
      <w:sz w:val="22"/>
      <w:szCs w:val="22"/>
      <w:lang w:val="en-US" w:eastAsia="zh-CN" w:bidi="ar-SA"/>
    </w:rPr>
  </w:style>
  <w:style w:type="paragraph" w:customStyle="1" w:styleId="181">
    <w:name w:val="表格"/>
    <w:link w:val="189"/>
    <w:qFormat/>
    <w:uiPriority w:val="0"/>
    <w:pPr>
      <w:adjustRightInd w:val="0"/>
      <w:snapToGrid w:val="0"/>
      <w:spacing w:line="320" w:lineRule="exact"/>
    </w:pPr>
    <w:rPr>
      <w:rFonts w:ascii="Times New Roman" w:hAnsi="Times New Roman" w:eastAsia="宋体" w:cs="Times New Roman"/>
      <w:kern w:val="2"/>
      <w:sz w:val="22"/>
      <w:szCs w:val="22"/>
      <w:lang w:val="en-US" w:eastAsia="zh-CN" w:bidi="ar-SA"/>
    </w:rPr>
  </w:style>
  <w:style w:type="character" w:customStyle="1" w:styleId="182">
    <w:name w:val="文档结构图 字符"/>
    <w:link w:val="26"/>
    <w:qFormat/>
    <w:uiPriority w:val="0"/>
    <w:rPr>
      <w:rFonts w:ascii="宋体" w:hAnsi="Times New Roman"/>
      <w:kern w:val="2"/>
      <w:sz w:val="18"/>
      <w:szCs w:val="18"/>
    </w:rPr>
  </w:style>
  <w:style w:type="character" w:customStyle="1" w:styleId="183">
    <w:name w:val="正文文本 字符"/>
    <w:link w:val="34"/>
    <w:qFormat/>
    <w:uiPriority w:val="0"/>
    <w:rPr>
      <w:snapToGrid w:val="0"/>
      <w:sz w:val="24"/>
      <w:szCs w:val="24"/>
    </w:rPr>
  </w:style>
  <w:style w:type="paragraph" w:customStyle="1" w:styleId="184">
    <w:name w:val="表格标题"/>
    <w:basedOn w:val="1"/>
    <w:link w:val="185"/>
    <w:qFormat/>
    <w:uiPriority w:val="0"/>
    <w:pPr>
      <w:spacing w:beforeLines="50" w:line="460" w:lineRule="exact"/>
      <w:ind w:firstLine="0" w:firstLineChars="0"/>
      <w:jc w:val="center"/>
    </w:pPr>
    <w:rPr>
      <w:b/>
      <w:snapToGrid w:val="0"/>
      <w:kern w:val="0"/>
      <w:sz w:val="24"/>
      <w:szCs w:val="24"/>
    </w:rPr>
  </w:style>
  <w:style w:type="character" w:customStyle="1" w:styleId="185">
    <w:name w:val="表格标题 Char"/>
    <w:link w:val="184"/>
    <w:qFormat/>
    <w:uiPriority w:val="0"/>
    <w:rPr>
      <w:rFonts w:ascii="Times New Roman" w:hAnsi="Times New Roman"/>
      <w:b/>
      <w:snapToGrid w:val="0"/>
      <w:sz w:val="24"/>
      <w:szCs w:val="24"/>
    </w:rPr>
  </w:style>
  <w:style w:type="paragraph" w:customStyle="1" w:styleId="186">
    <w:name w:val="表格文字-hao-居中"/>
    <w:link w:val="187"/>
    <w:qFormat/>
    <w:uiPriority w:val="0"/>
    <w:pPr>
      <w:adjustRightInd w:val="0"/>
      <w:snapToGrid w:val="0"/>
      <w:spacing w:beforeLines="10" w:afterLines="10" w:line="320" w:lineRule="exact"/>
      <w:ind w:firstLine="420"/>
      <w:jc w:val="center"/>
      <w:textAlignment w:val="center"/>
    </w:pPr>
    <w:rPr>
      <w:rFonts w:ascii="Times New Roman" w:hAnsi="宋体" w:eastAsia="宋体" w:cs="Times New Roman"/>
      <w:color w:val="000000" w:themeColor="text1"/>
      <w:kern w:val="2"/>
      <w:sz w:val="21"/>
      <w:szCs w:val="21"/>
      <w:lang w:val="en-US" w:eastAsia="zh-CN" w:bidi="ar-SA"/>
      <w14:textFill>
        <w14:solidFill>
          <w14:schemeClr w14:val="tx1"/>
        </w14:solidFill>
      </w14:textFill>
    </w:rPr>
  </w:style>
  <w:style w:type="character" w:customStyle="1" w:styleId="187">
    <w:name w:val="表格文字-hao-居中 Char"/>
    <w:link w:val="186"/>
    <w:qFormat/>
    <w:uiPriority w:val="0"/>
    <w:rPr>
      <w:rFonts w:ascii="Times New Roman" w:hAnsi="宋体"/>
      <w:color w:val="000000" w:themeColor="text1"/>
      <w:kern w:val="2"/>
      <w:sz w:val="21"/>
      <w:szCs w:val="21"/>
      <w14:textFill>
        <w14:solidFill>
          <w14:schemeClr w14:val="tx1"/>
        </w14:solidFill>
      </w14:textFill>
    </w:rPr>
  </w:style>
  <w:style w:type="paragraph" w:customStyle="1" w:styleId="188">
    <w:name w:val="表格文字1"/>
    <w:basedOn w:val="84"/>
    <w:qFormat/>
    <w:uiPriority w:val="0"/>
    <w:pPr>
      <w:spacing w:line="348" w:lineRule="auto"/>
      <w:textAlignment w:val="baseline"/>
    </w:pPr>
    <w:rPr>
      <w:bCs w:val="0"/>
      <w:snapToGrid/>
      <w:kern w:val="72"/>
      <w:sz w:val="21"/>
      <w:szCs w:val="72"/>
    </w:rPr>
  </w:style>
  <w:style w:type="character" w:customStyle="1" w:styleId="189">
    <w:name w:val="表格 Char"/>
    <w:link w:val="181"/>
    <w:qFormat/>
    <w:uiPriority w:val="0"/>
    <w:rPr>
      <w:rFonts w:ascii="Times New Roman" w:hAnsi="Times New Roman"/>
      <w:kern w:val="2"/>
      <w:sz w:val="22"/>
      <w:szCs w:val="22"/>
    </w:rPr>
  </w:style>
  <w:style w:type="character" w:customStyle="1" w:styleId="190">
    <w:name w:val="批注文字 字符"/>
    <w:link w:val="28"/>
    <w:qFormat/>
    <w:uiPriority w:val="0"/>
    <w:rPr>
      <w:b/>
      <w:kern w:val="2"/>
      <w:sz w:val="21"/>
      <w:szCs w:val="22"/>
    </w:rPr>
  </w:style>
  <w:style w:type="character" w:customStyle="1" w:styleId="191">
    <w:name w:val="批注主题 字符"/>
    <w:link w:val="85"/>
    <w:qFormat/>
    <w:uiPriority w:val="99"/>
    <w:rPr>
      <w:rFonts w:ascii="Times New Roman" w:hAnsi="Times New Roman"/>
      <w:bCs/>
      <w:kern w:val="2"/>
      <w:sz w:val="21"/>
      <w:szCs w:val="22"/>
    </w:rPr>
  </w:style>
  <w:style w:type="character" w:customStyle="1" w:styleId="192">
    <w:name w:val="批注框文本 字符"/>
    <w:link w:val="54"/>
    <w:qFormat/>
    <w:uiPriority w:val="0"/>
    <w:rPr>
      <w:rFonts w:ascii="Times New Roman" w:hAnsi="Times New Roman"/>
      <w:kern w:val="2"/>
      <w:sz w:val="18"/>
      <w:szCs w:val="18"/>
    </w:rPr>
  </w:style>
  <w:style w:type="paragraph" w:customStyle="1" w:styleId="193">
    <w:name w:val="Char"/>
    <w:basedOn w:val="1"/>
    <w:qFormat/>
    <w:uiPriority w:val="0"/>
    <w:pPr>
      <w:adjustRightInd/>
      <w:snapToGrid/>
      <w:spacing w:line="240" w:lineRule="auto"/>
      <w:ind w:firstLine="0" w:firstLineChars="0"/>
      <w:jc w:val="both"/>
    </w:pPr>
    <w:rPr>
      <w:sz w:val="21"/>
      <w:szCs w:val="24"/>
    </w:rPr>
  </w:style>
  <w:style w:type="character" w:customStyle="1" w:styleId="194">
    <w:name w:val="纯文本 字符"/>
    <w:link w:val="45"/>
    <w:qFormat/>
    <w:uiPriority w:val="0"/>
    <w:rPr>
      <w:rFonts w:ascii="宋体" w:hAnsi="Courier New"/>
      <w:kern w:val="2"/>
      <w:sz w:val="21"/>
      <w:szCs w:val="21"/>
    </w:rPr>
  </w:style>
  <w:style w:type="paragraph" w:customStyle="1" w:styleId="195">
    <w:name w:val="表头-hao2"/>
    <w:qFormat/>
    <w:uiPriority w:val="0"/>
    <w:pPr>
      <w:adjustRightInd w:val="0"/>
      <w:snapToGrid w:val="0"/>
      <w:spacing w:line="348" w:lineRule="auto"/>
      <w:jc w:val="center"/>
    </w:pPr>
    <w:rPr>
      <w:rFonts w:ascii="Times New Roman" w:hAnsi="宋体" w:eastAsia="宋体" w:cs="Times New Roman"/>
      <w:b/>
      <w:color w:val="0000FF"/>
      <w:kern w:val="2"/>
      <w:sz w:val="24"/>
      <w:szCs w:val="24"/>
      <w:lang w:val="en-US" w:eastAsia="zh-CN" w:bidi="ar-SA"/>
    </w:rPr>
  </w:style>
  <w:style w:type="paragraph" w:customStyle="1" w:styleId="196">
    <w:name w:val="表头4"/>
    <w:basedOn w:val="1"/>
    <w:qFormat/>
    <w:uiPriority w:val="0"/>
    <w:pPr>
      <w:spacing w:line="348" w:lineRule="auto"/>
      <w:jc w:val="center"/>
      <w:textAlignment w:val="baseline"/>
    </w:pPr>
    <w:rPr>
      <w:b/>
      <w:kern w:val="72"/>
      <w:sz w:val="24"/>
      <w:szCs w:val="72"/>
    </w:rPr>
  </w:style>
  <w:style w:type="paragraph" w:customStyle="1" w:styleId="197">
    <w:name w:val="表格文字4"/>
    <w:basedOn w:val="84"/>
    <w:qFormat/>
    <w:uiPriority w:val="0"/>
    <w:pPr>
      <w:spacing w:line="348" w:lineRule="auto"/>
      <w:textAlignment w:val="baseline"/>
    </w:pPr>
    <w:rPr>
      <w:bCs w:val="0"/>
      <w:snapToGrid/>
      <w:kern w:val="72"/>
      <w:sz w:val="21"/>
      <w:szCs w:val="72"/>
    </w:rPr>
  </w:style>
  <w:style w:type="character" w:customStyle="1" w:styleId="198">
    <w:name w:val="fontstyle01"/>
    <w:qFormat/>
    <w:uiPriority w:val="0"/>
    <w:rPr>
      <w:rFonts w:hint="eastAsia" w:ascii="宋体" w:hAnsi="宋体" w:eastAsia="宋体"/>
      <w:color w:val="000000"/>
      <w:sz w:val="24"/>
      <w:szCs w:val="24"/>
    </w:rPr>
  </w:style>
  <w:style w:type="character" w:customStyle="1" w:styleId="199">
    <w:name w:val="fontstyle21"/>
    <w:qFormat/>
    <w:uiPriority w:val="0"/>
    <w:rPr>
      <w:rFonts w:hint="default" w:ascii="Times New Roman" w:hAnsi="Times New Roman" w:cs="Times New Roman"/>
      <w:color w:val="000000"/>
      <w:sz w:val="24"/>
      <w:szCs w:val="24"/>
    </w:rPr>
  </w:style>
  <w:style w:type="character" w:customStyle="1" w:styleId="200">
    <w:name w:val="题注 字符"/>
    <w:link w:val="22"/>
    <w:qFormat/>
    <w:uiPriority w:val="0"/>
    <w:rPr>
      <w:rFonts w:ascii="Cambria" w:hAnsi="Cambria" w:eastAsia="黑体"/>
      <w:kern w:val="2"/>
      <w:sz w:val="24"/>
    </w:rPr>
  </w:style>
  <w:style w:type="paragraph" w:customStyle="1" w:styleId="20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202">
    <w:name w:val="t1"/>
    <w:qFormat/>
    <w:uiPriority w:val="0"/>
  </w:style>
  <w:style w:type="paragraph" w:customStyle="1" w:styleId="203">
    <w:name w:val="正文样式 Char"/>
    <w:basedOn w:val="1"/>
    <w:link w:val="204"/>
    <w:qFormat/>
    <w:uiPriority w:val="0"/>
    <w:pPr>
      <w:spacing w:line="460" w:lineRule="exact"/>
      <w:jc w:val="both"/>
    </w:pPr>
    <w:rPr>
      <w:color w:val="000000"/>
      <w:szCs w:val="26"/>
    </w:rPr>
  </w:style>
  <w:style w:type="character" w:customStyle="1" w:styleId="204">
    <w:name w:val="正文样式 Char Char"/>
    <w:link w:val="203"/>
    <w:qFormat/>
    <w:uiPriority w:val="0"/>
    <w:rPr>
      <w:rFonts w:ascii="Times New Roman" w:hAnsi="Times New Roman"/>
      <w:color w:val="000000"/>
      <w:kern w:val="2"/>
      <w:sz w:val="26"/>
      <w:szCs w:val="26"/>
    </w:rPr>
  </w:style>
  <w:style w:type="paragraph" w:customStyle="1" w:styleId="205">
    <w:name w:val="样式 左 首行缩进:  1.01 厘米"/>
    <w:basedOn w:val="1"/>
    <w:link w:val="206"/>
    <w:qFormat/>
    <w:uiPriority w:val="0"/>
    <w:pPr>
      <w:spacing w:line="460" w:lineRule="exact"/>
      <w:jc w:val="both"/>
    </w:pPr>
    <w:rPr>
      <w:rFonts w:cs="宋体"/>
      <w:szCs w:val="26"/>
    </w:rPr>
  </w:style>
  <w:style w:type="character" w:customStyle="1" w:styleId="206">
    <w:name w:val="样式 左 首行缩进:  1.01 厘米 Char"/>
    <w:link w:val="205"/>
    <w:qFormat/>
    <w:uiPriority w:val="0"/>
    <w:rPr>
      <w:rFonts w:ascii="Times New Roman" w:hAnsi="Times New Roman" w:cs="宋体"/>
      <w:kern w:val="2"/>
      <w:sz w:val="26"/>
      <w:szCs w:val="26"/>
    </w:rPr>
  </w:style>
  <w:style w:type="table" w:customStyle="1" w:styleId="207">
    <w:name w:val="Table Normal"/>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208">
    <w:name w:val="表格内容格式"/>
    <w:basedOn w:val="1"/>
    <w:next w:val="34"/>
    <w:qFormat/>
    <w:uiPriority w:val="1"/>
    <w:pPr>
      <w:adjustRightInd/>
      <w:snapToGrid/>
      <w:spacing w:line="360" w:lineRule="atLeast"/>
      <w:ind w:firstLine="0" w:firstLineChars="0"/>
      <w:jc w:val="center"/>
    </w:pPr>
    <w:rPr>
      <w:kern w:val="0"/>
      <w:sz w:val="22"/>
      <w:lang w:eastAsia="en-US"/>
    </w:rPr>
  </w:style>
  <w:style w:type="table" w:customStyle="1" w:styleId="209">
    <w:name w:val="lg"/>
    <w:basedOn w:val="88"/>
    <w:qFormat/>
    <w:uiPriority w:val="99"/>
    <w:pPr>
      <w:jc w:val="center"/>
      <w:textAlignment w:val="center"/>
    </w:pPr>
    <w:rPr>
      <w:kern w:val="2"/>
      <w:sz w:val="22"/>
      <w:szCs w:val="22"/>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Pr>
    <w:trPr>
      <w:jc w:val="center"/>
    </w:trPr>
    <w:tcPr>
      <w:vAlign w:val="center"/>
    </w:tcPr>
  </w:style>
  <w:style w:type="paragraph" w:customStyle="1" w:styleId="210">
    <w:name w:val="Table Paragraph"/>
    <w:basedOn w:val="1"/>
    <w:qFormat/>
    <w:uiPriority w:val="1"/>
    <w:pPr>
      <w:adjustRightInd/>
      <w:snapToGrid/>
      <w:spacing w:line="240" w:lineRule="auto"/>
      <w:ind w:firstLine="0" w:firstLineChars="0"/>
    </w:pPr>
    <w:rPr>
      <w:rFonts w:ascii="Calibri" w:hAnsi="Calibri"/>
      <w:kern w:val="0"/>
      <w:sz w:val="22"/>
      <w:lang w:eastAsia="en-US"/>
    </w:rPr>
  </w:style>
  <w:style w:type="character" w:customStyle="1" w:styleId="211">
    <w:name w:val="纯文本 Char2"/>
    <w:qFormat/>
    <w:uiPriority w:val="0"/>
    <w:rPr>
      <w:rFonts w:ascii="宋体" w:hAnsi="Courier New" w:eastAsia="宋体" w:cs="Times New Roman"/>
      <w:szCs w:val="20"/>
    </w:rPr>
  </w:style>
  <w:style w:type="character" w:customStyle="1" w:styleId="212">
    <w:name w:val="正文文本缩进 字符"/>
    <w:basedOn w:val="132"/>
    <w:link w:val="35"/>
    <w:qFormat/>
    <w:uiPriority w:val="0"/>
    <w:rPr>
      <w:kern w:val="2"/>
      <w:sz w:val="26"/>
      <w:szCs w:val="22"/>
    </w:rPr>
  </w:style>
  <w:style w:type="character" w:customStyle="1" w:styleId="213">
    <w:name w:val="表格 Char Char"/>
    <w:qFormat/>
    <w:uiPriority w:val="0"/>
    <w:rPr>
      <w:rFonts w:eastAsia="宋体"/>
      <w:spacing w:val="10"/>
    </w:rPr>
  </w:style>
  <w:style w:type="paragraph" w:customStyle="1" w:styleId="214">
    <w:name w:val="修订1"/>
    <w:hidden/>
    <w:semiHidden/>
    <w:qFormat/>
    <w:uiPriority w:val="99"/>
    <w:rPr>
      <w:rFonts w:ascii="Times New Roman" w:hAnsi="Times New Roman" w:eastAsia="宋体" w:cs="Times New Roman"/>
      <w:kern w:val="2"/>
      <w:sz w:val="26"/>
      <w:szCs w:val="22"/>
      <w:lang w:val="en-US" w:eastAsia="zh-CN" w:bidi="ar-SA"/>
    </w:rPr>
  </w:style>
  <w:style w:type="paragraph" w:customStyle="1" w:styleId="215">
    <w:name w:val="样式1"/>
    <w:basedOn w:val="1"/>
    <w:link w:val="216"/>
    <w:qFormat/>
    <w:uiPriority w:val="0"/>
    <w:pPr>
      <w:ind w:firstLine="520"/>
      <w:jc w:val="both"/>
    </w:pPr>
    <w:rPr>
      <w:szCs w:val="26"/>
    </w:rPr>
  </w:style>
  <w:style w:type="character" w:customStyle="1" w:styleId="216">
    <w:name w:val="样式1 Char"/>
    <w:link w:val="215"/>
    <w:qFormat/>
    <w:uiPriority w:val="0"/>
    <w:rPr>
      <w:rFonts w:ascii="Times New Roman" w:hAnsi="Times New Roman"/>
      <w:kern w:val="2"/>
      <w:sz w:val="26"/>
      <w:szCs w:val="26"/>
    </w:rPr>
  </w:style>
  <w:style w:type="paragraph" w:customStyle="1" w:styleId="217">
    <w:name w:val="03表格文本"/>
    <w:basedOn w:val="1"/>
    <w:link w:val="218"/>
    <w:qFormat/>
    <w:uiPriority w:val="0"/>
    <w:pPr>
      <w:spacing w:line="360" w:lineRule="exact"/>
      <w:ind w:firstLine="0" w:firstLineChars="0"/>
      <w:jc w:val="center"/>
    </w:pPr>
    <w:rPr>
      <w:sz w:val="22"/>
    </w:rPr>
  </w:style>
  <w:style w:type="character" w:customStyle="1" w:styleId="218">
    <w:name w:val="03表格文本 Char"/>
    <w:link w:val="217"/>
    <w:qFormat/>
    <w:uiPriority w:val="0"/>
    <w:rPr>
      <w:rFonts w:ascii="Times New Roman" w:hAnsi="Times New Roman"/>
      <w:kern w:val="2"/>
      <w:sz w:val="22"/>
      <w:szCs w:val="22"/>
    </w:rPr>
  </w:style>
  <w:style w:type="paragraph" w:customStyle="1" w:styleId="219">
    <w:name w:val="A表格内居中文字"/>
    <w:basedOn w:val="1"/>
    <w:link w:val="3234"/>
    <w:qFormat/>
    <w:uiPriority w:val="0"/>
    <w:pPr>
      <w:adjustRightInd/>
      <w:snapToGrid/>
      <w:spacing w:line="240" w:lineRule="auto"/>
      <w:ind w:firstLine="0" w:firstLineChars="0"/>
      <w:jc w:val="center"/>
    </w:pPr>
    <w:rPr>
      <w:sz w:val="22"/>
      <w:szCs w:val="24"/>
    </w:rPr>
  </w:style>
  <w:style w:type="paragraph" w:customStyle="1" w:styleId="220">
    <w:name w:val="1正文"/>
    <w:basedOn w:val="1"/>
    <w:link w:val="221"/>
    <w:qFormat/>
    <w:uiPriority w:val="0"/>
    <w:pPr>
      <w:ind w:firstLine="520"/>
      <w:jc w:val="both"/>
    </w:pPr>
    <w:rPr>
      <w:rFonts w:hAnsi="宋体"/>
      <w:szCs w:val="26"/>
    </w:rPr>
  </w:style>
  <w:style w:type="character" w:customStyle="1" w:styleId="221">
    <w:name w:val="1正文 Char"/>
    <w:link w:val="220"/>
    <w:qFormat/>
    <w:uiPriority w:val="0"/>
    <w:rPr>
      <w:rFonts w:ascii="Times New Roman" w:hAnsi="宋体"/>
      <w:kern w:val="2"/>
      <w:sz w:val="26"/>
      <w:szCs w:val="26"/>
    </w:rPr>
  </w:style>
  <w:style w:type="paragraph" w:customStyle="1" w:styleId="222">
    <w:name w:val="0A正文"/>
    <w:basedOn w:val="1"/>
    <w:link w:val="223"/>
    <w:qFormat/>
    <w:uiPriority w:val="0"/>
    <w:pPr>
      <w:spacing w:line="360" w:lineRule="auto"/>
      <w:ind w:firstLine="480"/>
      <w:jc w:val="both"/>
    </w:pPr>
    <w:rPr>
      <w:sz w:val="24"/>
      <w:szCs w:val="24"/>
    </w:rPr>
  </w:style>
  <w:style w:type="character" w:customStyle="1" w:styleId="223">
    <w:name w:val="0A正文 字符"/>
    <w:link w:val="222"/>
    <w:qFormat/>
    <w:uiPriority w:val="0"/>
    <w:rPr>
      <w:kern w:val="2"/>
      <w:sz w:val="24"/>
      <w:szCs w:val="24"/>
    </w:rPr>
  </w:style>
  <w:style w:type="paragraph" w:customStyle="1" w:styleId="224">
    <w:name w:val="样式4"/>
    <w:basedOn w:val="1"/>
    <w:link w:val="253"/>
    <w:qFormat/>
    <w:uiPriority w:val="0"/>
    <w:pPr>
      <w:numPr>
        <w:ilvl w:val="3"/>
        <w:numId w:val="6"/>
      </w:numPr>
      <w:adjustRightInd/>
      <w:snapToGrid/>
      <w:spacing w:beforeLines="10" w:line="360" w:lineRule="auto"/>
      <w:ind w:firstLine="0" w:firstLineChars="0"/>
      <w:jc w:val="both"/>
      <w:outlineLvl w:val="3"/>
    </w:pPr>
    <w:rPr>
      <w:rFonts w:cs="宋体"/>
      <w:b/>
      <w:color w:val="000000"/>
      <w:kern w:val="0"/>
      <w:szCs w:val="24"/>
    </w:rPr>
  </w:style>
  <w:style w:type="paragraph" w:customStyle="1" w:styleId="225">
    <w:name w:val="正文01"/>
    <w:basedOn w:val="1"/>
    <w:link w:val="257"/>
    <w:qFormat/>
    <w:uiPriority w:val="0"/>
    <w:pPr>
      <w:adjustRightInd/>
      <w:snapToGrid/>
      <w:spacing w:before="60" w:line="460" w:lineRule="exact"/>
      <w:jc w:val="both"/>
    </w:pPr>
    <w:rPr>
      <w:bCs/>
      <w:sz w:val="24"/>
      <w:szCs w:val="24"/>
    </w:rPr>
  </w:style>
  <w:style w:type="paragraph" w:customStyle="1" w:styleId="226">
    <w:name w:val="Char2"/>
    <w:basedOn w:val="1"/>
    <w:qFormat/>
    <w:uiPriority w:val="0"/>
    <w:pPr>
      <w:adjustRightInd/>
      <w:snapToGrid/>
      <w:spacing w:line="360" w:lineRule="auto"/>
      <w:jc w:val="both"/>
    </w:pPr>
    <w:rPr>
      <w:rFonts w:ascii="宋体" w:hAnsi="宋体" w:cs="宋体"/>
      <w:sz w:val="24"/>
      <w:szCs w:val="26"/>
    </w:rPr>
  </w:style>
  <w:style w:type="paragraph" w:customStyle="1" w:styleId="227">
    <w:name w:val="01正文"/>
    <w:basedOn w:val="1"/>
    <w:link w:val="228"/>
    <w:qFormat/>
    <w:uiPriority w:val="0"/>
    <w:pPr>
      <w:ind w:firstLine="520"/>
      <w:jc w:val="both"/>
    </w:pPr>
    <w:rPr>
      <w:szCs w:val="26"/>
    </w:rPr>
  </w:style>
  <w:style w:type="character" w:customStyle="1" w:styleId="228">
    <w:name w:val="01正文 Char"/>
    <w:basedOn w:val="132"/>
    <w:link w:val="227"/>
    <w:qFormat/>
    <w:uiPriority w:val="0"/>
    <w:rPr>
      <w:rFonts w:ascii="Times New Roman" w:hAnsi="Times New Roman"/>
      <w:kern w:val="2"/>
      <w:sz w:val="26"/>
      <w:szCs w:val="26"/>
    </w:rPr>
  </w:style>
  <w:style w:type="character" w:customStyle="1" w:styleId="229">
    <w:name w:val="apple-converted-space"/>
    <w:basedOn w:val="132"/>
    <w:qFormat/>
    <w:uiPriority w:val="0"/>
  </w:style>
  <w:style w:type="paragraph" w:customStyle="1" w:styleId="230">
    <w:name w:val="Char1"/>
    <w:basedOn w:val="1"/>
    <w:qFormat/>
    <w:uiPriority w:val="0"/>
    <w:pPr>
      <w:adjustRightInd/>
      <w:snapToGrid/>
      <w:spacing w:line="360" w:lineRule="auto"/>
      <w:jc w:val="both"/>
    </w:pPr>
    <w:rPr>
      <w:rFonts w:ascii="宋体" w:hAnsi="宋体" w:cs="宋体"/>
      <w:sz w:val="24"/>
      <w:szCs w:val="26"/>
    </w:rPr>
  </w:style>
  <w:style w:type="paragraph" w:customStyle="1" w:styleId="231">
    <w:name w:val="插图标题"/>
    <w:basedOn w:val="1"/>
    <w:link w:val="232"/>
    <w:qFormat/>
    <w:uiPriority w:val="0"/>
    <w:pPr>
      <w:spacing w:beforeLines="10" w:line="460" w:lineRule="exact"/>
      <w:ind w:firstLine="0" w:firstLineChars="0"/>
      <w:jc w:val="center"/>
    </w:pPr>
    <w:rPr>
      <w:b/>
      <w:snapToGrid w:val="0"/>
      <w:kern w:val="0"/>
      <w:sz w:val="24"/>
      <w:szCs w:val="24"/>
    </w:rPr>
  </w:style>
  <w:style w:type="character" w:customStyle="1" w:styleId="232">
    <w:name w:val="插图标题 Char"/>
    <w:link w:val="231"/>
    <w:qFormat/>
    <w:uiPriority w:val="0"/>
    <w:rPr>
      <w:rFonts w:ascii="Times New Roman" w:hAnsi="Times New Roman"/>
      <w:b/>
      <w:snapToGrid w:val="0"/>
      <w:sz w:val="24"/>
      <w:szCs w:val="24"/>
    </w:rPr>
  </w:style>
  <w:style w:type="character" w:customStyle="1" w:styleId="233">
    <w:name w:val="HTML 预设格式 字符"/>
    <w:basedOn w:val="132"/>
    <w:link w:val="80"/>
    <w:qFormat/>
    <w:uiPriority w:val="0"/>
    <w:rPr>
      <w:rFonts w:ascii="宋体" w:hAnsi="宋体" w:cs="宋体"/>
      <w:sz w:val="24"/>
      <w:szCs w:val="24"/>
    </w:rPr>
  </w:style>
  <w:style w:type="paragraph" w:customStyle="1" w:styleId="234">
    <w:name w:val="表格样式"/>
    <w:basedOn w:val="1"/>
    <w:link w:val="235"/>
    <w:qFormat/>
    <w:uiPriority w:val="0"/>
    <w:pPr>
      <w:adjustRightInd/>
      <w:snapToGrid/>
      <w:spacing w:line="320" w:lineRule="exact"/>
      <w:ind w:firstLine="0" w:firstLineChars="0"/>
      <w:contextualSpacing/>
      <w:jc w:val="both"/>
    </w:pPr>
    <w:rPr>
      <w:sz w:val="22"/>
      <w:szCs w:val="24"/>
    </w:rPr>
  </w:style>
  <w:style w:type="character" w:customStyle="1" w:styleId="235">
    <w:name w:val="表格样式 Char"/>
    <w:link w:val="234"/>
    <w:qFormat/>
    <w:uiPriority w:val="0"/>
    <w:rPr>
      <w:rFonts w:ascii="Times New Roman" w:hAnsi="Times New Roman"/>
      <w:kern w:val="2"/>
      <w:sz w:val="22"/>
      <w:szCs w:val="24"/>
    </w:rPr>
  </w:style>
  <w:style w:type="paragraph" w:customStyle="1" w:styleId="236">
    <w:name w:val="表"/>
    <w:basedOn w:val="1"/>
    <w:link w:val="237"/>
    <w:qFormat/>
    <w:uiPriority w:val="0"/>
    <w:pPr>
      <w:adjustRightInd/>
      <w:snapToGrid/>
      <w:spacing w:line="240" w:lineRule="auto"/>
      <w:ind w:firstLine="0" w:firstLineChars="0"/>
      <w:jc w:val="both"/>
    </w:pPr>
    <w:rPr>
      <w:kern w:val="0"/>
      <w:szCs w:val="20"/>
    </w:rPr>
  </w:style>
  <w:style w:type="character" w:customStyle="1" w:styleId="237">
    <w:name w:val="表 Char"/>
    <w:link w:val="236"/>
    <w:qFormat/>
    <w:uiPriority w:val="0"/>
    <w:rPr>
      <w:rFonts w:ascii="Times New Roman" w:hAnsi="Times New Roman"/>
      <w:sz w:val="26"/>
    </w:rPr>
  </w:style>
  <w:style w:type="paragraph" w:customStyle="1" w:styleId="238">
    <w:name w:val="流程图"/>
    <w:basedOn w:val="1"/>
    <w:qFormat/>
    <w:uiPriority w:val="0"/>
    <w:pPr>
      <w:tabs>
        <w:tab w:val="left" w:pos="0"/>
      </w:tabs>
      <w:autoSpaceDE w:val="0"/>
      <w:autoSpaceDN w:val="0"/>
      <w:snapToGrid/>
      <w:spacing w:line="240" w:lineRule="atLeast"/>
      <w:jc w:val="center"/>
      <w:textAlignment w:val="bottom"/>
    </w:pPr>
    <w:rPr>
      <w:rFonts w:ascii="宋体"/>
      <w:sz w:val="21"/>
      <w:szCs w:val="20"/>
    </w:rPr>
  </w:style>
  <w:style w:type="paragraph" w:customStyle="1" w:styleId="239">
    <w:name w:val="正文四号"/>
    <w:basedOn w:val="1"/>
    <w:link w:val="240"/>
    <w:qFormat/>
    <w:uiPriority w:val="0"/>
    <w:pPr>
      <w:spacing w:line="360" w:lineRule="auto"/>
      <w:ind w:firstLine="480"/>
      <w:jc w:val="both"/>
    </w:pPr>
    <w:rPr>
      <w:rFonts w:cs="宋体"/>
      <w:sz w:val="24"/>
      <w:szCs w:val="24"/>
    </w:rPr>
  </w:style>
  <w:style w:type="character" w:customStyle="1" w:styleId="240">
    <w:name w:val="正文四号 Char"/>
    <w:link w:val="239"/>
    <w:qFormat/>
    <w:uiPriority w:val="0"/>
    <w:rPr>
      <w:rFonts w:cs="宋体"/>
      <w:kern w:val="2"/>
      <w:sz w:val="24"/>
      <w:szCs w:val="24"/>
    </w:rPr>
  </w:style>
  <w:style w:type="paragraph" w:customStyle="1" w:styleId="241">
    <w:name w:val="样式20"/>
    <w:basedOn w:val="1"/>
    <w:qFormat/>
    <w:uiPriority w:val="0"/>
    <w:pPr>
      <w:spacing w:line="320" w:lineRule="exact"/>
      <w:ind w:firstLine="0" w:firstLineChars="0"/>
      <w:jc w:val="center"/>
    </w:pPr>
    <w:rPr>
      <w:rFonts w:ascii="宋体" w:hAnsi="宋体"/>
      <w:sz w:val="22"/>
    </w:rPr>
  </w:style>
  <w:style w:type="character" w:customStyle="1" w:styleId="242">
    <w:name w:val="正文缩进 字符"/>
    <w:link w:val="21"/>
    <w:qFormat/>
    <w:uiPriority w:val="0"/>
    <w:rPr>
      <w:rFonts w:ascii="Times New Roman" w:hAnsi="Times New Roman"/>
      <w:b/>
      <w:color w:val="000000"/>
      <w:sz w:val="24"/>
      <w:szCs w:val="24"/>
    </w:rPr>
  </w:style>
  <w:style w:type="paragraph" w:customStyle="1" w:styleId="243">
    <w:name w:val="图表"/>
    <w:basedOn w:val="1"/>
    <w:qFormat/>
    <w:uiPriority w:val="0"/>
    <w:pPr>
      <w:autoSpaceDE w:val="0"/>
      <w:autoSpaceDN w:val="0"/>
      <w:spacing w:line="460" w:lineRule="exact"/>
      <w:jc w:val="center"/>
    </w:pPr>
    <w:rPr>
      <w:kern w:val="0"/>
      <w:szCs w:val="24"/>
    </w:rPr>
  </w:style>
  <w:style w:type="paragraph" w:customStyle="1" w:styleId="244">
    <w:name w:val="样式 13 磅 行距: 固定值 23 磅 首行缩进:  2 字符"/>
    <w:basedOn w:val="1"/>
    <w:link w:val="245"/>
    <w:qFormat/>
    <w:uiPriority w:val="0"/>
    <w:pPr>
      <w:spacing w:line="460" w:lineRule="exact"/>
      <w:ind w:firstLine="520"/>
      <w:jc w:val="both"/>
    </w:pPr>
    <w:rPr>
      <w:rFonts w:cs="宋体"/>
      <w:szCs w:val="20"/>
    </w:rPr>
  </w:style>
  <w:style w:type="character" w:customStyle="1" w:styleId="245">
    <w:name w:val="样式 13 磅 行距: 固定值 23 磅 首行缩进:  2 字符 Char"/>
    <w:link w:val="244"/>
    <w:qFormat/>
    <w:uiPriority w:val="0"/>
    <w:rPr>
      <w:rFonts w:ascii="Times New Roman" w:hAnsi="Times New Roman" w:cs="宋体"/>
      <w:kern w:val="2"/>
      <w:sz w:val="26"/>
    </w:rPr>
  </w:style>
  <w:style w:type="character" w:customStyle="1" w:styleId="246">
    <w:name w:val="无间隔 字符"/>
    <w:link w:val="163"/>
    <w:qFormat/>
    <w:uiPriority w:val="0"/>
    <w:rPr>
      <w:rFonts w:ascii="Times New Roman" w:hAnsi="Times New Roman"/>
      <w:kern w:val="2"/>
      <w:sz w:val="26"/>
      <w:szCs w:val="22"/>
    </w:rPr>
  </w:style>
  <w:style w:type="character" w:customStyle="1" w:styleId="247">
    <w:name w:val="批注文字 Char1"/>
    <w:qFormat/>
    <w:uiPriority w:val="0"/>
    <w:rPr>
      <w:rFonts w:ascii="Times New Roman" w:hAnsi="Times New Roman" w:eastAsia="宋体" w:cs="Times New Roman"/>
      <w:snapToGrid/>
      <w:kern w:val="0"/>
      <w:sz w:val="24"/>
      <w:szCs w:val="24"/>
    </w:rPr>
  </w:style>
  <w:style w:type="character" w:customStyle="1" w:styleId="248">
    <w:name w:val="尾注文本 字符"/>
    <w:basedOn w:val="132"/>
    <w:link w:val="52"/>
    <w:qFormat/>
    <w:uiPriority w:val="0"/>
    <w:rPr>
      <w:color w:val="FF0000"/>
      <w:kern w:val="2"/>
      <w:sz w:val="21"/>
      <w:szCs w:val="21"/>
    </w:rPr>
  </w:style>
  <w:style w:type="paragraph" w:customStyle="1" w:styleId="249">
    <w:name w:val="表格样式1"/>
    <w:basedOn w:val="1"/>
    <w:link w:val="250"/>
    <w:qFormat/>
    <w:uiPriority w:val="0"/>
    <w:pPr>
      <w:adjustRightInd/>
      <w:snapToGrid/>
      <w:spacing w:line="320" w:lineRule="exact"/>
      <w:ind w:firstLine="0" w:firstLineChars="0"/>
      <w:jc w:val="center"/>
    </w:pPr>
    <w:rPr>
      <w:bCs/>
      <w:sz w:val="21"/>
    </w:rPr>
  </w:style>
  <w:style w:type="character" w:customStyle="1" w:styleId="250">
    <w:name w:val="表格样式1 Char"/>
    <w:link w:val="249"/>
    <w:qFormat/>
    <w:uiPriority w:val="0"/>
    <w:rPr>
      <w:rFonts w:ascii="Times New Roman" w:hAnsi="Times New Roman"/>
      <w:bCs/>
      <w:kern w:val="2"/>
      <w:sz w:val="21"/>
      <w:szCs w:val="22"/>
    </w:rPr>
  </w:style>
  <w:style w:type="paragraph" w:customStyle="1" w:styleId="251">
    <w:name w:val="p0"/>
    <w:basedOn w:val="1"/>
    <w:qFormat/>
    <w:uiPriority w:val="0"/>
    <w:pPr>
      <w:widowControl/>
      <w:adjustRightInd/>
      <w:snapToGrid/>
      <w:spacing w:line="440" w:lineRule="exact"/>
      <w:jc w:val="both"/>
    </w:pPr>
    <w:rPr>
      <w:rFonts w:ascii="宋体" w:hAnsi="Calibri"/>
      <w:kern w:val="0"/>
      <w:sz w:val="24"/>
      <w:szCs w:val="21"/>
    </w:rPr>
  </w:style>
  <w:style w:type="character" w:customStyle="1" w:styleId="252">
    <w:name w:val="fontstyle11"/>
    <w:basedOn w:val="132"/>
    <w:qFormat/>
    <w:uiPriority w:val="0"/>
    <w:rPr>
      <w:rFonts w:hint="eastAsia" w:ascii="宋体" w:hAnsi="宋体" w:eastAsia="宋体"/>
      <w:color w:val="000000"/>
      <w:sz w:val="24"/>
      <w:szCs w:val="24"/>
    </w:rPr>
  </w:style>
  <w:style w:type="character" w:customStyle="1" w:styleId="253">
    <w:name w:val="样式4 Char"/>
    <w:link w:val="224"/>
    <w:qFormat/>
    <w:uiPriority w:val="0"/>
    <w:rPr>
      <w:rFonts w:ascii="Times New Roman" w:hAnsi="Times New Roman" w:cs="宋体"/>
      <w:b/>
      <w:color w:val="000000"/>
      <w:sz w:val="26"/>
      <w:szCs w:val="24"/>
    </w:rPr>
  </w:style>
  <w:style w:type="paragraph" w:customStyle="1" w:styleId="254">
    <w:name w:val="标题1"/>
    <w:basedOn w:val="1"/>
    <w:link w:val="305"/>
    <w:qFormat/>
    <w:uiPriority w:val="0"/>
    <w:pPr>
      <w:widowControl/>
      <w:adjustRightInd/>
      <w:spacing w:beforeLines="50" w:afterLines="50" w:line="500" w:lineRule="atLeast"/>
      <w:ind w:firstLine="0" w:firstLineChars="0"/>
      <w:jc w:val="center"/>
      <w:outlineLvl w:val="0"/>
    </w:pPr>
    <w:rPr>
      <w:rFonts w:ascii="黑体" w:eastAsiaTheme="majorEastAsia"/>
      <w:b/>
      <w:kern w:val="0"/>
      <w:sz w:val="36"/>
      <w:szCs w:val="26"/>
    </w:rPr>
  </w:style>
  <w:style w:type="paragraph" w:customStyle="1" w:styleId="255">
    <w:name w:val="表格序号"/>
    <w:basedOn w:val="1"/>
    <w:qFormat/>
    <w:uiPriority w:val="0"/>
    <w:pPr>
      <w:widowControl/>
      <w:adjustRightInd/>
      <w:snapToGrid/>
      <w:spacing w:beforeLines="50" w:line="460" w:lineRule="exact"/>
      <w:ind w:firstLine="0" w:firstLineChars="0"/>
      <w:jc w:val="center"/>
    </w:pPr>
    <w:rPr>
      <w:rFonts w:eastAsiaTheme="minorEastAsia"/>
      <w:b/>
      <w:color w:val="000000"/>
      <w:szCs w:val="24"/>
    </w:rPr>
  </w:style>
  <w:style w:type="paragraph" w:customStyle="1" w:styleId="256">
    <w:name w:val="acee正文"/>
    <w:basedOn w:val="1"/>
    <w:qFormat/>
    <w:uiPriority w:val="0"/>
    <w:pPr>
      <w:widowControl/>
      <w:adjustRightInd/>
      <w:snapToGrid/>
      <w:ind w:firstLine="640"/>
    </w:pPr>
    <w:rPr>
      <w:rFonts w:ascii="仿宋_GB2312" w:hAnsi="宋体" w:eastAsia="仿宋_GB2312"/>
      <w:kern w:val="0"/>
      <w:sz w:val="32"/>
      <w:szCs w:val="24"/>
    </w:rPr>
  </w:style>
  <w:style w:type="character" w:customStyle="1" w:styleId="257">
    <w:name w:val="正文01 Char"/>
    <w:link w:val="225"/>
    <w:qFormat/>
    <w:uiPriority w:val="0"/>
    <w:rPr>
      <w:rFonts w:ascii="Times New Roman" w:hAnsi="Times New Roman"/>
      <w:bCs/>
      <w:kern w:val="2"/>
      <w:sz w:val="24"/>
      <w:szCs w:val="24"/>
    </w:rPr>
  </w:style>
  <w:style w:type="paragraph" w:customStyle="1" w:styleId="258">
    <w:name w:val="二级标题"/>
    <w:next w:val="1"/>
    <w:link w:val="3198"/>
    <w:qFormat/>
    <w:uiPriority w:val="2"/>
    <w:pPr>
      <w:spacing w:before="120" w:after="120"/>
    </w:pPr>
    <w:rPr>
      <w:rFonts w:ascii="Times New Roman" w:hAnsi="Times New Roman" w:eastAsia="宋体" w:cs="Times New Roman"/>
      <w:b/>
      <w:sz w:val="28"/>
      <w:lang w:val="en-US" w:eastAsia="zh-CN" w:bidi="ar-SA"/>
    </w:rPr>
  </w:style>
  <w:style w:type="paragraph" w:customStyle="1" w:styleId="259">
    <w:name w:val="xl31"/>
    <w:basedOn w:val="1"/>
    <w:qFormat/>
    <w:uiPriority w:val="0"/>
    <w:pPr>
      <w:widowControl/>
      <w:adjustRightInd/>
      <w:snapToGrid/>
      <w:spacing w:before="100" w:beforeAutospacing="1" w:after="100" w:afterAutospacing="1" w:line="240" w:lineRule="auto"/>
      <w:ind w:firstLine="0" w:firstLineChars="0"/>
      <w:jc w:val="center"/>
    </w:pPr>
    <w:rPr>
      <w:kern w:val="0"/>
      <w:sz w:val="24"/>
      <w:szCs w:val="24"/>
    </w:rPr>
  </w:style>
  <w:style w:type="paragraph" w:customStyle="1" w:styleId="260">
    <w:name w:val="无缩进正文"/>
    <w:basedOn w:val="1"/>
    <w:link w:val="261"/>
    <w:qFormat/>
    <w:uiPriority w:val="0"/>
    <w:pPr>
      <w:widowControl/>
      <w:adjustRightInd/>
      <w:snapToGrid/>
      <w:ind w:firstLine="0" w:firstLineChars="0"/>
      <w:jc w:val="center"/>
    </w:pPr>
    <w:rPr>
      <w:rFonts w:eastAsiaTheme="minorEastAsia" w:cstheme="minorBidi"/>
      <w:bCs/>
      <w:sz w:val="24"/>
      <w:szCs w:val="24"/>
    </w:rPr>
  </w:style>
  <w:style w:type="character" w:customStyle="1" w:styleId="261">
    <w:name w:val="无缩进正文 Char"/>
    <w:basedOn w:val="132"/>
    <w:link w:val="260"/>
    <w:qFormat/>
    <w:uiPriority w:val="0"/>
    <w:rPr>
      <w:rFonts w:ascii="Times New Roman" w:hAnsi="Times New Roman" w:eastAsiaTheme="minorEastAsia" w:cstheme="minorBidi"/>
      <w:bCs/>
      <w:kern w:val="2"/>
      <w:sz w:val="24"/>
      <w:szCs w:val="24"/>
    </w:rPr>
  </w:style>
  <w:style w:type="paragraph" w:customStyle="1" w:styleId="262">
    <w:name w:val="默认段落字体 Para Char Char Char Char"/>
    <w:basedOn w:val="1"/>
    <w:qFormat/>
    <w:uiPriority w:val="0"/>
    <w:pPr>
      <w:widowControl/>
      <w:adjustRightInd/>
      <w:snapToGrid/>
      <w:spacing w:beforeLines="100" w:afterLines="50" w:line="600" w:lineRule="exact"/>
    </w:pPr>
    <w:rPr>
      <w:rFonts w:eastAsia="黑体"/>
      <w:kern w:val="0"/>
      <w:sz w:val="28"/>
      <w:szCs w:val="24"/>
    </w:rPr>
  </w:style>
  <w:style w:type="paragraph" w:customStyle="1" w:styleId="263">
    <w:name w:val="A图片格式"/>
    <w:basedOn w:val="222"/>
    <w:qFormat/>
    <w:uiPriority w:val="0"/>
    <w:pPr>
      <w:spacing w:line="240" w:lineRule="atLeast"/>
      <w:ind w:firstLine="0" w:firstLineChars="0"/>
      <w:jc w:val="center"/>
    </w:pPr>
    <w:rPr>
      <w:rFonts w:eastAsiaTheme="majorEastAsia"/>
    </w:rPr>
  </w:style>
  <w:style w:type="paragraph" w:customStyle="1" w:styleId="264">
    <w:name w:val="表内字体111"/>
    <w:basedOn w:val="1"/>
    <w:link w:val="265"/>
    <w:qFormat/>
    <w:uiPriority w:val="0"/>
    <w:pPr>
      <w:spacing w:line="240" w:lineRule="auto"/>
      <w:ind w:firstLine="0" w:firstLineChars="0"/>
      <w:jc w:val="center"/>
    </w:pPr>
    <w:rPr>
      <w:snapToGrid w:val="0"/>
      <w:kern w:val="0"/>
      <w:sz w:val="21"/>
      <w:szCs w:val="24"/>
    </w:rPr>
  </w:style>
  <w:style w:type="character" w:customStyle="1" w:styleId="265">
    <w:name w:val="表内字体111 Char"/>
    <w:link w:val="264"/>
    <w:qFormat/>
    <w:uiPriority w:val="0"/>
    <w:rPr>
      <w:rFonts w:ascii="Times New Roman" w:hAnsi="Times New Roman"/>
      <w:snapToGrid w:val="0"/>
      <w:sz w:val="21"/>
      <w:szCs w:val="24"/>
    </w:rPr>
  </w:style>
  <w:style w:type="paragraph" w:customStyle="1" w:styleId="266">
    <w:name w:val="Char Char Char Char Char Char Char"/>
    <w:basedOn w:val="1"/>
    <w:link w:val="969"/>
    <w:qFormat/>
    <w:uiPriority w:val="0"/>
    <w:pPr>
      <w:adjustRightInd/>
      <w:snapToGrid/>
      <w:spacing w:line="240" w:lineRule="auto"/>
      <w:ind w:firstLine="0" w:firstLineChars="0"/>
      <w:jc w:val="both"/>
    </w:pPr>
    <w:rPr>
      <w:sz w:val="21"/>
      <w:szCs w:val="24"/>
    </w:rPr>
  </w:style>
  <w:style w:type="paragraph" w:customStyle="1" w:styleId="267">
    <w:name w:val="表头11"/>
    <w:basedOn w:val="1"/>
    <w:link w:val="268"/>
    <w:qFormat/>
    <w:uiPriority w:val="0"/>
    <w:pPr>
      <w:spacing w:beforeLines="30" w:afterLines="10" w:line="460" w:lineRule="exact"/>
      <w:ind w:firstLine="0" w:firstLineChars="0"/>
      <w:jc w:val="center"/>
    </w:pPr>
    <w:rPr>
      <w:b/>
      <w:snapToGrid w:val="0"/>
      <w:kern w:val="0"/>
      <w:sz w:val="24"/>
      <w:szCs w:val="24"/>
    </w:rPr>
  </w:style>
  <w:style w:type="character" w:customStyle="1" w:styleId="268">
    <w:name w:val="表头11 Char"/>
    <w:link w:val="267"/>
    <w:qFormat/>
    <w:uiPriority w:val="0"/>
    <w:rPr>
      <w:rFonts w:ascii="Times New Roman" w:hAnsi="Times New Roman"/>
      <w:b/>
      <w:snapToGrid w:val="0"/>
      <w:sz w:val="24"/>
      <w:szCs w:val="24"/>
    </w:rPr>
  </w:style>
  <w:style w:type="character" w:customStyle="1" w:styleId="269">
    <w:name w:val="03表格文字 Char"/>
    <w:link w:val="270"/>
    <w:qFormat/>
    <w:uiPriority w:val="0"/>
    <w:rPr>
      <w:sz w:val="22"/>
    </w:rPr>
  </w:style>
  <w:style w:type="paragraph" w:customStyle="1" w:styleId="270">
    <w:name w:val="03表格文字"/>
    <w:basedOn w:val="1"/>
    <w:link w:val="269"/>
    <w:qFormat/>
    <w:uiPriority w:val="0"/>
    <w:pPr>
      <w:spacing w:beforeLines="10" w:afterLines="10" w:line="360" w:lineRule="exact"/>
      <w:jc w:val="center"/>
    </w:pPr>
    <w:rPr>
      <w:rFonts w:ascii="Calibri" w:hAnsi="Calibri"/>
      <w:kern w:val="0"/>
      <w:sz w:val="22"/>
      <w:szCs w:val="20"/>
    </w:rPr>
  </w:style>
  <w:style w:type="paragraph" w:customStyle="1" w:styleId="271">
    <w:name w:val="样式 样式 纯文本 + (符号) 宋体 小四 段后: 0.5 行 行距: 1.5 倍行距 + 首行缩进:  1.5 字符"/>
    <w:basedOn w:val="1"/>
    <w:qFormat/>
    <w:uiPriority w:val="0"/>
    <w:pPr>
      <w:adjustRightInd/>
      <w:snapToGrid/>
      <w:spacing w:beforeLines="30" w:afterLines="30" w:line="360" w:lineRule="auto"/>
      <w:jc w:val="both"/>
    </w:pPr>
    <w:rPr>
      <w:rFonts w:ascii="新宋体" w:hAnsi="宋体" w:eastAsia="新宋体" w:cs="宋体"/>
      <w:w w:val="90"/>
      <w:kern w:val="0"/>
      <w:sz w:val="22"/>
    </w:rPr>
  </w:style>
  <w:style w:type="paragraph" w:customStyle="1" w:styleId="272">
    <w:name w:val="reader-word-layer"/>
    <w:basedOn w:val="1"/>
    <w:qFormat/>
    <w:uiPriority w:val="0"/>
    <w:pPr>
      <w:widowControl/>
      <w:adjustRightInd/>
      <w:snapToGrid/>
      <w:spacing w:beforeLines="10" w:beforeAutospacing="1" w:afterLines="10" w:afterAutospacing="1" w:line="360" w:lineRule="auto"/>
    </w:pPr>
    <w:rPr>
      <w:rFonts w:ascii="宋体" w:hAnsi="宋体" w:cs="宋体"/>
      <w:kern w:val="0"/>
      <w:sz w:val="24"/>
      <w:szCs w:val="24"/>
    </w:rPr>
  </w:style>
  <w:style w:type="character" w:customStyle="1" w:styleId="273">
    <w:name w:val="正文文本缩进 2 字符"/>
    <w:basedOn w:val="132"/>
    <w:link w:val="51"/>
    <w:qFormat/>
    <w:uiPriority w:val="0"/>
    <w:rPr>
      <w:rFonts w:ascii="Times New Roman" w:hAnsi="Times New Roman"/>
      <w:kern w:val="2"/>
      <w:sz w:val="24"/>
      <w:szCs w:val="24"/>
    </w:rPr>
  </w:style>
  <w:style w:type="paragraph" w:customStyle="1" w:styleId="274">
    <w:name w:val="默认段落字体 Para Char"/>
    <w:basedOn w:val="1"/>
    <w:next w:val="1"/>
    <w:link w:val="765"/>
    <w:qFormat/>
    <w:uiPriority w:val="0"/>
    <w:pPr>
      <w:adjustRightInd/>
      <w:snapToGrid/>
      <w:spacing w:beforeLines="10" w:afterLines="10" w:line="360" w:lineRule="auto"/>
      <w:jc w:val="both"/>
    </w:pPr>
    <w:rPr>
      <w:rFonts w:ascii="宋体" w:hAnsi="宋体" w:cs="宋体"/>
      <w:sz w:val="24"/>
      <w:szCs w:val="24"/>
    </w:rPr>
  </w:style>
  <w:style w:type="character" w:customStyle="1" w:styleId="275">
    <w:name w:val="正文四号 Char Char"/>
    <w:qFormat/>
    <w:uiPriority w:val="0"/>
    <w:rPr>
      <w:sz w:val="24"/>
      <w:szCs w:val="28"/>
    </w:rPr>
  </w:style>
  <w:style w:type="character" w:customStyle="1" w:styleId="276">
    <w:name w:val="正文 Char"/>
    <w:basedOn w:val="132"/>
    <w:link w:val="277"/>
    <w:qFormat/>
    <w:uiPriority w:val="0"/>
    <w:rPr>
      <w:rFonts w:ascii="宋体" w:hAnsi="宋体" w:cs="宋体"/>
      <w:sz w:val="28"/>
      <w:szCs w:val="24"/>
    </w:rPr>
  </w:style>
  <w:style w:type="paragraph" w:customStyle="1" w:styleId="277">
    <w:name w:val="正文1"/>
    <w:basedOn w:val="1"/>
    <w:link w:val="276"/>
    <w:qFormat/>
    <w:uiPriority w:val="0"/>
    <w:pPr>
      <w:adjustRightInd/>
      <w:snapToGrid/>
      <w:spacing w:beforeLines="10" w:afterLines="10" w:line="360" w:lineRule="auto"/>
      <w:ind w:left="560" w:leftChars="200" w:firstLine="560"/>
    </w:pPr>
    <w:rPr>
      <w:rFonts w:ascii="宋体" w:hAnsi="宋体" w:cs="宋体"/>
      <w:kern w:val="0"/>
      <w:sz w:val="28"/>
      <w:szCs w:val="24"/>
    </w:rPr>
  </w:style>
  <w:style w:type="paragraph" w:customStyle="1" w:styleId="278">
    <w:name w:val="标题4 第1条"/>
    <w:basedOn w:val="6"/>
    <w:qFormat/>
    <w:uiPriority w:val="0"/>
    <w:pPr>
      <w:keepNext/>
      <w:keepLines/>
      <w:widowControl w:val="0"/>
      <w:numPr>
        <w:ilvl w:val="0"/>
        <w:numId w:val="7"/>
      </w:numPr>
      <w:tabs>
        <w:tab w:val="clear" w:pos="0"/>
      </w:tabs>
      <w:adjustRightInd/>
      <w:snapToGrid/>
      <w:spacing w:beforeLines="10" w:afterLines="10" w:line="288" w:lineRule="auto"/>
      <w:ind w:left="0" w:firstLine="0" w:firstLineChars="200"/>
      <w:jc w:val="both"/>
    </w:pPr>
    <w:rPr>
      <w:rFonts w:ascii="Cambria" w:hAnsi="Cambria"/>
      <w:snapToGrid/>
      <w:sz w:val="24"/>
    </w:rPr>
  </w:style>
  <w:style w:type="character" w:customStyle="1" w:styleId="279">
    <w:name w:val="正文文本 2 字符"/>
    <w:basedOn w:val="132"/>
    <w:link w:val="76"/>
    <w:qFormat/>
    <w:uiPriority w:val="0"/>
    <w:rPr>
      <w:rFonts w:ascii="Times New Roman" w:hAnsi="Times New Roman"/>
      <w:kern w:val="2"/>
      <w:sz w:val="24"/>
      <w:szCs w:val="24"/>
    </w:rPr>
  </w:style>
  <w:style w:type="paragraph" w:customStyle="1" w:styleId="280">
    <w:name w:val="环评正文"/>
    <w:basedOn w:val="1"/>
    <w:link w:val="968"/>
    <w:qFormat/>
    <w:uiPriority w:val="0"/>
    <w:pPr>
      <w:adjustRightInd/>
      <w:snapToGrid/>
      <w:spacing w:beforeLines="10" w:afterLines="10" w:line="400" w:lineRule="exact"/>
      <w:jc w:val="both"/>
    </w:pPr>
    <w:rPr>
      <w:rFonts w:eastAsia="仿宋_GB2312"/>
      <w:sz w:val="24"/>
      <w:szCs w:val="24"/>
    </w:rPr>
  </w:style>
  <w:style w:type="paragraph" w:customStyle="1" w:styleId="281">
    <w:name w:val="xl25"/>
    <w:basedOn w:val="1"/>
    <w:qFormat/>
    <w:uiPriority w:val="0"/>
    <w:pPr>
      <w:widowControl/>
      <w:adjustRightInd/>
      <w:snapToGrid/>
      <w:spacing w:beforeLines="10" w:beforeAutospacing="1" w:afterLines="10" w:afterAutospacing="1" w:line="360" w:lineRule="auto"/>
      <w:jc w:val="center"/>
    </w:pPr>
    <w:rPr>
      <w:rFonts w:hint="eastAsia" w:ascii="宋体" w:hAnsi="宋体"/>
      <w:kern w:val="0"/>
      <w:sz w:val="24"/>
      <w:szCs w:val="24"/>
    </w:rPr>
  </w:style>
  <w:style w:type="character" w:customStyle="1" w:styleId="282">
    <w:name w:val="表中文字 Char"/>
    <w:link w:val="283"/>
    <w:qFormat/>
    <w:uiPriority w:val="0"/>
    <w:rPr>
      <w:rFonts w:ascii="Arial" w:hAnsi="Arial" w:eastAsia="楷体_GB2312"/>
    </w:rPr>
  </w:style>
  <w:style w:type="paragraph" w:customStyle="1" w:styleId="283">
    <w:name w:val="表中文字"/>
    <w:basedOn w:val="1"/>
    <w:link w:val="282"/>
    <w:qFormat/>
    <w:uiPriority w:val="0"/>
    <w:pPr>
      <w:tabs>
        <w:tab w:val="left" w:pos="3286"/>
        <w:tab w:val="left" w:pos="8362"/>
      </w:tabs>
      <w:adjustRightInd/>
      <w:spacing w:beforeLines="10" w:afterLines="10" w:line="340" w:lineRule="exact"/>
      <w:jc w:val="center"/>
    </w:pPr>
    <w:rPr>
      <w:rFonts w:ascii="Arial" w:hAnsi="Arial" w:eastAsia="楷体_GB2312"/>
      <w:kern w:val="0"/>
      <w:sz w:val="20"/>
      <w:szCs w:val="20"/>
      <w:shd w:val="clear" w:color="auto" w:fill="FFFFFF"/>
    </w:rPr>
  </w:style>
  <w:style w:type="paragraph" w:customStyle="1" w:styleId="284">
    <w:name w:val="样式 纯文本表内文字 + 楷体_GB2312 左"/>
    <w:basedOn w:val="1"/>
    <w:qFormat/>
    <w:uiPriority w:val="0"/>
    <w:pPr>
      <w:tabs>
        <w:tab w:val="left" w:pos="1350"/>
      </w:tabs>
      <w:autoSpaceDE w:val="0"/>
      <w:autoSpaceDN w:val="0"/>
      <w:spacing w:beforeLines="10" w:afterLines="10" w:line="320" w:lineRule="exact"/>
    </w:pPr>
    <w:rPr>
      <w:rFonts w:ascii="Arial" w:hAnsi="Arial" w:eastAsia="楷体_GB2312"/>
      <w:sz w:val="24"/>
      <w:szCs w:val="20"/>
    </w:rPr>
  </w:style>
  <w:style w:type="character" w:customStyle="1" w:styleId="285">
    <w:name w:val="普通(网站) 字符"/>
    <w:link w:val="81"/>
    <w:qFormat/>
    <w:uiPriority w:val="0"/>
    <w:rPr>
      <w:rFonts w:ascii="宋体" w:hAnsi="宋体"/>
      <w:sz w:val="24"/>
      <w:szCs w:val="24"/>
    </w:rPr>
  </w:style>
  <w:style w:type="paragraph" w:customStyle="1" w:styleId="286">
    <w:name w:val="Char Char Char Char"/>
    <w:basedOn w:val="1"/>
    <w:qFormat/>
    <w:uiPriority w:val="0"/>
    <w:pPr>
      <w:adjustRightInd/>
      <w:snapToGrid/>
      <w:spacing w:beforeLines="10" w:afterLines="10" w:line="360" w:lineRule="auto"/>
      <w:jc w:val="both"/>
    </w:pPr>
    <w:rPr>
      <w:rFonts w:ascii="宋体" w:hAnsi="宋体" w:cs="宋体"/>
      <w:sz w:val="24"/>
      <w:szCs w:val="24"/>
    </w:rPr>
  </w:style>
  <w:style w:type="paragraph" w:customStyle="1" w:styleId="287">
    <w:name w:val="图表文字"/>
    <w:qFormat/>
    <w:uiPriority w:val="0"/>
    <w:pPr>
      <w:adjustRightInd w:val="0"/>
      <w:snapToGrid w:val="0"/>
      <w:spacing w:line="380" w:lineRule="exact"/>
      <w:jc w:val="center"/>
    </w:pPr>
    <w:rPr>
      <w:rFonts w:ascii="Times New Roman" w:hAnsi="Times New Roman" w:eastAsia="宋体" w:cs="Times New Roman"/>
      <w:sz w:val="21"/>
      <w:lang w:val="en-US" w:eastAsia="zh-CN" w:bidi="ar-SA"/>
    </w:rPr>
  </w:style>
  <w:style w:type="paragraph" w:customStyle="1" w:styleId="288">
    <w:name w:val="样式 样式 环评正文 + (西文) 仿宋_GB2312 (中文) 宋体 10.5 磅 首行缩进:  2 字符 + 首行缩进:  ..."/>
    <w:basedOn w:val="1"/>
    <w:qFormat/>
    <w:uiPriority w:val="0"/>
    <w:pPr>
      <w:adjustRightInd/>
      <w:snapToGrid/>
      <w:spacing w:beforeLines="10" w:afterLines="10" w:line="400" w:lineRule="exact"/>
      <w:jc w:val="both"/>
    </w:pPr>
    <w:rPr>
      <w:rFonts w:ascii="仿宋_GB2312" w:hAnsi="仿宋_GB2312"/>
      <w:sz w:val="24"/>
      <w:szCs w:val="20"/>
    </w:rPr>
  </w:style>
  <w:style w:type="paragraph" w:customStyle="1" w:styleId="289">
    <w:name w:val="环评"/>
    <w:basedOn w:val="1"/>
    <w:qFormat/>
    <w:uiPriority w:val="0"/>
    <w:pPr>
      <w:adjustRightInd/>
      <w:snapToGrid/>
      <w:spacing w:beforeLines="10" w:afterLines="10" w:line="360" w:lineRule="exact"/>
      <w:jc w:val="both"/>
    </w:pPr>
    <w:rPr>
      <w:rFonts w:eastAsia="仿宋_GB2312"/>
      <w:bCs/>
      <w:sz w:val="24"/>
      <w:szCs w:val="24"/>
    </w:rPr>
  </w:style>
  <w:style w:type="paragraph" w:customStyle="1" w:styleId="290">
    <w:name w:val="表体"/>
    <w:basedOn w:val="1"/>
    <w:link w:val="2677"/>
    <w:qFormat/>
    <w:uiPriority w:val="0"/>
    <w:pPr>
      <w:adjustRightInd/>
      <w:snapToGrid/>
      <w:spacing w:beforeLines="10" w:afterLines="10" w:line="0" w:lineRule="atLeast"/>
      <w:jc w:val="center"/>
    </w:pPr>
    <w:rPr>
      <w:sz w:val="24"/>
      <w:szCs w:val="24"/>
    </w:rPr>
  </w:style>
  <w:style w:type="character" w:customStyle="1" w:styleId="291">
    <w:name w:val="报告书正文 Char Char"/>
    <w:link w:val="292"/>
    <w:qFormat/>
    <w:uiPriority w:val="0"/>
    <w:rPr>
      <w:rFonts w:ascii="Arial" w:hAnsi="Arial" w:cs="Arial"/>
      <w:color w:val="000000"/>
      <w:sz w:val="24"/>
      <w:szCs w:val="24"/>
    </w:rPr>
  </w:style>
  <w:style w:type="paragraph" w:customStyle="1" w:styleId="292">
    <w:name w:val="报告书正文"/>
    <w:basedOn w:val="1"/>
    <w:link w:val="291"/>
    <w:qFormat/>
    <w:uiPriority w:val="0"/>
    <w:pPr>
      <w:spacing w:beforeLines="10" w:afterLines="10" w:line="460" w:lineRule="exact"/>
      <w:ind w:firstLine="480"/>
      <w:jc w:val="both"/>
    </w:pPr>
    <w:rPr>
      <w:rFonts w:ascii="Arial" w:hAnsi="Arial" w:cs="Arial"/>
      <w:color w:val="000000"/>
      <w:kern w:val="0"/>
      <w:sz w:val="24"/>
      <w:szCs w:val="24"/>
    </w:rPr>
  </w:style>
  <w:style w:type="paragraph" w:customStyle="1" w:styleId="293">
    <w:name w:val="图头11"/>
    <w:basedOn w:val="1"/>
    <w:link w:val="294"/>
    <w:qFormat/>
    <w:uiPriority w:val="0"/>
    <w:pPr>
      <w:spacing w:afterLines="100" w:line="0" w:lineRule="atLeast"/>
      <w:ind w:firstLine="0" w:firstLineChars="0"/>
      <w:jc w:val="center"/>
    </w:pPr>
    <w:rPr>
      <w:b/>
      <w:snapToGrid w:val="0"/>
      <w:kern w:val="0"/>
      <w:sz w:val="24"/>
      <w:szCs w:val="24"/>
    </w:rPr>
  </w:style>
  <w:style w:type="character" w:customStyle="1" w:styleId="294">
    <w:name w:val="图头11 Char"/>
    <w:link w:val="293"/>
    <w:qFormat/>
    <w:uiPriority w:val="0"/>
    <w:rPr>
      <w:rFonts w:ascii="Times New Roman" w:hAnsi="Times New Roman"/>
      <w:b/>
      <w:snapToGrid w:val="0"/>
      <w:sz w:val="24"/>
      <w:szCs w:val="24"/>
    </w:rPr>
  </w:style>
  <w:style w:type="character" w:customStyle="1" w:styleId="295">
    <w:name w:val="正文文本缩进 3 字符"/>
    <w:basedOn w:val="132"/>
    <w:link w:val="70"/>
    <w:qFormat/>
    <w:uiPriority w:val="0"/>
    <w:rPr>
      <w:rFonts w:ascii="Times New Roman" w:hAnsi="Times New Roman"/>
      <w:kern w:val="2"/>
      <w:sz w:val="16"/>
      <w:szCs w:val="16"/>
    </w:rPr>
  </w:style>
  <w:style w:type="paragraph" w:customStyle="1" w:styleId="296">
    <w:name w:val="日期6"/>
    <w:basedOn w:val="1"/>
    <w:next w:val="1"/>
    <w:qFormat/>
    <w:uiPriority w:val="0"/>
    <w:pPr>
      <w:snapToGrid/>
      <w:spacing w:beforeLines="10" w:afterLines="10" w:line="360" w:lineRule="auto"/>
      <w:jc w:val="both"/>
      <w:textAlignment w:val="baseline"/>
    </w:pPr>
    <w:rPr>
      <w:sz w:val="24"/>
      <w:szCs w:val="20"/>
    </w:rPr>
  </w:style>
  <w:style w:type="paragraph" w:customStyle="1" w:styleId="297">
    <w:name w:val="样式8"/>
    <w:basedOn w:val="1"/>
    <w:link w:val="1322"/>
    <w:qFormat/>
    <w:uiPriority w:val="0"/>
    <w:pPr>
      <w:spacing w:beforeLines="10" w:afterLines="10" w:line="300" w:lineRule="exact"/>
      <w:jc w:val="center"/>
    </w:pPr>
    <w:rPr>
      <w:rFonts w:ascii="Arial" w:cs="Arial"/>
      <w:sz w:val="24"/>
      <w:szCs w:val="21"/>
    </w:rPr>
  </w:style>
  <w:style w:type="paragraph" w:customStyle="1" w:styleId="298">
    <w:name w:val="样式 宋体 五号 首行缩进:  2 字符"/>
    <w:basedOn w:val="1"/>
    <w:next w:val="1"/>
    <w:qFormat/>
    <w:uiPriority w:val="0"/>
    <w:pPr>
      <w:adjustRightInd/>
      <w:snapToGrid/>
      <w:spacing w:beforeLines="10" w:afterLines="10" w:line="360" w:lineRule="auto"/>
      <w:jc w:val="center"/>
    </w:pPr>
    <w:rPr>
      <w:rFonts w:cs="宋体"/>
      <w:sz w:val="24"/>
      <w:szCs w:val="21"/>
    </w:rPr>
  </w:style>
  <w:style w:type="paragraph" w:customStyle="1" w:styleId="299">
    <w:name w:val="正文文本缩进1"/>
    <w:basedOn w:val="1"/>
    <w:qFormat/>
    <w:uiPriority w:val="0"/>
    <w:pPr>
      <w:widowControl/>
      <w:adjustRightInd/>
      <w:snapToGrid/>
      <w:spacing w:beforeLines="10" w:afterLines="10" w:line="360" w:lineRule="auto"/>
      <w:ind w:left="420" w:leftChars="200"/>
      <w:jc w:val="both"/>
    </w:pPr>
    <w:rPr>
      <w:rFonts w:ascii="Calibri" w:hAnsi="Calibri"/>
      <w:kern w:val="0"/>
      <w:sz w:val="24"/>
      <w:szCs w:val="24"/>
    </w:rPr>
  </w:style>
  <w:style w:type="paragraph" w:customStyle="1" w:styleId="300">
    <w:name w:val="【正文】"/>
    <w:basedOn w:val="1"/>
    <w:link w:val="301"/>
    <w:qFormat/>
    <w:uiPriority w:val="0"/>
    <w:pPr>
      <w:adjustRightInd/>
      <w:snapToGrid/>
      <w:spacing w:line="360" w:lineRule="auto"/>
      <w:ind w:firstLine="480"/>
      <w:jc w:val="both"/>
    </w:pPr>
    <w:rPr>
      <w:sz w:val="24"/>
      <w:szCs w:val="20"/>
    </w:rPr>
  </w:style>
  <w:style w:type="character" w:customStyle="1" w:styleId="301">
    <w:name w:val="【正文】 Char"/>
    <w:link w:val="300"/>
    <w:qFormat/>
    <w:uiPriority w:val="0"/>
    <w:rPr>
      <w:kern w:val="2"/>
      <w:sz w:val="24"/>
    </w:rPr>
  </w:style>
  <w:style w:type="paragraph" w:customStyle="1" w:styleId="302">
    <w:name w:val="CM26"/>
    <w:basedOn w:val="1"/>
    <w:next w:val="1"/>
    <w:qFormat/>
    <w:uiPriority w:val="99"/>
    <w:pPr>
      <w:autoSpaceDE w:val="0"/>
      <w:autoSpaceDN w:val="0"/>
      <w:snapToGrid/>
      <w:spacing w:beforeLines="10" w:afterLines="10" w:line="471" w:lineRule="atLeast"/>
    </w:pPr>
    <w:rPr>
      <w:rFonts w:ascii="宋体" w:cstheme="minorBidi"/>
      <w:kern w:val="0"/>
      <w:sz w:val="24"/>
      <w:szCs w:val="24"/>
    </w:rPr>
  </w:style>
  <w:style w:type="paragraph" w:customStyle="1" w:styleId="303">
    <w:name w:val="表文"/>
    <w:basedOn w:val="1"/>
    <w:link w:val="1510"/>
    <w:qFormat/>
    <w:uiPriority w:val="0"/>
    <w:pPr>
      <w:widowControl/>
      <w:adjustRightInd/>
      <w:snapToGrid/>
      <w:spacing w:beforeLines="10" w:afterLines="10" w:line="360" w:lineRule="auto"/>
      <w:jc w:val="center"/>
    </w:pPr>
    <w:rPr>
      <w:rFonts w:ascii="宋体" w:hAnsi="宋体"/>
      <w:kern w:val="0"/>
      <w:sz w:val="24"/>
      <w:szCs w:val="18"/>
    </w:rPr>
  </w:style>
  <w:style w:type="paragraph" w:customStyle="1" w:styleId="304">
    <w:name w:val="char"/>
    <w:basedOn w:val="1"/>
    <w:qFormat/>
    <w:uiPriority w:val="0"/>
    <w:pPr>
      <w:widowControl/>
      <w:adjustRightInd/>
      <w:snapToGrid/>
      <w:spacing w:beforeLines="10" w:afterLines="10" w:line="360" w:lineRule="auto"/>
    </w:pPr>
    <w:rPr>
      <w:rFonts w:ascii="Verdana" w:hAnsi="Verdana" w:eastAsia="仿宋_GB2312" w:cs="”“Times New Roman”“"/>
      <w:kern w:val="0"/>
      <w:sz w:val="28"/>
      <w:szCs w:val="28"/>
      <w:lang w:eastAsia="en-US"/>
    </w:rPr>
  </w:style>
  <w:style w:type="character" w:customStyle="1" w:styleId="305">
    <w:name w:val="标题1 Char"/>
    <w:basedOn w:val="132"/>
    <w:link w:val="254"/>
    <w:qFormat/>
    <w:uiPriority w:val="0"/>
    <w:rPr>
      <w:rFonts w:ascii="黑体" w:hAnsi="Times New Roman" w:eastAsiaTheme="majorEastAsia"/>
      <w:b/>
      <w:sz w:val="36"/>
      <w:szCs w:val="26"/>
    </w:rPr>
  </w:style>
  <w:style w:type="character" w:customStyle="1" w:styleId="306">
    <w:name w:val="标题2 Char"/>
    <w:basedOn w:val="132"/>
    <w:qFormat/>
    <w:uiPriority w:val="0"/>
    <w:rPr>
      <w:rFonts w:ascii="Times New Roman" w:hAnsi="Times New Roman" w:eastAsia="宋体"/>
      <w:b/>
      <w:color w:val="000000"/>
      <w:sz w:val="24"/>
    </w:rPr>
  </w:style>
  <w:style w:type="paragraph" w:customStyle="1" w:styleId="307">
    <w:name w:val="注释"/>
    <w:basedOn w:val="1"/>
    <w:link w:val="308"/>
    <w:qFormat/>
    <w:uiPriority w:val="0"/>
    <w:pPr>
      <w:spacing w:line="240" w:lineRule="auto"/>
      <w:ind w:firstLine="0" w:firstLineChars="0"/>
    </w:pPr>
    <w:rPr>
      <w:rFonts w:cstheme="minorBidi"/>
      <w:sz w:val="18"/>
      <w:szCs w:val="21"/>
      <w:lang w:val="fr-FR"/>
    </w:rPr>
  </w:style>
  <w:style w:type="character" w:customStyle="1" w:styleId="308">
    <w:name w:val="注释 Char"/>
    <w:basedOn w:val="132"/>
    <w:link w:val="307"/>
    <w:qFormat/>
    <w:uiPriority w:val="0"/>
    <w:rPr>
      <w:rFonts w:ascii="Times New Roman" w:hAnsi="Times New Roman" w:cstheme="minorBidi"/>
      <w:kern w:val="2"/>
      <w:sz w:val="18"/>
      <w:szCs w:val="21"/>
      <w:lang w:val="fr-FR"/>
    </w:rPr>
  </w:style>
  <w:style w:type="character" w:customStyle="1" w:styleId="309">
    <w:name w:val="正文首行缩进 Char"/>
    <w:basedOn w:val="183"/>
    <w:qFormat/>
    <w:uiPriority w:val="0"/>
    <w:rPr>
      <w:rFonts w:ascii="Times New Roman" w:hAnsi="Times New Roman"/>
      <w:snapToGrid/>
      <w:kern w:val="2"/>
      <w:sz w:val="26"/>
      <w:szCs w:val="22"/>
    </w:rPr>
  </w:style>
  <w:style w:type="character" w:customStyle="1" w:styleId="310">
    <w:name w:val="宏文本 字符"/>
    <w:basedOn w:val="132"/>
    <w:link w:val="2"/>
    <w:qFormat/>
    <w:uiPriority w:val="99"/>
    <w:rPr>
      <w:rFonts w:ascii="Courier New" w:hAnsi="Courier New" w:cs="Courier New"/>
      <w:kern w:val="2"/>
      <w:sz w:val="24"/>
      <w:szCs w:val="24"/>
    </w:rPr>
  </w:style>
  <w:style w:type="character" w:customStyle="1" w:styleId="311">
    <w:name w:val="注释标题 字符"/>
    <w:basedOn w:val="132"/>
    <w:link w:val="17"/>
    <w:qFormat/>
    <w:uiPriority w:val="0"/>
    <w:rPr>
      <w:rFonts w:ascii="Arial Narrow" w:hAnsi="Arial Narrow" w:eastAsia="仿宋_GB2312"/>
      <w:kern w:val="2"/>
      <w:sz w:val="24"/>
      <w:szCs w:val="24"/>
    </w:rPr>
  </w:style>
  <w:style w:type="character" w:customStyle="1" w:styleId="312">
    <w:name w:val="电子邮件签名 字符"/>
    <w:basedOn w:val="132"/>
    <w:link w:val="20"/>
    <w:qFormat/>
    <w:uiPriority w:val="0"/>
    <w:rPr>
      <w:rFonts w:ascii="Times New Roman" w:hAnsi="Times New Roman"/>
      <w:kern w:val="2"/>
      <w:sz w:val="21"/>
      <w:szCs w:val="24"/>
    </w:rPr>
  </w:style>
  <w:style w:type="character" w:customStyle="1" w:styleId="313">
    <w:name w:val="称呼 字符"/>
    <w:basedOn w:val="132"/>
    <w:link w:val="30"/>
    <w:qFormat/>
    <w:uiPriority w:val="0"/>
    <w:rPr>
      <w:rFonts w:ascii="仿宋_GB2312" w:hAnsi="宋体" w:eastAsia="仿宋_GB2312" w:cs="宋体"/>
      <w:kern w:val="2"/>
      <w:sz w:val="21"/>
      <w:szCs w:val="24"/>
    </w:rPr>
  </w:style>
  <w:style w:type="character" w:customStyle="1" w:styleId="314">
    <w:name w:val="正文文本 3 字符"/>
    <w:basedOn w:val="132"/>
    <w:link w:val="31"/>
    <w:qFormat/>
    <w:uiPriority w:val="0"/>
    <w:rPr>
      <w:rFonts w:ascii="Times New Roman" w:hAnsi="Times New Roman"/>
      <w:kern w:val="2"/>
      <w:sz w:val="16"/>
      <w:szCs w:val="16"/>
    </w:rPr>
  </w:style>
  <w:style w:type="character" w:customStyle="1" w:styleId="315">
    <w:name w:val="结束语 字符"/>
    <w:basedOn w:val="132"/>
    <w:link w:val="32"/>
    <w:qFormat/>
    <w:uiPriority w:val="0"/>
    <w:rPr>
      <w:rFonts w:ascii="Times New Roman" w:hAnsi="Times New Roman"/>
      <w:kern w:val="2"/>
      <w:sz w:val="21"/>
      <w:szCs w:val="24"/>
    </w:rPr>
  </w:style>
  <w:style w:type="character" w:customStyle="1" w:styleId="316">
    <w:name w:val="HTML 地址 字符"/>
    <w:basedOn w:val="132"/>
    <w:link w:val="41"/>
    <w:qFormat/>
    <w:uiPriority w:val="0"/>
    <w:rPr>
      <w:rFonts w:ascii="Times New Roman" w:hAnsi="Times New Roman"/>
      <w:i/>
      <w:iCs/>
      <w:kern w:val="2"/>
      <w:sz w:val="21"/>
      <w:szCs w:val="24"/>
    </w:rPr>
  </w:style>
  <w:style w:type="character" w:customStyle="1" w:styleId="317">
    <w:name w:val="日期 字符"/>
    <w:basedOn w:val="132"/>
    <w:link w:val="50"/>
    <w:qFormat/>
    <w:uiPriority w:val="0"/>
    <w:rPr>
      <w:rFonts w:ascii="Arial Narrow" w:hAnsi="Arial Narrow" w:eastAsia="仿宋_GB2312"/>
      <w:color w:val="000000"/>
      <w:sz w:val="24"/>
      <w:szCs w:val="24"/>
      <w:lang w:val="zh-CN"/>
    </w:rPr>
  </w:style>
  <w:style w:type="character" w:customStyle="1" w:styleId="318">
    <w:name w:val="正文文本首行缩进 2 字符"/>
    <w:basedOn w:val="212"/>
    <w:link w:val="87"/>
    <w:qFormat/>
    <w:uiPriority w:val="99"/>
    <w:rPr>
      <w:rFonts w:ascii="Arial Narrow" w:hAnsi="Arial Narrow" w:eastAsia="仿宋_GB2312"/>
      <w:kern w:val="2"/>
      <w:sz w:val="24"/>
      <w:szCs w:val="24"/>
    </w:rPr>
  </w:style>
  <w:style w:type="character" w:customStyle="1" w:styleId="319">
    <w:name w:val="签名 字符"/>
    <w:basedOn w:val="132"/>
    <w:link w:val="58"/>
    <w:qFormat/>
    <w:uiPriority w:val="0"/>
    <w:rPr>
      <w:rFonts w:ascii="Times New Roman" w:hAnsi="Times New Roman"/>
      <w:kern w:val="2"/>
      <w:sz w:val="21"/>
      <w:szCs w:val="24"/>
    </w:rPr>
  </w:style>
  <w:style w:type="character" w:customStyle="1" w:styleId="320">
    <w:name w:val="脚注文本 字符"/>
    <w:basedOn w:val="132"/>
    <w:link w:val="67"/>
    <w:qFormat/>
    <w:uiPriority w:val="0"/>
    <w:rPr>
      <w:rFonts w:ascii="Arial Narrow" w:hAnsi="Arial Narrow" w:eastAsia="仿宋_GB2312"/>
      <w:kern w:val="2"/>
      <w:sz w:val="18"/>
      <w:szCs w:val="18"/>
    </w:rPr>
  </w:style>
  <w:style w:type="character" w:customStyle="1" w:styleId="321">
    <w:name w:val="信息标题 字符"/>
    <w:basedOn w:val="132"/>
    <w:link w:val="79"/>
    <w:qFormat/>
    <w:uiPriority w:val="0"/>
    <w:rPr>
      <w:rFonts w:ascii="Arial" w:hAnsi="Arial" w:cs="Arial"/>
      <w:kern w:val="2"/>
      <w:sz w:val="24"/>
      <w:szCs w:val="24"/>
      <w:shd w:val="pct20" w:color="auto" w:fill="auto"/>
    </w:rPr>
  </w:style>
  <w:style w:type="table" w:customStyle="1" w:styleId="322">
    <w:name w:val="网格型2"/>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
    <w:name w:val="表格主题1"/>
    <w:basedOn w:val="88"/>
    <w:qFormat/>
    <w:uiPriority w:val="0"/>
    <w:pPr>
      <w:widowControl w:val="0"/>
      <w:jc w:val="both"/>
    </w:pPr>
    <w:tblP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
  </w:style>
  <w:style w:type="paragraph" w:customStyle="1" w:styleId="324">
    <w:name w:val="Char Char3 Char Char Char Char Char Char"/>
    <w:basedOn w:val="1"/>
    <w:qFormat/>
    <w:uiPriority w:val="0"/>
    <w:pPr>
      <w:widowControl/>
      <w:tabs>
        <w:tab w:val="left" w:pos="480"/>
      </w:tabs>
      <w:adjustRightInd/>
      <w:snapToGrid/>
      <w:spacing w:after="160" w:line="240" w:lineRule="exact"/>
      <w:ind w:firstLine="0" w:firstLineChars="0"/>
    </w:pPr>
    <w:rPr>
      <w:rFonts w:ascii="Verdana" w:hAnsi="Verdana"/>
      <w:kern w:val="0"/>
      <w:sz w:val="20"/>
      <w:szCs w:val="20"/>
      <w:lang w:eastAsia="en-US"/>
    </w:rPr>
  </w:style>
  <w:style w:type="paragraph" w:customStyle="1" w:styleId="325">
    <w:name w:val="表格正文"/>
    <w:basedOn w:val="21"/>
    <w:link w:val="326"/>
    <w:qFormat/>
    <w:uiPriority w:val="0"/>
    <w:pPr>
      <w:spacing w:line="240" w:lineRule="auto"/>
    </w:pPr>
    <w:rPr>
      <w:b w:val="0"/>
      <w:color w:val="auto"/>
      <w:sz w:val="28"/>
      <w:szCs w:val="20"/>
      <w:lang w:val="zh-CN"/>
    </w:rPr>
  </w:style>
  <w:style w:type="character" w:customStyle="1" w:styleId="326">
    <w:name w:val="表格正文 Char1"/>
    <w:link w:val="325"/>
    <w:qFormat/>
    <w:uiPriority w:val="0"/>
    <w:rPr>
      <w:rFonts w:ascii="Times New Roman" w:hAnsi="Times New Roman"/>
      <w:sz w:val="28"/>
      <w:lang w:val="zh-CN"/>
    </w:rPr>
  </w:style>
  <w:style w:type="character" w:customStyle="1" w:styleId="327">
    <w:name w:val="正文文本缩进 2 Char1"/>
    <w:qFormat/>
    <w:uiPriority w:val="99"/>
    <w:rPr>
      <w:rFonts w:eastAsia="宋体"/>
      <w:bCs/>
      <w:color w:val="000000"/>
      <w:sz w:val="24"/>
      <w:szCs w:val="19"/>
      <w:lang w:val="en-US" w:eastAsia="zh-CN" w:bidi="ar-SA"/>
    </w:rPr>
  </w:style>
  <w:style w:type="character" w:customStyle="1" w:styleId="328">
    <w:name w:val="bold1"/>
    <w:qFormat/>
    <w:uiPriority w:val="0"/>
    <w:rPr>
      <w:b/>
      <w:bCs/>
    </w:rPr>
  </w:style>
  <w:style w:type="paragraph" w:customStyle="1" w:styleId="329">
    <w:name w:val="样式3"/>
    <w:basedOn w:val="1"/>
    <w:link w:val="330"/>
    <w:qFormat/>
    <w:uiPriority w:val="0"/>
    <w:pPr>
      <w:spacing w:beforeLines="10" w:afterLines="10" w:line="240" w:lineRule="auto"/>
      <w:ind w:firstLine="0" w:firstLineChars="0"/>
    </w:pPr>
    <w:rPr>
      <w:snapToGrid w:val="0"/>
      <w:color w:val="000000"/>
      <w:kern w:val="0"/>
      <w:sz w:val="21"/>
      <w:szCs w:val="20"/>
    </w:rPr>
  </w:style>
  <w:style w:type="character" w:customStyle="1" w:styleId="330">
    <w:name w:val="样式3 Char"/>
    <w:link w:val="329"/>
    <w:qFormat/>
    <w:uiPriority w:val="0"/>
    <w:rPr>
      <w:rFonts w:ascii="Times New Roman" w:hAnsi="Times New Roman"/>
      <w:snapToGrid w:val="0"/>
      <w:color w:val="000000"/>
      <w:sz w:val="21"/>
    </w:rPr>
  </w:style>
  <w:style w:type="paragraph" w:customStyle="1" w:styleId="331">
    <w:name w:val="亚行正文"/>
    <w:basedOn w:val="1"/>
    <w:link w:val="332"/>
    <w:qFormat/>
    <w:uiPriority w:val="0"/>
    <w:pPr>
      <w:wordWrap w:val="0"/>
      <w:adjustRightInd/>
      <w:snapToGrid/>
      <w:spacing w:line="360" w:lineRule="auto"/>
      <w:ind w:left="-2" w:leftChars="-1" w:firstLine="473" w:firstLineChars="197"/>
      <w:jc w:val="both"/>
    </w:pPr>
    <w:rPr>
      <w:snapToGrid w:val="0"/>
      <w:kern w:val="0"/>
      <w:sz w:val="24"/>
      <w:szCs w:val="24"/>
    </w:rPr>
  </w:style>
  <w:style w:type="character" w:customStyle="1" w:styleId="332">
    <w:name w:val="亚行正文 Char"/>
    <w:link w:val="331"/>
    <w:qFormat/>
    <w:uiPriority w:val="0"/>
    <w:rPr>
      <w:rFonts w:ascii="Times New Roman" w:hAnsi="Times New Roman"/>
      <w:snapToGrid w:val="0"/>
      <w:sz w:val="24"/>
      <w:szCs w:val="24"/>
    </w:rPr>
  </w:style>
  <w:style w:type="paragraph" w:customStyle="1" w:styleId="333">
    <w:name w:val="小四正文"/>
    <w:link w:val="334"/>
    <w:qFormat/>
    <w:uiPriority w:val="0"/>
    <w:pPr>
      <w:spacing w:line="480" w:lineRule="exact"/>
      <w:jc w:val="both"/>
    </w:pPr>
    <w:rPr>
      <w:rFonts w:ascii="Times New Roman" w:hAnsi="宋体" w:eastAsia="宋体" w:cs="Times New Roman"/>
      <w:b/>
      <w:color w:val="000000"/>
      <w:kern w:val="2"/>
      <w:sz w:val="24"/>
      <w:szCs w:val="24"/>
      <w:lang w:val="en-US" w:eastAsia="zh-CN" w:bidi="ar-SA"/>
    </w:rPr>
  </w:style>
  <w:style w:type="character" w:customStyle="1" w:styleId="334">
    <w:name w:val="小四正文 Char"/>
    <w:link w:val="333"/>
    <w:qFormat/>
    <w:uiPriority w:val="0"/>
    <w:rPr>
      <w:rFonts w:ascii="Times New Roman" w:hAnsi="宋体"/>
      <w:b/>
      <w:color w:val="000000"/>
      <w:kern w:val="2"/>
      <w:sz w:val="24"/>
      <w:szCs w:val="24"/>
    </w:rPr>
  </w:style>
  <w:style w:type="character" w:customStyle="1" w:styleId="335">
    <w:name w:val="列表 字符"/>
    <w:link w:val="66"/>
    <w:qFormat/>
    <w:uiPriority w:val="0"/>
    <w:rPr>
      <w:rFonts w:ascii="Times New Roman" w:hAnsi="Times New Roman"/>
      <w:kern w:val="2"/>
      <w:sz w:val="21"/>
      <w:szCs w:val="21"/>
    </w:rPr>
  </w:style>
  <w:style w:type="paragraph" w:customStyle="1" w:styleId="336">
    <w:name w:val="样式7"/>
    <w:basedOn w:val="1"/>
    <w:link w:val="337"/>
    <w:qFormat/>
    <w:uiPriority w:val="0"/>
    <w:pPr>
      <w:jc w:val="both"/>
    </w:pPr>
    <w:rPr>
      <w:szCs w:val="26"/>
    </w:rPr>
  </w:style>
  <w:style w:type="character" w:customStyle="1" w:styleId="337">
    <w:name w:val="样式7 Char"/>
    <w:link w:val="336"/>
    <w:qFormat/>
    <w:uiPriority w:val="0"/>
    <w:rPr>
      <w:rFonts w:ascii="Times New Roman" w:hAnsi="Times New Roman"/>
      <w:kern w:val="2"/>
      <w:sz w:val="26"/>
      <w:szCs w:val="26"/>
    </w:rPr>
  </w:style>
  <w:style w:type="paragraph" w:customStyle="1" w:styleId="338">
    <w:name w:val="正文(首行缩进)"/>
    <w:basedOn w:val="1"/>
    <w:link w:val="339"/>
    <w:qFormat/>
    <w:uiPriority w:val="0"/>
    <w:pPr>
      <w:adjustRightInd/>
      <w:snapToGrid/>
      <w:spacing w:line="360" w:lineRule="auto"/>
      <w:ind w:firstLine="0" w:firstLineChars="0"/>
      <w:jc w:val="both"/>
    </w:pPr>
    <w:rPr>
      <w:snapToGrid w:val="0"/>
      <w:kern w:val="0"/>
      <w:sz w:val="24"/>
      <w:szCs w:val="24"/>
    </w:rPr>
  </w:style>
  <w:style w:type="character" w:customStyle="1" w:styleId="339">
    <w:name w:val="正文(首行缩进) Char"/>
    <w:link w:val="338"/>
    <w:qFormat/>
    <w:uiPriority w:val="0"/>
    <w:rPr>
      <w:rFonts w:ascii="Times New Roman" w:hAnsi="Times New Roman"/>
      <w:snapToGrid w:val="0"/>
      <w:sz w:val="24"/>
      <w:szCs w:val="24"/>
    </w:rPr>
  </w:style>
  <w:style w:type="paragraph" w:customStyle="1" w:styleId="340">
    <w:name w:val="首页页眉样式"/>
    <w:basedOn w:val="1"/>
    <w:qFormat/>
    <w:uiPriority w:val="0"/>
    <w:pPr>
      <w:adjustRightInd/>
      <w:snapToGrid/>
      <w:spacing w:line="320" w:lineRule="exact"/>
      <w:ind w:firstLine="0" w:firstLineChars="0"/>
      <w:jc w:val="center"/>
    </w:pPr>
    <w:rPr>
      <w:rFonts w:ascii="宋体" w:hAnsi="宋体"/>
      <w:sz w:val="21"/>
      <w:szCs w:val="20"/>
    </w:rPr>
  </w:style>
  <w:style w:type="paragraph" w:customStyle="1" w:styleId="341">
    <w:name w:val="表头1"/>
    <w:basedOn w:val="1"/>
    <w:next w:val="1"/>
    <w:link w:val="342"/>
    <w:qFormat/>
    <w:uiPriority w:val="0"/>
    <w:pPr>
      <w:tabs>
        <w:tab w:val="left" w:pos="605"/>
      </w:tabs>
      <w:spacing w:line="240" w:lineRule="auto"/>
      <w:ind w:firstLine="0" w:firstLineChars="0"/>
      <w:jc w:val="center"/>
    </w:pPr>
    <w:rPr>
      <w:rFonts w:eastAsia="黑体"/>
      <w:kern w:val="0"/>
      <w:sz w:val="21"/>
      <w:szCs w:val="28"/>
    </w:rPr>
  </w:style>
  <w:style w:type="character" w:customStyle="1" w:styleId="342">
    <w:name w:val="表头1 Char"/>
    <w:link w:val="341"/>
    <w:qFormat/>
    <w:uiPriority w:val="0"/>
    <w:rPr>
      <w:rFonts w:ascii="Times New Roman" w:hAnsi="Times New Roman" w:eastAsia="黑体"/>
      <w:sz w:val="21"/>
      <w:szCs w:val="28"/>
    </w:rPr>
  </w:style>
  <w:style w:type="paragraph" w:customStyle="1" w:styleId="343">
    <w:name w:val="排版正文"/>
    <w:basedOn w:val="1"/>
    <w:link w:val="344"/>
    <w:semiHidden/>
    <w:qFormat/>
    <w:uiPriority w:val="0"/>
    <w:pPr>
      <w:ind w:firstLine="480"/>
      <w:jc w:val="both"/>
    </w:pPr>
    <w:rPr>
      <w:rFonts w:ascii="宋体" w:hAnsi="宋体"/>
      <w:color w:val="000000"/>
      <w:sz w:val="24"/>
      <w:szCs w:val="24"/>
    </w:rPr>
  </w:style>
  <w:style w:type="character" w:customStyle="1" w:styleId="344">
    <w:name w:val="排版正文 Char"/>
    <w:link w:val="343"/>
    <w:semiHidden/>
    <w:qFormat/>
    <w:uiPriority w:val="0"/>
    <w:rPr>
      <w:rFonts w:ascii="宋体" w:hAnsi="宋体"/>
      <w:color w:val="000000"/>
      <w:kern w:val="2"/>
      <w:sz w:val="24"/>
      <w:szCs w:val="24"/>
    </w:rPr>
  </w:style>
  <w:style w:type="paragraph" w:customStyle="1" w:styleId="345">
    <w:name w:val="正文111111111"/>
    <w:basedOn w:val="1"/>
    <w:link w:val="346"/>
    <w:qFormat/>
    <w:uiPriority w:val="0"/>
    <w:pPr>
      <w:adjustRightInd/>
      <w:snapToGrid/>
      <w:spacing w:line="360" w:lineRule="auto"/>
      <w:ind w:firstLine="480"/>
      <w:jc w:val="both"/>
    </w:pPr>
    <w:rPr>
      <w:rFonts w:cs="宋体"/>
      <w:sz w:val="24"/>
      <w:szCs w:val="20"/>
    </w:rPr>
  </w:style>
  <w:style w:type="character" w:customStyle="1" w:styleId="346">
    <w:name w:val="正文111111111 Char"/>
    <w:link w:val="345"/>
    <w:qFormat/>
    <w:uiPriority w:val="0"/>
    <w:rPr>
      <w:rFonts w:ascii="Times New Roman" w:hAnsi="Times New Roman" w:cs="宋体"/>
      <w:kern w:val="2"/>
      <w:sz w:val="24"/>
    </w:rPr>
  </w:style>
  <w:style w:type="paragraph" w:customStyle="1" w:styleId="347">
    <w:name w:val="表题"/>
    <w:next w:val="66"/>
    <w:qFormat/>
    <w:uiPriority w:val="0"/>
    <w:pPr>
      <w:spacing w:line="360" w:lineRule="auto"/>
      <w:jc w:val="center"/>
    </w:pPr>
    <w:rPr>
      <w:rFonts w:ascii="Times New Roman" w:hAnsi="Times New Roman" w:eastAsia="黑体" w:cs="Times New Roman"/>
      <w:b/>
      <w:kern w:val="2"/>
      <w:sz w:val="21"/>
      <w:szCs w:val="24"/>
      <w:lang w:val="en-US" w:eastAsia="zh-CN" w:bidi="ar-SA"/>
    </w:rPr>
  </w:style>
  <w:style w:type="paragraph" w:customStyle="1" w:styleId="348">
    <w:name w:val="图"/>
    <w:basedOn w:val="1"/>
    <w:semiHidden/>
    <w:qFormat/>
    <w:uiPriority w:val="0"/>
    <w:pPr>
      <w:adjustRightInd/>
      <w:snapToGrid/>
      <w:spacing w:beforeLines="35" w:afterLines="35" w:line="360" w:lineRule="auto"/>
      <w:ind w:firstLine="0" w:firstLineChars="0"/>
      <w:jc w:val="center"/>
    </w:pPr>
    <w:rPr>
      <w:b/>
      <w:sz w:val="24"/>
      <w:szCs w:val="24"/>
    </w:rPr>
  </w:style>
  <w:style w:type="paragraph" w:customStyle="1" w:styleId="349">
    <w:name w:val="Char4 Char Char Char"/>
    <w:basedOn w:val="1"/>
    <w:qFormat/>
    <w:uiPriority w:val="0"/>
    <w:pPr>
      <w:spacing w:line="360" w:lineRule="auto"/>
      <w:jc w:val="both"/>
    </w:pPr>
    <w:rPr>
      <w:rFonts w:ascii="宋体" w:hAnsi="宋体" w:cs="宋体"/>
      <w:sz w:val="24"/>
      <w:szCs w:val="26"/>
    </w:rPr>
  </w:style>
  <w:style w:type="paragraph" w:customStyle="1" w:styleId="350">
    <w:name w:val="样式 标题 1 + 段前: 0.5 行 段后: 0.5 行"/>
    <w:basedOn w:val="3"/>
    <w:semiHidden/>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351">
    <w:name w:val="样式 标题 2 + 段前: 0.5 行 段后: 0.5 行"/>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352">
    <w:name w:val="样式 首行缩进:  2 字符"/>
    <w:basedOn w:val="1"/>
    <w:link w:val="911"/>
    <w:qFormat/>
    <w:uiPriority w:val="0"/>
    <w:pPr>
      <w:adjustRightInd/>
      <w:snapToGrid/>
      <w:spacing w:beforeLines="50" w:afterLines="50" w:line="420" w:lineRule="atLeast"/>
      <w:jc w:val="both"/>
    </w:pPr>
    <w:rPr>
      <w:rFonts w:cs="宋体"/>
      <w:sz w:val="24"/>
      <w:szCs w:val="20"/>
    </w:rPr>
  </w:style>
  <w:style w:type="paragraph" w:customStyle="1" w:styleId="353">
    <w:name w:val="样式 四号 居中"/>
    <w:basedOn w:val="1"/>
    <w:semiHidden/>
    <w:qFormat/>
    <w:uiPriority w:val="0"/>
    <w:pPr>
      <w:snapToGrid/>
      <w:spacing w:beforeLines="50" w:afterLines="50" w:line="460" w:lineRule="exact"/>
      <w:jc w:val="center"/>
      <w:textAlignment w:val="baseline"/>
    </w:pPr>
    <w:rPr>
      <w:rFonts w:cs="宋体"/>
      <w:sz w:val="24"/>
      <w:szCs w:val="20"/>
    </w:rPr>
  </w:style>
  <w:style w:type="paragraph" w:customStyle="1" w:styleId="354">
    <w:name w:val="样式 宋体 小四 行距: 固定值 23 磅"/>
    <w:basedOn w:val="1"/>
    <w:semiHidden/>
    <w:qFormat/>
    <w:uiPriority w:val="0"/>
    <w:pPr>
      <w:adjustRightInd/>
      <w:snapToGrid/>
      <w:spacing w:beforeLines="50" w:afterLines="50" w:line="460" w:lineRule="exact"/>
      <w:ind w:firstLine="464"/>
      <w:jc w:val="both"/>
    </w:pPr>
    <w:rPr>
      <w:rFonts w:ascii="宋体" w:hAnsi="宋体" w:cs="宋体"/>
      <w:sz w:val="24"/>
      <w:szCs w:val="20"/>
    </w:rPr>
  </w:style>
  <w:style w:type="paragraph" w:customStyle="1" w:styleId="355">
    <w:name w:val="样式 样式 样式 首行缩进:  2 字符 + 首行缩进:  2 字符 + 首行缩进:  2 字符"/>
    <w:basedOn w:val="1"/>
    <w:semiHidden/>
    <w:qFormat/>
    <w:uiPriority w:val="0"/>
    <w:pPr>
      <w:adjustRightInd/>
      <w:snapToGrid/>
      <w:spacing w:beforeLines="50" w:afterLines="50" w:line="420" w:lineRule="atLeast"/>
      <w:jc w:val="both"/>
    </w:pPr>
    <w:rPr>
      <w:rFonts w:eastAsia="仿宋_GB2312" w:cs="宋体"/>
      <w:sz w:val="24"/>
      <w:szCs w:val="20"/>
    </w:rPr>
  </w:style>
  <w:style w:type="paragraph" w:customStyle="1" w:styleId="356">
    <w:name w:val="样式 样式 样式 样式1 + 首行缩进:  2 字符 + 首行缩进:  2 字符 段前: 0.5 行 段后: 0.5 行 + 首..."/>
    <w:basedOn w:val="357"/>
    <w:semiHidden/>
    <w:qFormat/>
    <w:uiPriority w:val="0"/>
    <w:pPr>
      <w:ind w:firstLine="464"/>
    </w:pPr>
  </w:style>
  <w:style w:type="paragraph" w:customStyle="1" w:styleId="357">
    <w:name w:val="样式 样式 样式1 + 首行缩进:  2 字符 + 首行缩进:  2 字符 段前: 0.5 行 段后: 0.5 行"/>
    <w:basedOn w:val="358"/>
    <w:semiHidden/>
    <w:qFormat/>
    <w:uiPriority w:val="0"/>
    <w:pPr>
      <w:spacing w:beforeLines="50" w:afterLines="50" w:line="460" w:lineRule="exact"/>
      <w:ind w:firstLine="384" w:firstLineChars="200"/>
    </w:pPr>
    <w:rPr>
      <w:rFonts w:ascii="仿宋_GB2312" w:cs="宋体"/>
      <w:szCs w:val="20"/>
    </w:rPr>
  </w:style>
  <w:style w:type="paragraph" w:customStyle="1" w:styleId="358">
    <w:name w:val="样式 样式1 + 首行缩进:  2 字符"/>
    <w:basedOn w:val="215"/>
    <w:qFormat/>
    <w:uiPriority w:val="0"/>
    <w:pPr>
      <w:adjustRightInd/>
      <w:snapToGrid/>
      <w:spacing w:line="240" w:lineRule="auto"/>
      <w:ind w:firstLine="0" w:firstLineChars="0"/>
    </w:pPr>
    <w:rPr>
      <w:sz w:val="24"/>
      <w:szCs w:val="24"/>
    </w:rPr>
  </w:style>
  <w:style w:type="paragraph" w:customStyle="1" w:styleId="359">
    <w:name w:val="样式 样式 样式 样式1 + 首行缩进:  2 字符 + 首行缩进:  2 字符 段前: 0.5 行 段后: 0.5 行 + 首...1"/>
    <w:basedOn w:val="357"/>
    <w:semiHidden/>
    <w:qFormat/>
    <w:uiPriority w:val="0"/>
    <w:pPr>
      <w:ind w:firstLine="464"/>
    </w:pPr>
  </w:style>
  <w:style w:type="paragraph" w:customStyle="1" w:styleId="360">
    <w:name w:val="样式 样式1 + 首行缩进:  2 字符 Char Char Char Char Char Char"/>
    <w:basedOn w:val="1"/>
    <w:semiHidden/>
    <w:qFormat/>
    <w:uiPriority w:val="0"/>
    <w:pPr>
      <w:adjustRightInd/>
      <w:snapToGrid/>
      <w:spacing w:beforeLines="50" w:afterLines="50" w:line="460" w:lineRule="exact"/>
      <w:ind w:firstLine="480"/>
      <w:jc w:val="both"/>
    </w:pPr>
    <w:rPr>
      <w:rFonts w:cs="宋体"/>
      <w:kern w:val="0"/>
      <w:sz w:val="24"/>
      <w:szCs w:val="20"/>
      <w:lang w:val="zh-CN"/>
    </w:rPr>
  </w:style>
  <w:style w:type="paragraph" w:customStyle="1" w:styleId="361">
    <w:name w:val="样式 样式1 + 首行缩进:  2 字符 Char Char Char Char Char Char Char Char"/>
    <w:basedOn w:val="1"/>
    <w:semiHidden/>
    <w:qFormat/>
    <w:uiPriority w:val="0"/>
    <w:pPr>
      <w:adjustRightInd/>
      <w:snapToGrid/>
      <w:spacing w:beforeLines="50" w:afterLines="50" w:line="460" w:lineRule="exact"/>
      <w:ind w:firstLine="480"/>
      <w:jc w:val="both"/>
    </w:pPr>
    <w:rPr>
      <w:rFonts w:cs="宋体"/>
      <w:sz w:val="24"/>
      <w:szCs w:val="21"/>
      <w:lang w:val="zh-CN"/>
    </w:rPr>
  </w:style>
  <w:style w:type="character" w:customStyle="1" w:styleId="362">
    <w:name w:val="样式1 Char Char"/>
    <w:qFormat/>
    <w:uiPriority w:val="0"/>
    <w:rPr>
      <w:rFonts w:eastAsia="宋体"/>
      <w:sz w:val="24"/>
      <w:szCs w:val="21"/>
      <w:lang w:val="zh-CN" w:eastAsia="zh-CN" w:bidi="ar-SA"/>
    </w:rPr>
  </w:style>
  <w:style w:type="paragraph" w:customStyle="1" w:styleId="363">
    <w:name w:val="样式2"/>
    <w:basedOn w:val="1"/>
    <w:qFormat/>
    <w:uiPriority w:val="0"/>
    <w:pPr>
      <w:snapToGrid/>
      <w:spacing w:beforeLines="50" w:afterLines="50" w:line="380" w:lineRule="exact"/>
      <w:jc w:val="center"/>
      <w:textAlignment w:val="baseline"/>
    </w:pPr>
    <w:rPr>
      <w:rFonts w:eastAsia="黑体"/>
      <w:sz w:val="24"/>
      <w:szCs w:val="24"/>
    </w:rPr>
  </w:style>
  <w:style w:type="paragraph" w:customStyle="1" w:styleId="364">
    <w:name w:val="Char Char3 Char Char Char Char"/>
    <w:basedOn w:val="1"/>
    <w:qFormat/>
    <w:uiPriority w:val="0"/>
    <w:pPr>
      <w:widowControl/>
      <w:tabs>
        <w:tab w:val="left" w:pos="480"/>
      </w:tabs>
      <w:adjustRightInd/>
      <w:snapToGrid/>
      <w:spacing w:after="160" w:line="240" w:lineRule="exact"/>
      <w:ind w:firstLine="0" w:firstLineChars="0"/>
    </w:pPr>
    <w:rPr>
      <w:rFonts w:ascii="Verdana" w:hAnsi="Verdana"/>
      <w:kern w:val="0"/>
      <w:sz w:val="20"/>
      <w:szCs w:val="20"/>
      <w:lang w:eastAsia="en-US"/>
    </w:rPr>
  </w:style>
  <w:style w:type="paragraph" w:customStyle="1" w:styleId="365">
    <w:name w:val="xl40"/>
    <w:basedOn w:val="1"/>
    <w:qFormat/>
    <w:uiPriority w:val="0"/>
    <w:pPr>
      <w:widowControl/>
      <w:pBdr>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top"/>
    </w:pPr>
    <w:rPr>
      <w:color w:val="FF0000"/>
      <w:kern w:val="0"/>
      <w:sz w:val="21"/>
      <w:szCs w:val="21"/>
    </w:rPr>
  </w:style>
  <w:style w:type="paragraph" w:customStyle="1" w:styleId="366">
    <w:name w:val="Body Text 21"/>
    <w:basedOn w:val="1"/>
    <w:qFormat/>
    <w:uiPriority w:val="0"/>
    <w:pPr>
      <w:tabs>
        <w:tab w:val="left" w:pos="567"/>
      </w:tabs>
      <w:snapToGrid/>
      <w:spacing w:line="410" w:lineRule="atLeast"/>
      <w:ind w:firstLine="480" w:firstLineChars="0"/>
      <w:jc w:val="both"/>
      <w:textAlignment w:val="baseline"/>
    </w:pPr>
    <w:rPr>
      <w:rFonts w:ascii="宋体"/>
      <w:kern w:val="0"/>
      <w:sz w:val="24"/>
      <w:szCs w:val="20"/>
    </w:rPr>
  </w:style>
  <w:style w:type="paragraph" w:customStyle="1" w:styleId="367">
    <w:name w:val="Char Char Char Char Char Char Char Char Char"/>
    <w:basedOn w:val="1"/>
    <w:qFormat/>
    <w:uiPriority w:val="0"/>
    <w:pPr>
      <w:adjustRightInd/>
      <w:snapToGrid/>
      <w:spacing w:line="240" w:lineRule="auto"/>
      <w:ind w:firstLine="0" w:firstLineChars="0"/>
      <w:jc w:val="both"/>
    </w:pPr>
    <w:rPr>
      <w:sz w:val="21"/>
      <w:szCs w:val="24"/>
    </w:rPr>
  </w:style>
  <w:style w:type="paragraph" w:customStyle="1" w:styleId="368">
    <w:name w:val="标准"/>
    <w:basedOn w:val="1"/>
    <w:qFormat/>
    <w:uiPriority w:val="0"/>
    <w:pPr>
      <w:snapToGrid/>
      <w:spacing w:line="600" w:lineRule="atLeast"/>
      <w:ind w:firstLine="0" w:firstLineChars="0"/>
      <w:jc w:val="both"/>
      <w:textAlignment w:val="baseline"/>
    </w:pPr>
    <w:rPr>
      <w:kern w:val="0"/>
      <w:sz w:val="28"/>
      <w:szCs w:val="20"/>
    </w:rPr>
  </w:style>
  <w:style w:type="character" w:customStyle="1" w:styleId="369">
    <w:name w:val="pt93"/>
    <w:qFormat/>
    <w:uiPriority w:val="0"/>
    <w:rPr>
      <w:color w:val="000000"/>
      <w:sz w:val="18"/>
      <w:szCs w:val="18"/>
      <w:u w:val="none"/>
    </w:rPr>
  </w:style>
  <w:style w:type="paragraph" w:customStyle="1" w:styleId="370">
    <w:name w:val="xl24"/>
    <w:basedOn w:val="1"/>
    <w:qFormat/>
    <w:uiPriority w:val="0"/>
    <w:pPr>
      <w:widowControl/>
      <w:adjustRightInd/>
      <w:snapToGrid/>
      <w:spacing w:before="100" w:beforeAutospacing="1" w:after="100" w:afterAutospacing="1" w:line="240" w:lineRule="auto"/>
      <w:ind w:firstLine="0" w:firstLineChars="0"/>
      <w:jc w:val="center"/>
    </w:pPr>
    <w:rPr>
      <w:rFonts w:ascii="Arial Unicode MS" w:hAnsi="Arial Unicode MS" w:eastAsia="Arial Unicode MS"/>
      <w:kern w:val="0"/>
      <w:sz w:val="24"/>
      <w:szCs w:val="24"/>
    </w:rPr>
  </w:style>
  <w:style w:type="paragraph" w:customStyle="1" w:styleId="371">
    <w:name w:val="Char4 Char Char Char1"/>
    <w:basedOn w:val="1"/>
    <w:semiHidden/>
    <w:qFormat/>
    <w:uiPriority w:val="0"/>
    <w:pPr>
      <w:spacing w:line="360" w:lineRule="auto"/>
      <w:jc w:val="both"/>
    </w:pPr>
    <w:rPr>
      <w:rFonts w:ascii="宋体" w:hAnsi="宋体" w:cs="宋体"/>
      <w:sz w:val="24"/>
      <w:szCs w:val="26"/>
    </w:rPr>
  </w:style>
  <w:style w:type="character" w:customStyle="1" w:styleId="372">
    <w:name w:val="样式1 Char2"/>
    <w:qFormat/>
    <w:uiPriority w:val="0"/>
    <w:rPr>
      <w:rFonts w:ascii="仿宋_GB2312" w:eastAsia="宋体"/>
      <w:kern w:val="2"/>
      <w:sz w:val="24"/>
      <w:szCs w:val="24"/>
      <w:lang w:val="en-US" w:eastAsia="zh-CN" w:bidi="ar-SA"/>
    </w:rPr>
  </w:style>
  <w:style w:type="paragraph" w:customStyle="1" w:styleId="373">
    <w:name w:val="正文11111111"/>
    <w:basedOn w:val="1"/>
    <w:qFormat/>
    <w:uiPriority w:val="0"/>
    <w:pPr>
      <w:adjustRightInd/>
      <w:snapToGrid/>
      <w:spacing w:line="440" w:lineRule="exact"/>
      <w:jc w:val="both"/>
    </w:pPr>
    <w:rPr>
      <w:rFonts w:cs="宋体"/>
      <w:sz w:val="24"/>
      <w:szCs w:val="20"/>
    </w:rPr>
  </w:style>
  <w:style w:type="paragraph" w:customStyle="1" w:styleId="374">
    <w:name w:val="正文一"/>
    <w:basedOn w:val="1"/>
    <w:qFormat/>
    <w:uiPriority w:val="0"/>
    <w:pPr>
      <w:widowControl/>
      <w:spacing w:line="480" w:lineRule="atLeast"/>
      <w:ind w:firstLine="0" w:firstLineChars="0"/>
      <w:jc w:val="both"/>
    </w:pPr>
    <w:rPr>
      <w:rFonts w:ascii="宋体" w:cs="宋体"/>
      <w:spacing w:val="6"/>
      <w:kern w:val="0"/>
      <w:sz w:val="24"/>
      <w:szCs w:val="24"/>
    </w:rPr>
  </w:style>
  <w:style w:type="paragraph" w:customStyle="1" w:styleId="375">
    <w:name w:val="正文 首行缩进:  2 字符"/>
    <w:basedOn w:val="1"/>
    <w:qFormat/>
    <w:uiPriority w:val="0"/>
    <w:pPr>
      <w:adjustRightInd/>
      <w:snapToGrid/>
      <w:spacing w:line="240" w:lineRule="auto"/>
      <w:ind w:firstLine="579"/>
      <w:jc w:val="both"/>
    </w:pPr>
    <w:rPr>
      <w:sz w:val="28"/>
      <w:szCs w:val="20"/>
    </w:rPr>
  </w:style>
  <w:style w:type="character" w:customStyle="1" w:styleId="376">
    <w:name w:val="表格文字 Char"/>
    <w:qFormat/>
    <w:uiPriority w:val="0"/>
    <w:rPr>
      <w:rFonts w:ascii="Times New Roman" w:hAnsi="Times New Roman" w:eastAsia="宋体" w:cs="Times New Roman"/>
      <w:kern w:val="0"/>
      <w:szCs w:val="28"/>
    </w:rPr>
  </w:style>
  <w:style w:type="paragraph" w:customStyle="1" w:styleId="377">
    <w:name w:val="Char Char Char Char Char Char Char Char Char Char Char Char1 Char Char Char Char Char Char Char Char Char Char Char Char Char Char Char Char Char Char Char"/>
    <w:basedOn w:val="1"/>
    <w:semiHidden/>
    <w:qFormat/>
    <w:uiPriority w:val="0"/>
    <w:pPr>
      <w:adjustRightInd/>
      <w:snapToGrid/>
      <w:spacing w:line="360" w:lineRule="auto"/>
      <w:jc w:val="both"/>
    </w:pPr>
    <w:rPr>
      <w:rFonts w:ascii="宋体" w:hAnsi="宋体" w:cs="宋体"/>
      <w:sz w:val="24"/>
      <w:szCs w:val="26"/>
    </w:rPr>
  </w:style>
  <w:style w:type="paragraph" w:customStyle="1" w:styleId="378">
    <w:name w:val="四级条标题"/>
    <w:basedOn w:val="1"/>
    <w:next w:val="1"/>
    <w:qFormat/>
    <w:uiPriority w:val="0"/>
    <w:pPr>
      <w:widowControl/>
      <w:tabs>
        <w:tab w:val="left" w:pos="360"/>
        <w:tab w:val="left" w:pos="1080"/>
        <w:tab w:val="left" w:pos="1440"/>
        <w:tab w:val="left" w:pos="1755"/>
        <w:tab w:val="left" w:pos="2250"/>
        <w:tab w:val="left" w:pos="2670"/>
      </w:tabs>
      <w:adjustRightInd/>
      <w:snapToGrid/>
      <w:spacing w:line="240" w:lineRule="auto"/>
      <w:ind w:left="1080" w:hanging="1080" w:firstLineChars="0"/>
      <w:jc w:val="both"/>
      <w:outlineLvl w:val="5"/>
    </w:pPr>
    <w:rPr>
      <w:rFonts w:ascii="黑体" w:eastAsia="黑体"/>
      <w:kern w:val="0"/>
      <w:sz w:val="21"/>
      <w:szCs w:val="20"/>
    </w:rPr>
  </w:style>
  <w:style w:type="table" w:customStyle="1" w:styleId="379">
    <w:name w:val="表格样式-ls"/>
    <w:basedOn w:val="88"/>
    <w:qFormat/>
    <w:uiPriority w:val="0"/>
    <w:pPr>
      <w:widowControl w:val="0"/>
      <w:adjustRightInd w:val="0"/>
      <w:spacing w:line="360" w:lineRule="exact"/>
      <w:jc w:val="center"/>
      <w:textAlignment w:val="center"/>
    </w:pPr>
    <w:rPr>
      <w:szCs w:val="21"/>
    </w:rPr>
    <w:tblPr>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rPr>
      <w:jc w:val="center"/>
    </w:trPr>
    <w:tcPr>
      <w:shd w:val="clear" w:color="auto" w:fill="auto"/>
      <w:tcMar>
        <w:left w:w="0" w:type="dxa"/>
        <w:right w:w="0" w:type="dxa"/>
      </w:tcMar>
      <w:vAlign w:val="center"/>
    </w:tcPr>
    <w:tblStylePr w:type="firstRow">
      <w:pPr>
        <w:jc w:val="center"/>
      </w:pPr>
      <w:rPr>
        <w:rFonts w:eastAsia="宋体"/>
        <w:b w:val="0"/>
        <w:bCs/>
        <w:color w:val="auto"/>
        <w:sz w:val="21"/>
      </w:rPr>
      <w:tcPr>
        <w:tcBorders>
          <w:tl2br w:val="nil"/>
          <w:tr2bl w:val="nil"/>
        </w:tcBorders>
        <w:shd w:val="pct20" w:color="000000" w:fill="FFFFFF"/>
      </w:tcPr>
    </w:tblStylePr>
  </w:style>
  <w:style w:type="paragraph" w:customStyle="1" w:styleId="380">
    <w:name w:val="基准页脚样式"/>
    <w:basedOn w:val="34"/>
    <w:qFormat/>
    <w:uiPriority w:val="0"/>
    <w:pPr>
      <w:adjustRightInd/>
      <w:snapToGrid/>
      <w:spacing w:beforeLines="0" w:line="240" w:lineRule="exact"/>
      <w:jc w:val="center"/>
    </w:pPr>
    <w:rPr>
      <w:rFonts w:ascii="宋体" w:hAnsi="宋体"/>
      <w:bCs/>
      <w:snapToGrid/>
      <w:color w:val="0000FF"/>
      <w:w w:val="90"/>
      <w:kern w:val="2"/>
      <w:sz w:val="21"/>
      <w:szCs w:val="21"/>
    </w:rPr>
  </w:style>
  <w:style w:type="paragraph" w:customStyle="1" w:styleId="381">
    <w:name w:val="xl36"/>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382">
    <w:name w:val="表格内格式"/>
    <w:basedOn w:val="1"/>
    <w:qFormat/>
    <w:uiPriority w:val="0"/>
    <w:pPr>
      <w:adjustRightInd/>
      <w:snapToGrid/>
      <w:spacing w:line="240" w:lineRule="exact"/>
      <w:ind w:firstLine="0" w:firstLineChars="0"/>
      <w:jc w:val="center"/>
    </w:pPr>
    <w:rPr>
      <w:rFonts w:ascii="宋体"/>
      <w:sz w:val="21"/>
      <w:szCs w:val="24"/>
    </w:rPr>
  </w:style>
  <w:style w:type="paragraph" w:customStyle="1" w:styleId="383">
    <w:name w:val="一级标题"/>
    <w:next w:val="258"/>
    <w:qFormat/>
    <w:uiPriority w:val="1"/>
    <w:pPr>
      <w:tabs>
        <w:tab w:val="left" w:pos="425"/>
        <w:tab w:val="left" w:pos="9720"/>
      </w:tabs>
      <w:ind w:left="425" w:hanging="425"/>
    </w:pPr>
    <w:rPr>
      <w:rFonts w:ascii="Times New Roman" w:hAnsi="Times New Roman" w:eastAsia="黑体" w:cs="Times New Roman"/>
      <w:sz w:val="30"/>
      <w:lang w:val="en-US" w:eastAsia="zh-CN" w:bidi="ar-SA"/>
    </w:rPr>
  </w:style>
  <w:style w:type="paragraph" w:customStyle="1" w:styleId="384">
    <w:name w:val="表格1"/>
    <w:basedOn w:val="1"/>
    <w:link w:val="2440"/>
    <w:qFormat/>
    <w:uiPriority w:val="0"/>
    <w:pPr>
      <w:adjustRightInd/>
      <w:snapToGrid/>
      <w:spacing w:line="300" w:lineRule="exact"/>
      <w:ind w:firstLine="0" w:firstLineChars="0"/>
      <w:jc w:val="center"/>
    </w:pPr>
    <w:rPr>
      <w:bCs/>
      <w:color w:val="000000"/>
      <w:kern w:val="0"/>
      <w:sz w:val="21"/>
      <w:szCs w:val="19"/>
    </w:rPr>
  </w:style>
  <w:style w:type="paragraph" w:customStyle="1" w:styleId="385">
    <w:name w:val="正文11"/>
    <w:basedOn w:val="1"/>
    <w:link w:val="929"/>
    <w:qFormat/>
    <w:uiPriority w:val="0"/>
    <w:pPr>
      <w:snapToGrid/>
      <w:spacing w:line="410" w:lineRule="atLeast"/>
      <w:ind w:firstLine="0" w:firstLineChars="0"/>
      <w:textAlignment w:val="baseline"/>
    </w:pPr>
    <w:rPr>
      <w:rFonts w:ascii="宋体"/>
      <w:color w:val="000000"/>
      <w:kern w:val="0"/>
      <w:sz w:val="24"/>
      <w:szCs w:val="20"/>
    </w:rPr>
  </w:style>
  <w:style w:type="paragraph" w:customStyle="1" w:styleId="386">
    <w:name w:val="一级条标题"/>
    <w:basedOn w:val="387"/>
    <w:next w:val="1"/>
    <w:qFormat/>
    <w:uiPriority w:val="0"/>
    <w:pPr>
      <w:tabs>
        <w:tab w:val="left" w:pos="903"/>
      </w:tabs>
    </w:pPr>
  </w:style>
  <w:style w:type="paragraph" w:customStyle="1" w:styleId="387">
    <w:name w:val="章标题"/>
    <w:next w:val="1"/>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388">
    <w:name w:val="表内字"/>
    <w:link w:val="3217"/>
    <w:qFormat/>
    <w:uiPriority w:val="0"/>
    <w:pPr>
      <w:widowControl w:val="0"/>
      <w:autoSpaceDE w:val="0"/>
      <w:autoSpaceDN w:val="0"/>
      <w:adjustRightInd w:val="0"/>
      <w:spacing w:line="240" w:lineRule="exact"/>
      <w:jc w:val="both"/>
    </w:pPr>
    <w:rPr>
      <w:rFonts w:ascii="宋体" w:hAnsi="宋体" w:eastAsia="宋体" w:cs="Times New Roman"/>
      <w:w w:val="95"/>
      <w:sz w:val="21"/>
      <w:szCs w:val="21"/>
      <w:lang w:val="en-US" w:eastAsia="zh-CN" w:bidi="ar-SA"/>
    </w:rPr>
  </w:style>
  <w:style w:type="paragraph" w:customStyle="1" w:styleId="389">
    <w:name w:val="样式 标题 1 + 华文中宋 两端对齐 左侧:  0 厘米"/>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390">
    <w:name w:val="01"/>
    <w:basedOn w:val="1"/>
    <w:semiHidden/>
    <w:qFormat/>
    <w:uiPriority w:val="0"/>
    <w:pPr>
      <w:spacing w:line="360" w:lineRule="auto"/>
      <w:jc w:val="both"/>
    </w:pPr>
    <w:rPr>
      <w:rFonts w:ascii="宋体" w:hAnsi="宋体" w:cs="宋体"/>
      <w:sz w:val="24"/>
      <w:szCs w:val="26"/>
    </w:rPr>
  </w:style>
  <w:style w:type="paragraph" w:customStyle="1" w:styleId="391">
    <w:name w:val="CC Char Char Char Char Char Char"/>
    <w:basedOn w:val="51"/>
    <w:next w:val="51"/>
    <w:semiHidden/>
    <w:qFormat/>
    <w:uiPriority w:val="0"/>
    <w:pPr>
      <w:spacing w:beforeLines="0" w:afterLines="0"/>
      <w:ind w:left="630" w:leftChars="100" w:right="100" w:rightChars="100" w:firstLine="0" w:firstLineChars="0"/>
    </w:pPr>
    <w:rPr>
      <w:sz w:val="28"/>
      <w:szCs w:val="28"/>
    </w:rPr>
  </w:style>
  <w:style w:type="paragraph" w:customStyle="1" w:styleId="392">
    <w:name w:val="表号"/>
    <w:basedOn w:val="388"/>
    <w:next w:val="388"/>
    <w:link w:val="1611"/>
    <w:qFormat/>
    <w:uiPriority w:val="0"/>
    <w:pPr>
      <w:autoSpaceDE/>
      <w:autoSpaceDN/>
      <w:adjustRightInd/>
      <w:spacing w:line="440" w:lineRule="exact"/>
      <w:ind w:firstLine="113"/>
    </w:pPr>
    <w:rPr>
      <w:color w:val="000000"/>
      <w:spacing w:val="6"/>
      <w:sz w:val="24"/>
      <w:szCs w:val="24"/>
    </w:rPr>
  </w:style>
  <w:style w:type="paragraph" w:customStyle="1" w:styleId="393">
    <w:name w:val="正文文字"/>
    <w:basedOn w:val="1"/>
    <w:qFormat/>
    <w:uiPriority w:val="0"/>
    <w:pPr>
      <w:adjustRightInd/>
      <w:spacing w:beforeLines="50" w:line="312" w:lineRule="auto"/>
      <w:ind w:firstLine="540" w:firstLineChars="225"/>
      <w:jc w:val="both"/>
    </w:pPr>
    <w:rPr>
      <w:rFonts w:ascii="Arial" w:hAnsi="Arial" w:eastAsia="仿宋_GB2312" w:cs="Arial"/>
      <w:bCs/>
      <w:kern w:val="0"/>
      <w:sz w:val="24"/>
      <w:szCs w:val="24"/>
      <w:lang w:val="de-DE"/>
    </w:rPr>
  </w:style>
  <w:style w:type="paragraph" w:customStyle="1" w:styleId="394">
    <w:name w:val="Char Char1 Char Char Char Char"/>
    <w:basedOn w:val="1"/>
    <w:qFormat/>
    <w:uiPriority w:val="0"/>
    <w:pPr>
      <w:adjustRightInd/>
      <w:snapToGrid/>
      <w:spacing w:line="240" w:lineRule="auto"/>
      <w:ind w:firstLine="0" w:firstLineChars="0"/>
      <w:jc w:val="both"/>
    </w:pPr>
    <w:rPr>
      <w:sz w:val="24"/>
      <w:szCs w:val="24"/>
    </w:rPr>
  </w:style>
  <w:style w:type="paragraph" w:customStyle="1" w:styleId="395">
    <w:name w:val="前言、引言标题"/>
    <w:next w:val="1"/>
    <w:qFormat/>
    <w:uiPriority w:val="0"/>
    <w:pPr>
      <w:shd w:val="clear" w:color="FFFFFF" w:fill="FFFFFF"/>
      <w:tabs>
        <w:tab w:val="left" w:pos="600"/>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396">
    <w:name w:val=".."/>
    <w:basedOn w:val="1"/>
    <w:next w:val="1"/>
    <w:qFormat/>
    <w:uiPriority w:val="0"/>
    <w:pPr>
      <w:autoSpaceDE w:val="0"/>
      <w:autoSpaceDN w:val="0"/>
      <w:snapToGrid/>
      <w:spacing w:line="240" w:lineRule="auto"/>
      <w:ind w:firstLine="0" w:firstLineChars="0"/>
    </w:pPr>
    <w:rPr>
      <w:rFonts w:ascii="宋体"/>
      <w:kern w:val="0"/>
      <w:sz w:val="20"/>
      <w:szCs w:val="24"/>
    </w:rPr>
  </w:style>
  <w:style w:type="paragraph" w:customStyle="1" w:styleId="397">
    <w:name w:val="样式 样式1 + 宋体 首行缩进:  2 字符"/>
    <w:basedOn w:val="1"/>
    <w:qFormat/>
    <w:uiPriority w:val="0"/>
    <w:pPr>
      <w:adjustRightInd/>
      <w:snapToGrid/>
      <w:spacing w:line="180" w:lineRule="atLeast"/>
      <w:ind w:firstLine="520"/>
      <w:jc w:val="both"/>
    </w:pPr>
    <w:rPr>
      <w:rFonts w:ascii="宋体" w:hAnsi="宋体"/>
      <w:sz w:val="28"/>
      <w:szCs w:val="28"/>
    </w:rPr>
  </w:style>
  <w:style w:type="paragraph" w:customStyle="1" w:styleId="398">
    <w:name w:val="Char2 Char Char Char Char Char Char"/>
    <w:basedOn w:val="1"/>
    <w:qFormat/>
    <w:uiPriority w:val="0"/>
    <w:pPr>
      <w:adjustRightInd/>
      <w:snapToGrid/>
      <w:spacing w:line="240" w:lineRule="auto"/>
      <w:ind w:firstLine="0" w:firstLineChars="0"/>
      <w:jc w:val="both"/>
    </w:pPr>
    <w:rPr>
      <w:sz w:val="21"/>
      <w:szCs w:val="24"/>
    </w:rPr>
  </w:style>
  <w:style w:type="paragraph" w:customStyle="1" w:styleId="399">
    <w:name w:val="Char Char Char Char1"/>
    <w:basedOn w:val="1"/>
    <w:qFormat/>
    <w:uiPriority w:val="0"/>
    <w:pPr>
      <w:adjustRightInd/>
      <w:snapToGrid/>
      <w:spacing w:line="360" w:lineRule="auto"/>
      <w:jc w:val="both"/>
    </w:pPr>
    <w:rPr>
      <w:rFonts w:ascii="宋体" w:hAnsi="宋体" w:cs="宋体"/>
      <w:sz w:val="24"/>
      <w:szCs w:val="24"/>
    </w:rPr>
  </w:style>
  <w:style w:type="paragraph" w:customStyle="1" w:styleId="400">
    <w:name w:val="王向东正文"/>
    <w:qFormat/>
    <w:uiPriority w:val="0"/>
    <w:pPr>
      <w:ind w:right="17" w:rightChars="8" w:firstLine="480" w:firstLineChars="200"/>
    </w:pPr>
    <w:rPr>
      <w:rFonts w:ascii="宋体" w:hAnsi="宋体" w:eastAsia="宋体" w:cs="幼圆"/>
      <w:kern w:val="2"/>
      <w:sz w:val="24"/>
      <w:szCs w:val="24"/>
      <w:lang w:val="en-US" w:eastAsia="zh-CN" w:bidi="ar-SA"/>
    </w:rPr>
  </w:style>
  <w:style w:type="paragraph" w:customStyle="1" w:styleId="401">
    <w:name w:val="样式13"/>
    <w:basedOn w:val="1"/>
    <w:qFormat/>
    <w:uiPriority w:val="0"/>
    <w:pPr>
      <w:autoSpaceDE w:val="0"/>
      <w:autoSpaceDN w:val="0"/>
      <w:spacing w:beforeLines="50"/>
      <w:ind w:firstLine="0" w:firstLineChars="0"/>
      <w:jc w:val="center"/>
      <w:outlineLvl w:val="4"/>
    </w:pPr>
    <w:rPr>
      <w:szCs w:val="26"/>
      <w:lang w:val="zh-CN"/>
    </w:rPr>
  </w:style>
  <w:style w:type="paragraph" w:customStyle="1" w:styleId="402">
    <w:name w:val="样式14"/>
    <w:basedOn w:val="1"/>
    <w:link w:val="3039"/>
    <w:qFormat/>
    <w:uiPriority w:val="0"/>
    <w:pPr>
      <w:autoSpaceDE w:val="0"/>
      <w:autoSpaceDN w:val="0"/>
      <w:snapToGrid/>
      <w:spacing w:line="320" w:lineRule="atLeast"/>
      <w:ind w:firstLine="0" w:firstLineChars="0"/>
      <w:jc w:val="center"/>
    </w:pPr>
    <w:rPr>
      <w:sz w:val="22"/>
      <w:lang w:val="zh-CN"/>
    </w:rPr>
  </w:style>
  <w:style w:type="paragraph" w:customStyle="1" w:styleId="403">
    <w:name w:val="三级条标题"/>
    <w:basedOn w:val="404"/>
    <w:next w:val="1"/>
    <w:qFormat/>
    <w:uiPriority w:val="0"/>
    <w:pPr>
      <w:tabs>
        <w:tab w:val="left" w:pos="425"/>
        <w:tab w:val="left" w:pos="1440"/>
        <w:tab w:val="left" w:pos="1755"/>
        <w:tab w:val="left" w:pos="2250"/>
        <w:tab w:val="left" w:pos="2670"/>
      </w:tabs>
      <w:ind w:left="2670"/>
      <w:outlineLvl w:val="4"/>
    </w:pPr>
  </w:style>
  <w:style w:type="paragraph" w:customStyle="1" w:styleId="404">
    <w:name w:val="二级条标题"/>
    <w:basedOn w:val="386"/>
    <w:next w:val="1"/>
    <w:link w:val="946"/>
    <w:qFormat/>
    <w:uiPriority w:val="0"/>
    <w:pPr>
      <w:tabs>
        <w:tab w:val="left" w:pos="425"/>
        <w:tab w:val="left" w:pos="1440"/>
        <w:tab w:val="left" w:pos="2250"/>
        <w:tab w:val="clear" w:pos="903"/>
      </w:tabs>
      <w:spacing w:before="0" w:after="0"/>
      <w:ind w:left="2250" w:hanging="425"/>
      <w:outlineLvl w:val="3"/>
    </w:pPr>
  </w:style>
  <w:style w:type="paragraph" w:customStyle="1" w:styleId="405">
    <w:name w:val="表中"/>
    <w:qFormat/>
    <w:uiPriority w:val="0"/>
    <w:pPr>
      <w:spacing w:line="280" w:lineRule="exact"/>
      <w:jc w:val="center"/>
    </w:pPr>
    <w:rPr>
      <w:rFonts w:ascii="Times New Roman" w:hAnsi="Times New Roman" w:eastAsia="宋体" w:cs="Times New Roman"/>
      <w:color w:val="000000"/>
      <w:spacing w:val="20"/>
      <w:kern w:val="44"/>
      <w:sz w:val="18"/>
      <w:lang w:val="en-US" w:eastAsia="zh-CN" w:bidi="ar-SA"/>
    </w:rPr>
  </w:style>
  <w:style w:type="paragraph" w:customStyle="1" w:styleId="406">
    <w:name w:val="正文王"/>
    <w:basedOn w:val="45"/>
    <w:qFormat/>
    <w:uiPriority w:val="0"/>
    <w:pPr>
      <w:spacing w:line="440" w:lineRule="exact"/>
    </w:pPr>
    <w:rPr>
      <w:rFonts w:ascii="Arial" w:hAnsi="Arial"/>
      <w:snapToGrid w:val="0"/>
      <w:kern w:val="0"/>
      <w:sz w:val="24"/>
      <w:szCs w:val="20"/>
    </w:rPr>
  </w:style>
  <w:style w:type="paragraph" w:customStyle="1" w:styleId="407">
    <w:name w:val="T表格"/>
    <w:qFormat/>
    <w:uiPriority w:val="0"/>
    <w:pPr>
      <w:widowControl w:val="0"/>
      <w:spacing w:line="280" w:lineRule="exact"/>
      <w:jc w:val="center"/>
    </w:pPr>
    <w:rPr>
      <w:rFonts w:ascii="宋体" w:hAnsi="宋体" w:eastAsia="宋体" w:cs="Times New Roman"/>
      <w:sz w:val="21"/>
      <w:szCs w:val="21"/>
      <w:lang w:val="en-US" w:eastAsia="zh-CN" w:bidi="ar-SA"/>
    </w:rPr>
  </w:style>
  <w:style w:type="paragraph" w:customStyle="1" w:styleId="408">
    <w:name w:val="z正文"/>
    <w:basedOn w:val="35"/>
    <w:qFormat/>
    <w:uiPriority w:val="0"/>
    <w:pPr>
      <w:autoSpaceDE w:val="0"/>
      <w:autoSpaceDN w:val="0"/>
      <w:spacing w:line="360" w:lineRule="auto"/>
      <w:textAlignment w:val="baseline"/>
    </w:pPr>
    <w:rPr>
      <w:kern w:val="0"/>
      <w:sz w:val="24"/>
      <w:szCs w:val="24"/>
    </w:rPr>
  </w:style>
  <w:style w:type="paragraph" w:customStyle="1" w:styleId="409">
    <w:name w:val="样式5"/>
    <w:basedOn w:val="1"/>
    <w:link w:val="831"/>
    <w:qFormat/>
    <w:uiPriority w:val="0"/>
    <w:pPr>
      <w:spacing w:beforeLines="50"/>
      <w:ind w:firstLine="0" w:firstLineChars="0"/>
      <w:jc w:val="center"/>
      <w:outlineLvl w:val="4"/>
    </w:pPr>
    <w:rPr>
      <w:bCs/>
      <w:szCs w:val="26"/>
    </w:rPr>
  </w:style>
  <w:style w:type="character" w:customStyle="1" w:styleId="410">
    <w:name w:val="datatitle1"/>
    <w:qFormat/>
    <w:uiPriority w:val="0"/>
    <w:rPr>
      <w:b/>
      <w:bCs/>
      <w:color w:val="10619F"/>
      <w:sz w:val="21"/>
      <w:szCs w:val="21"/>
    </w:rPr>
  </w:style>
  <w:style w:type="paragraph" w:customStyle="1" w:styleId="411">
    <w:name w:val="Char Char Char Char Char Char"/>
    <w:basedOn w:val="1"/>
    <w:qFormat/>
    <w:uiPriority w:val="0"/>
    <w:pPr>
      <w:adjustRightInd/>
      <w:snapToGrid/>
      <w:spacing w:line="240" w:lineRule="auto"/>
      <w:ind w:firstLine="0" w:firstLineChars="0"/>
      <w:jc w:val="both"/>
    </w:pPr>
    <w:rPr>
      <w:rFonts w:ascii="宋体" w:hAnsi="宋体"/>
      <w:sz w:val="24"/>
      <w:szCs w:val="24"/>
    </w:rPr>
  </w:style>
  <w:style w:type="paragraph" w:customStyle="1" w:styleId="412">
    <w:name w:val="Char1 Char Char Char"/>
    <w:basedOn w:val="1"/>
    <w:qFormat/>
    <w:uiPriority w:val="0"/>
    <w:pPr>
      <w:adjustRightInd/>
      <w:snapToGrid/>
      <w:spacing w:line="440" w:lineRule="exact"/>
      <w:ind w:firstLine="0" w:firstLineChars="0"/>
      <w:jc w:val="both"/>
    </w:pPr>
    <w:rPr>
      <w:rFonts w:ascii="宋体" w:hAnsi="宋体"/>
      <w:sz w:val="24"/>
      <w:szCs w:val="24"/>
    </w:rPr>
  </w:style>
  <w:style w:type="paragraph" w:customStyle="1" w:styleId="413">
    <w:name w:val="蒲正文"/>
    <w:basedOn w:val="1"/>
    <w:link w:val="1603"/>
    <w:qFormat/>
    <w:uiPriority w:val="0"/>
    <w:pPr>
      <w:spacing w:line="440" w:lineRule="exact"/>
      <w:ind w:firstLine="0" w:firstLineChars="0"/>
      <w:jc w:val="both"/>
    </w:pPr>
    <w:rPr>
      <w:rFonts w:ascii="宋体" w:hAnsi="宋体"/>
      <w:b/>
      <w:kern w:val="0"/>
      <w:sz w:val="24"/>
      <w:szCs w:val="24"/>
    </w:rPr>
  </w:style>
  <w:style w:type="paragraph" w:customStyle="1" w:styleId="414">
    <w:name w:val="样式 正文11111111 + 左侧:  0.85 厘米 首行缩进:  2 字符"/>
    <w:basedOn w:val="373"/>
    <w:qFormat/>
    <w:uiPriority w:val="0"/>
    <w:pPr>
      <w:ind w:firstLine="480"/>
    </w:pPr>
  </w:style>
  <w:style w:type="paragraph" w:customStyle="1" w:styleId="415">
    <w:name w:val="二级无标题条"/>
    <w:basedOn w:val="1"/>
    <w:qFormat/>
    <w:uiPriority w:val="0"/>
    <w:pPr>
      <w:adjustRightInd/>
      <w:snapToGrid/>
      <w:spacing w:line="240" w:lineRule="auto"/>
      <w:ind w:firstLine="0" w:firstLineChars="0"/>
      <w:jc w:val="both"/>
    </w:pPr>
    <w:rPr>
      <w:sz w:val="21"/>
      <w:szCs w:val="24"/>
    </w:rPr>
  </w:style>
  <w:style w:type="paragraph" w:customStyle="1" w:styleId="416">
    <w:name w:val="封面正文"/>
    <w:qFormat/>
    <w:uiPriority w:val="0"/>
    <w:pPr>
      <w:jc w:val="both"/>
    </w:pPr>
    <w:rPr>
      <w:rFonts w:ascii="Times New Roman" w:hAnsi="Times New Roman" w:eastAsia="宋体" w:cs="Times New Roman"/>
      <w:lang w:val="en-US" w:eastAsia="zh-CN" w:bidi="ar-SA"/>
    </w:rPr>
  </w:style>
  <w:style w:type="paragraph" w:customStyle="1" w:styleId="417">
    <w:name w:val="日期1"/>
    <w:basedOn w:val="1"/>
    <w:next w:val="1"/>
    <w:qFormat/>
    <w:uiPriority w:val="0"/>
    <w:pPr>
      <w:snapToGrid/>
      <w:spacing w:line="240" w:lineRule="auto"/>
      <w:ind w:firstLine="0" w:firstLineChars="0"/>
      <w:jc w:val="both"/>
      <w:textAlignment w:val="baseline"/>
    </w:pPr>
    <w:rPr>
      <w:sz w:val="21"/>
      <w:szCs w:val="20"/>
    </w:rPr>
  </w:style>
  <w:style w:type="paragraph" w:customStyle="1" w:styleId="418">
    <w:name w:val="报告书表格"/>
    <w:basedOn w:val="1"/>
    <w:qFormat/>
    <w:uiPriority w:val="0"/>
    <w:pPr>
      <w:snapToGrid/>
      <w:spacing w:before="60" w:after="60" w:line="240" w:lineRule="atLeast"/>
      <w:ind w:firstLine="0" w:firstLineChars="0"/>
      <w:jc w:val="center"/>
      <w:textAlignment w:val="baseline"/>
    </w:pPr>
    <w:rPr>
      <w:kern w:val="0"/>
      <w:sz w:val="21"/>
      <w:szCs w:val="20"/>
    </w:rPr>
  </w:style>
  <w:style w:type="character" w:customStyle="1" w:styleId="419">
    <w:name w:val="style21"/>
    <w:qFormat/>
    <w:uiPriority w:val="0"/>
    <w:rPr>
      <w:color w:val="000000"/>
    </w:rPr>
  </w:style>
  <w:style w:type="character" w:customStyle="1" w:styleId="420">
    <w:name w:val="Char Char7"/>
    <w:qFormat/>
    <w:uiPriority w:val="0"/>
    <w:rPr>
      <w:rFonts w:eastAsia="宋体"/>
      <w:b/>
      <w:bCs/>
      <w:kern w:val="44"/>
      <w:sz w:val="44"/>
      <w:szCs w:val="44"/>
      <w:lang w:val="en-US" w:eastAsia="zh-CN" w:bidi="ar-SA"/>
    </w:rPr>
  </w:style>
  <w:style w:type="character" w:customStyle="1" w:styleId="421">
    <w:name w:val="word3noad"/>
    <w:basedOn w:val="132"/>
    <w:qFormat/>
    <w:uiPriority w:val="0"/>
  </w:style>
  <w:style w:type="character" w:customStyle="1" w:styleId="422">
    <w:name w:val="unnamed21"/>
    <w:basedOn w:val="132"/>
    <w:qFormat/>
    <w:uiPriority w:val="0"/>
  </w:style>
  <w:style w:type="character" w:customStyle="1" w:styleId="423">
    <w:name w:val="标题 2-xh Char Char"/>
    <w:qFormat/>
    <w:uiPriority w:val="0"/>
    <w:rPr>
      <w:rFonts w:ascii="Arial" w:hAnsi="Arial" w:eastAsia="黑体"/>
      <w:b/>
      <w:bCs/>
      <w:kern w:val="2"/>
      <w:sz w:val="32"/>
      <w:szCs w:val="32"/>
      <w:lang w:val="en-US" w:eastAsia="zh-CN" w:bidi="ar-SA"/>
    </w:rPr>
  </w:style>
  <w:style w:type="paragraph" w:customStyle="1" w:styleId="424">
    <w:name w:val="表格头"/>
    <w:basedOn w:val="1"/>
    <w:qFormat/>
    <w:uiPriority w:val="0"/>
    <w:pPr>
      <w:spacing w:line="348" w:lineRule="auto"/>
      <w:ind w:firstLine="0" w:firstLineChars="0"/>
      <w:jc w:val="center"/>
    </w:pPr>
    <w:rPr>
      <w:sz w:val="28"/>
      <w:szCs w:val="24"/>
    </w:rPr>
  </w:style>
  <w:style w:type="paragraph" w:customStyle="1" w:styleId="425">
    <w:name w:val="列出段落1"/>
    <w:basedOn w:val="1"/>
    <w:qFormat/>
    <w:uiPriority w:val="0"/>
    <w:pPr>
      <w:adjustRightInd/>
      <w:snapToGrid/>
      <w:spacing w:line="240" w:lineRule="auto"/>
      <w:ind w:firstLine="420"/>
      <w:jc w:val="both"/>
    </w:pPr>
    <w:rPr>
      <w:rFonts w:ascii="Calibri" w:hAnsi="Calibri"/>
      <w:sz w:val="21"/>
    </w:rPr>
  </w:style>
  <w:style w:type="paragraph" w:customStyle="1" w:styleId="426">
    <w:name w:val="表格编号"/>
    <w:basedOn w:val="1"/>
    <w:next w:val="1"/>
    <w:link w:val="427"/>
    <w:qFormat/>
    <w:uiPriority w:val="0"/>
    <w:pPr>
      <w:adjustRightInd/>
      <w:snapToGrid/>
      <w:spacing w:before="300" w:after="200" w:line="240" w:lineRule="auto"/>
      <w:ind w:firstLine="0" w:firstLineChars="0"/>
      <w:jc w:val="center"/>
    </w:pPr>
    <w:rPr>
      <w:sz w:val="24"/>
      <w:szCs w:val="20"/>
    </w:rPr>
  </w:style>
  <w:style w:type="character" w:customStyle="1" w:styleId="427">
    <w:name w:val="表格编号 Char Char"/>
    <w:link w:val="426"/>
    <w:qFormat/>
    <w:uiPriority w:val="0"/>
    <w:rPr>
      <w:rFonts w:ascii="Times New Roman" w:hAnsi="Times New Roman"/>
      <w:kern w:val="2"/>
      <w:sz w:val="24"/>
    </w:rPr>
  </w:style>
  <w:style w:type="paragraph" w:customStyle="1" w:styleId="428">
    <w:name w:val="样式 样式 标题 3标题 3 Char Char1.1.1条标3§1.1.1.. (1.1.1)- 3rd Order ...2..."/>
    <w:basedOn w:val="1"/>
    <w:qFormat/>
    <w:uiPriority w:val="0"/>
    <w:pPr>
      <w:tabs>
        <w:tab w:val="left" w:pos="578"/>
      </w:tabs>
      <w:adjustRightInd/>
      <w:snapToGrid/>
      <w:spacing w:line="300" w:lineRule="auto"/>
      <w:ind w:firstLine="0" w:firstLineChars="0"/>
      <w:jc w:val="both"/>
      <w:outlineLvl w:val="2"/>
    </w:pPr>
    <w:rPr>
      <w:rFonts w:ascii="Arial" w:hAnsi="Arial Narrow"/>
      <w:b/>
      <w:bCs/>
      <w:kern w:val="0"/>
      <w:sz w:val="24"/>
      <w:szCs w:val="24"/>
    </w:rPr>
  </w:style>
  <w:style w:type="paragraph" w:customStyle="1" w:styleId="429">
    <w:name w:val="样式 样式 标题 2_Heading 2标题 2 Char标题21.1标题 21.1节标2可研-标题 2节 Char... + ..."/>
    <w:basedOn w:val="1"/>
    <w:qFormat/>
    <w:uiPriority w:val="0"/>
    <w:pPr>
      <w:keepNext/>
      <w:tabs>
        <w:tab w:val="left" w:pos="57"/>
      </w:tabs>
      <w:spacing w:before="120" w:after="120" w:line="300" w:lineRule="auto"/>
      <w:ind w:firstLine="0" w:firstLineChars="0"/>
      <w:jc w:val="both"/>
      <w:outlineLvl w:val="1"/>
    </w:pPr>
    <w:rPr>
      <w:rFonts w:ascii="Arial" w:hAnsi="Arial"/>
      <w:b/>
      <w:bCs/>
      <w:sz w:val="24"/>
      <w:szCs w:val="24"/>
    </w:rPr>
  </w:style>
  <w:style w:type="paragraph" w:customStyle="1" w:styleId="430">
    <w:name w:val="Char Char1 Char"/>
    <w:basedOn w:val="1"/>
    <w:qFormat/>
    <w:uiPriority w:val="0"/>
    <w:pPr>
      <w:adjustRightInd/>
      <w:snapToGrid/>
      <w:spacing w:line="240" w:lineRule="auto"/>
      <w:ind w:firstLine="0" w:firstLineChars="0"/>
      <w:jc w:val="both"/>
    </w:pPr>
    <w:rPr>
      <w:sz w:val="21"/>
      <w:szCs w:val="24"/>
    </w:rPr>
  </w:style>
  <w:style w:type="paragraph" w:customStyle="1" w:styleId="431">
    <w:name w:val="样式 标题 1 + 小四 非加粗 段前: 6 磅 段后: 6 磅 行距: 最小值 4 磅"/>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432">
    <w:name w:val="样式 标题 1 + 小四 段前: 7.8 磅 段后: 7.8 磅 行距: 多倍行距 1.25 字行"/>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433">
    <w:name w:val="表格文字缩进"/>
    <w:basedOn w:val="1"/>
    <w:next w:val="1"/>
    <w:qFormat/>
    <w:uiPriority w:val="0"/>
    <w:pPr>
      <w:adjustRightInd/>
      <w:snapToGrid/>
      <w:spacing w:line="300" w:lineRule="auto"/>
      <w:ind w:firstLine="420"/>
      <w:jc w:val="center"/>
    </w:pPr>
    <w:rPr>
      <w:color w:val="000000"/>
      <w:kern w:val="0"/>
      <w:sz w:val="21"/>
      <w:szCs w:val="24"/>
    </w:rPr>
  </w:style>
  <w:style w:type="paragraph" w:customStyle="1" w:styleId="434">
    <w:name w:val="正文3"/>
    <w:qFormat/>
    <w:uiPriority w:val="0"/>
    <w:pPr>
      <w:ind w:firstLine="480" w:firstLineChars="200"/>
    </w:pPr>
    <w:rPr>
      <w:rFonts w:ascii="Arial Narrow" w:hAnsi="Arial Narrow" w:eastAsia="宋体" w:cs="Times New Roman"/>
      <w:sz w:val="24"/>
      <w:lang w:val="en-US" w:eastAsia="zh-CN" w:bidi="ar-SA"/>
    </w:rPr>
  </w:style>
  <w:style w:type="paragraph" w:customStyle="1" w:styleId="435">
    <w:name w:val="Tabelle"/>
    <w:basedOn w:val="1"/>
    <w:qFormat/>
    <w:uiPriority w:val="0"/>
    <w:pPr>
      <w:widowControl/>
      <w:autoSpaceDE w:val="0"/>
      <w:autoSpaceDN w:val="0"/>
      <w:snapToGrid/>
      <w:spacing w:before="80" w:after="80" w:line="300" w:lineRule="auto"/>
      <w:ind w:firstLine="0" w:firstLineChars="0"/>
      <w:jc w:val="center"/>
    </w:pPr>
    <w:rPr>
      <w:rFonts w:ascii="Arial" w:hAnsi="Arial"/>
      <w:color w:val="000000"/>
      <w:kern w:val="0"/>
      <w:sz w:val="20"/>
      <w:szCs w:val="20"/>
      <w:lang w:val="en-GB"/>
    </w:rPr>
  </w:style>
  <w:style w:type="paragraph" w:customStyle="1" w:styleId="436">
    <w:name w:val="表格文字左对齐"/>
    <w:basedOn w:val="388"/>
    <w:next w:val="388"/>
    <w:qFormat/>
    <w:uiPriority w:val="0"/>
    <w:pPr>
      <w:autoSpaceDE/>
      <w:autoSpaceDN/>
      <w:snapToGrid w:val="0"/>
      <w:spacing w:line="300" w:lineRule="auto"/>
      <w:jc w:val="center"/>
    </w:pPr>
    <w:rPr>
      <w:rFonts w:ascii="Arial" w:hAnsi="Arial"/>
      <w:b/>
      <w:w w:val="100"/>
    </w:rPr>
  </w:style>
  <w:style w:type="paragraph" w:customStyle="1" w:styleId="437">
    <w:name w:val="spalten"/>
    <w:basedOn w:val="1"/>
    <w:qFormat/>
    <w:uiPriority w:val="0"/>
    <w:pPr>
      <w:widowControl/>
      <w:tabs>
        <w:tab w:val="left" w:pos="5670"/>
        <w:tab w:val="left" w:pos="7371"/>
      </w:tabs>
      <w:adjustRightInd/>
      <w:snapToGrid/>
      <w:spacing w:after="240" w:line="300" w:lineRule="auto"/>
      <w:ind w:left="3969" w:hanging="2835" w:firstLineChars="0"/>
    </w:pPr>
    <w:rPr>
      <w:rFonts w:ascii="Arial" w:hAnsi="Arial" w:eastAsia="Times New Roman"/>
      <w:color w:val="000000"/>
      <w:kern w:val="0"/>
      <w:sz w:val="22"/>
      <w:szCs w:val="20"/>
      <w:lang w:val="de-DE"/>
    </w:rPr>
  </w:style>
  <w:style w:type="paragraph" w:customStyle="1" w:styleId="438">
    <w:name w:val="正文首行不缩进"/>
    <w:basedOn w:val="1"/>
    <w:qFormat/>
    <w:uiPriority w:val="0"/>
    <w:pPr>
      <w:keepNext/>
      <w:keepLines/>
      <w:spacing w:line="360" w:lineRule="auto"/>
      <w:ind w:firstLine="0" w:firstLineChars="0"/>
      <w:jc w:val="both"/>
    </w:pPr>
    <w:rPr>
      <w:rFonts w:ascii="Arial Narrow" w:hAnsi="Arial Narrow"/>
      <w:color w:val="000000"/>
      <w:kern w:val="0"/>
      <w:sz w:val="28"/>
      <w:szCs w:val="24"/>
    </w:rPr>
  </w:style>
  <w:style w:type="paragraph" w:customStyle="1" w:styleId="439">
    <w:name w:val="目录1"/>
    <w:basedOn w:val="1"/>
    <w:qFormat/>
    <w:uiPriority w:val="0"/>
    <w:pPr>
      <w:adjustRightInd/>
      <w:snapToGrid/>
      <w:spacing w:line="300" w:lineRule="auto"/>
      <w:ind w:left="50" w:leftChars="50" w:firstLine="0" w:firstLineChars="0"/>
      <w:jc w:val="both"/>
    </w:pPr>
    <w:rPr>
      <w:rFonts w:ascii="Arial Narrow" w:hAnsi="Arial Narrow" w:eastAsia="仿宋_GB2312"/>
      <w:b/>
      <w:color w:val="000000"/>
      <w:kern w:val="0"/>
      <w:sz w:val="24"/>
      <w:szCs w:val="24"/>
    </w:rPr>
  </w:style>
  <w:style w:type="paragraph" w:customStyle="1" w:styleId="440">
    <w:name w:val="样式 五号 行距: 单倍行距 首行缩进:  0.5 字符"/>
    <w:basedOn w:val="1"/>
    <w:qFormat/>
    <w:uiPriority w:val="0"/>
    <w:pPr>
      <w:adjustRightInd/>
      <w:snapToGrid/>
      <w:spacing w:line="240" w:lineRule="auto"/>
      <w:ind w:right="147" w:rightChars="147" w:firstLine="50" w:firstLineChars="50"/>
      <w:jc w:val="right"/>
    </w:pPr>
    <w:rPr>
      <w:rFonts w:ascii="Arial Narrow" w:hAnsi="Arial Narrow" w:eastAsia="仿宋_GB2312" w:cs="宋体"/>
      <w:color w:val="000000"/>
      <w:kern w:val="0"/>
      <w:sz w:val="21"/>
      <w:szCs w:val="21"/>
    </w:rPr>
  </w:style>
  <w:style w:type="paragraph" w:customStyle="1" w:styleId="441">
    <w:name w:val="样式 样式 五号 行距: 单倍行距 首行缩进:  0.5 字符 + 首行缩进:  0.5 字符 右侧:  1.47 字符"/>
    <w:basedOn w:val="440"/>
    <w:qFormat/>
    <w:uiPriority w:val="0"/>
    <w:pPr>
      <w:ind w:right="353" w:firstLine="105"/>
      <w:jc w:val="left"/>
    </w:pPr>
    <w:rPr>
      <w:szCs w:val="20"/>
    </w:rPr>
  </w:style>
  <w:style w:type="paragraph" w:customStyle="1" w:styleId="442">
    <w:name w:val="表格文字中对齐"/>
    <w:basedOn w:val="433"/>
    <w:qFormat/>
    <w:uiPriority w:val="0"/>
    <w:pPr>
      <w:tabs>
        <w:tab w:val="left" w:pos="3780"/>
      </w:tabs>
      <w:adjustRightInd w:val="0"/>
      <w:snapToGrid w:val="0"/>
      <w:ind w:firstLine="0" w:firstLineChars="0"/>
    </w:pPr>
    <w:rPr>
      <w:rFonts w:ascii="Arial" w:hAnsi="Arial" w:cs="Arial"/>
      <w:szCs w:val="20"/>
    </w:rPr>
  </w:style>
  <w:style w:type="paragraph" w:customStyle="1" w:styleId="443">
    <w:name w:val="表格文字两端对齐"/>
    <w:basedOn w:val="433"/>
    <w:qFormat/>
    <w:uiPriority w:val="0"/>
    <w:pPr>
      <w:ind w:firstLine="0" w:firstLineChars="0"/>
    </w:pPr>
    <w:rPr>
      <w:rFonts w:ascii="Arial Narrow" w:hAnsi="Arial Narrow" w:eastAsia="仿宋_GB2312"/>
    </w:rPr>
  </w:style>
  <w:style w:type="paragraph" w:customStyle="1" w:styleId="444">
    <w:name w:val="封面分册"/>
    <w:basedOn w:val="445"/>
    <w:next w:val="445"/>
    <w:qFormat/>
    <w:uiPriority w:val="0"/>
    <w:rPr>
      <w:sz w:val="32"/>
    </w:rPr>
  </w:style>
  <w:style w:type="paragraph" w:customStyle="1" w:styleId="445">
    <w:name w:val="封面项目名称"/>
    <w:basedOn w:val="1"/>
    <w:qFormat/>
    <w:uiPriority w:val="0"/>
    <w:pPr>
      <w:adjustRightInd/>
      <w:snapToGrid/>
      <w:spacing w:line="300" w:lineRule="auto"/>
      <w:ind w:firstLine="0" w:firstLineChars="0"/>
      <w:jc w:val="center"/>
    </w:pPr>
    <w:rPr>
      <w:rFonts w:eastAsia="仿宋_GB2312"/>
      <w:b/>
      <w:color w:val="000000"/>
      <w:kern w:val="0"/>
      <w:sz w:val="44"/>
      <w:szCs w:val="24"/>
    </w:rPr>
  </w:style>
  <w:style w:type="paragraph" w:customStyle="1" w:styleId="446">
    <w:name w:val="封面首行"/>
    <w:basedOn w:val="1"/>
    <w:next w:val="445"/>
    <w:qFormat/>
    <w:uiPriority w:val="0"/>
    <w:pPr>
      <w:adjustRightInd/>
      <w:snapToGrid/>
      <w:spacing w:line="300" w:lineRule="auto"/>
      <w:ind w:firstLine="0" w:firstLineChars="0"/>
      <w:jc w:val="both"/>
    </w:pPr>
    <w:rPr>
      <w:rFonts w:eastAsia="仿宋_GB2312"/>
      <w:b/>
      <w:color w:val="000000"/>
      <w:kern w:val="0"/>
      <w:sz w:val="24"/>
      <w:szCs w:val="24"/>
    </w:rPr>
  </w:style>
  <w:style w:type="paragraph" w:customStyle="1" w:styleId="447">
    <w:name w:val="表标题"/>
    <w:link w:val="1846"/>
    <w:qFormat/>
    <w:uiPriority w:val="0"/>
    <w:pPr>
      <w:spacing w:beforeLines="50" w:line="300" w:lineRule="auto"/>
      <w:jc w:val="center"/>
    </w:pPr>
    <w:rPr>
      <w:rFonts w:ascii="Arial Narrow" w:hAnsi="Arial Narrow" w:eastAsia="仿宋_GB2312" w:cs="Times New Roman"/>
      <w:b/>
      <w:bCs/>
      <w:spacing w:val="-4"/>
      <w:sz w:val="24"/>
      <w:szCs w:val="24"/>
      <w:lang w:val="en-US" w:eastAsia="zh-CN" w:bidi="ar-SA"/>
    </w:rPr>
  </w:style>
  <w:style w:type="paragraph" w:customStyle="1" w:styleId="448">
    <w:name w:val="表中字"/>
    <w:qFormat/>
    <w:uiPriority w:val="0"/>
    <w:pPr>
      <w:widowControl w:val="0"/>
      <w:adjustRightInd w:val="0"/>
      <w:snapToGrid w:val="0"/>
      <w:jc w:val="center"/>
    </w:pPr>
    <w:rPr>
      <w:rFonts w:ascii="Times New Roman" w:hAnsi="Times New Roman" w:eastAsia="宋体" w:cs="Times New Roman"/>
      <w:w w:val="90"/>
      <w:sz w:val="21"/>
      <w:lang w:val="en-US" w:eastAsia="zh-CN" w:bidi="ar-SA"/>
    </w:rPr>
  </w:style>
  <w:style w:type="paragraph" w:customStyle="1" w:styleId="449">
    <w:name w:val="附表名称"/>
    <w:basedOn w:val="45"/>
    <w:qFormat/>
    <w:uiPriority w:val="0"/>
    <w:pPr>
      <w:spacing w:line="360" w:lineRule="auto"/>
    </w:pPr>
    <w:rPr>
      <w:rFonts w:ascii="Arial Narrow" w:hAnsi="Arial Narrow" w:eastAsia="黑体" w:cs="Courier New"/>
      <w:color w:val="000000"/>
      <w:kern w:val="0"/>
      <w:sz w:val="28"/>
    </w:rPr>
  </w:style>
  <w:style w:type="paragraph" w:customStyle="1" w:styleId="450">
    <w:name w:val="样式 样式 样式 五号 行距: 单倍行距 首行缩进:  0.5 字符 + 首行缩进:  0.5 字符 右侧:  1.47 字符 ..."/>
    <w:basedOn w:val="441"/>
    <w:qFormat/>
    <w:uiPriority w:val="0"/>
    <w:pPr>
      <w:jc w:val="both"/>
    </w:pPr>
  </w:style>
  <w:style w:type="paragraph" w:customStyle="1" w:styleId="451">
    <w:name w:val="xl28"/>
    <w:basedOn w:val="1"/>
    <w:qFormat/>
    <w:uiPriority w:val="0"/>
    <w:pPr>
      <w:widowControl/>
      <w:pBdr>
        <w:right w:val="single" w:color="auto" w:sz="4" w:space="0"/>
      </w:pBdr>
      <w:adjustRightInd/>
      <w:snapToGrid/>
      <w:spacing w:before="100" w:beforeAutospacing="1" w:after="100" w:afterAutospacing="1" w:line="240" w:lineRule="auto"/>
      <w:ind w:firstLine="0" w:firstLineChars="0"/>
      <w:jc w:val="both"/>
    </w:pPr>
    <w:rPr>
      <w:rFonts w:ascii="宋体" w:hAnsi="宋体"/>
      <w:color w:val="000000"/>
      <w:kern w:val="0"/>
      <w:sz w:val="21"/>
      <w:szCs w:val="21"/>
    </w:rPr>
  </w:style>
  <w:style w:type="paragraph" w:customStyle="1" w:styleId="452">
    <w:name w:val="标题5"/>
    <w:basedOn w:val="1"/>
    <w:qFormat/>
    <w:uiPriority w:val="0"/>
    <w:pPr>
      <w:numPr>
        <w:ilvl w:val="0"/>
        <w:numId w:val="8"/>
      </w:numPr>
      <w:tabs>
        <w:tab w:val="left" w:pos="720"/>
        <w:tab w:val="clear" w:pos="1416"/>
      </w:tabs>
      <w:adjustRightInd/>
      <w:spacing w:line="300" w:lineRule="auto"/>
      <w:ind w:left="720" w:firstLine="0" w:firstLineChars="0"/>
      <w:jc w:val="both"/>
      <w:outlineLvl w:val="2"/>
    </w:pPr>
    <w:rPr>
      <w:rFonts w:ascii="Arial Narrow" w:hAnsi="Arial Narrow" w:eastAsia="仿宋_GB2312"/>
      <w:color w:val="000000"/>
      <w:kern w:val="0"/>
      <w:sz w:val="24"/>
      <w:szCs w:val="24"/>
    </w:rPr>
  </w:style>
  <w:style w:type="paragraph" w:customStyle="1" w:styleId="453">
    <w:name w:val="目录2"/>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454">
    <w:name w:val="表字"/>
    <w:basedOn w:val="1"/>
    <w:link w:val="2168"/>
    <w:qFormat/>
    <w:uiPriority w:val="0"/>
    <w:pPr>
      <w:adjustRightInd/>
      <w:snapToGrid/>
      <w:spacing w:line="300" w:lineRule="auto"/>
      <w:ind w:firstLine="0" w:firstLineChars="0"/>
      <w:jc w:val="center"/>
    </w:pPr>
    <w:rPr>
      <w:rFonts w:ascii="宋体"/>
      <w:color w:val="000000"/>
      <w:kern w:val="0"/>
      <w:sz w:val="21"/>
      <w:szCs w:val="20"/>
    </w:rPr>
  </w:style>
  <w:style w:type="paragraph" w:customStyle="1" w:styleId="455">
    <w:name w:val="表标"/>
    <w:basedOn w:val="1"/>
    <w:next w:val="236"/>
    <w:qFormat/>
    <w:uiPriority w:val="0"/>
    <w:pPr>
      <w:tabs>
        <w:tab w:val="left" w:pos="3750"/>
      </w:tabs>
      <w:spacing w:before="120" w:line="240" w:lineRule="auto"/>
      <w:ind w:firstLine="561"/>
      <w:jc w:val="center"/>
      <w:textAlignment w:val="baseline"/>
    </w:pPr>
    <w:rPr>
      <w:rFonts w:ascii="楷体_GB2312" w:eastAsia="黑体"/>
      <w:color w:val="000000"/>
      <w:kern w:val="0"/>
      <w:sz w:val="28"/>
      <w:szCs w:val="20"/>
    </w:rPr>
  </w:style>
  <w:style w:type="paragraph" w:customStyle="1" w:styleId="456">
    <w:name w:val="正文首行缩进2字"/>
    <w:basedOn w:val="1"/>
    <w:qFormat/>
    <w:uiPriority w:val="0"/>
    <w:pPr>
      <w:keepNext/>
      <w:keepLines/>
      <w:spacing w:line="360" w:lineRule="auto"/>
      <w:ind w:firstLine="563" w:firstLineChars="201"/>
      <w:jc w:val="both"/>
    </w:pPr>
    <w:rPr>
      <w:rFonts w:ascii="Arial Narrow" w:hAnsi="Arial Narrow"/>
      <w:sz w:val="28"/>
      <w:szCs w:val="24"/>
    </w:rPr>
  </w:style>
  <w:style w:type="paragraph" w:customStyle="1" w:styleId="457">
    <w:name w:val="封面大标题"/>
    <w:basedOn w:val="445"/>
    <w:next w:val="445"/>
    <w:qFormat/>
    <w:uiPriority w:val="0"/>
    <w:rPr>
      <w:rFonts w:eastAsia="宋体"/>
      <w:b w:val="0"/>
      <w:color w:val="auto"/>
      <w:spacing w:val="100"/>
      <w:kern w:val="2"/>
      <w:sz w:val="52"/>
    </w:rPr>
  </w:style>
  <w:style w:type="paragraph" w:customStyle="1" w:styleId="458">
    <w:name w:val="表格表头"/>
    <w:basedOn w:val="433"/>
    <w:next w:val="433"/>
    <w:qFormat/>
    <w:uiPriority w:val="0"/>
    <w:pPr>
      <w:keepNext/>
      <w:keepLines/>
      <w:ind w:firstLine="2" w:firstLineChars="0"/>
    </w:pPr>
    <w:rPr>
      <w:b/>
      <w:color w:val="auto"/>
      <w:kern w:val="2"/>
    </w:rPr>
  </w:style>
  <w:style w:type="paragraph" w:customStyle="1" w:styleId="459">
    <w:name w:val="表格文字右对齐"/>
    <w:basedOn w:val="433"/>
    <w:qFormat/>
    <w:uiPriority w:val="0"/>
    <w:pPr>
      <w:ind w:firstLine="0" w:firstLineChars="0"/>
      <w:jc w:val="right"/>
    </w:pPr>
    <w:rPr>
      <w:color w:val="auto"/>
      <w:kern w:val="2"/>
    </w:rPr>
  </w:style>
  <w:style w:type="paragraph" w:customStyle="1" w:styleId="460">
    <w:name w:val="表格文字分散对齐"/>
    <w:basedOn w:val="433"/>
    <w:qFormat/>
    <w:uiPriority w:val="0"/>
    <w:pPr>
      <w:ind w:firstLine="0" w:firstLineChars="0"/>
      <w:jc w:val="distribute"/>
    </w:pPr>
    <w:rPr>
      <w:color w:val="auto"/>
      <w:kern w:val="2"/>
    </w:rPr>
  </w:style>
  <w:style w:type="paragraph" w:customStyle="1" w:styleId="461">
    <w:name w:val="表格文字自调"/>
    <w:basedOn w:val="45"/>
    <w:qFormat/>
    <w:uiPriority w:val="0"/>
    <w:pPr>
      <w:spacing w:line="300" w:lineRule="auto"/>
    </w:pPr>
    <w:rPr>
      <w:rFonts w:ascii="Times New Roman" w:hAnsi="Times New Roman" w:cs="Courier New"/>
    </w:rPr>
  </w:style>
  <w:style w:type="paragraph" w:customStyle="1" w:styleId="462">
    <w:name w:val="封面公司名称"/>
    <w:basedOn w:val="1"/>
    <w:qFormat/>
    <w:uiPriority w:val="0"/>
    <w:pPr>
      <w:spacing w:line="300" w:lineRule="auto"/>
      <w:ind w:firstLine="0" w:firstLineChars="0"/>
      <w:jc w:val="center"/>
    </w:pPr>
    <w:rPr>
      <w:rFonts w:ascii="Arial Narrow" w:hAnsi="Arial Narrow" w:eastAsia="黑体"/>
      <w:sz w:val="32"/>
      <w:szCs w:val="24"/>
    </w:rPr>
  </w:style>
  <w:style w:type="paragraph" w:customStyle="1" w:styleId="463">
    <w:name w:val="附表编号"/>
    <w:basedOn w:val="1"/>
    <w:qFormat/>
    <w:uiPriority w:val="0"/>
    <w:pPr>
      <w:spacing w:line="360" w:lineRule="auto"/>
      <w:ind w:firstLine="0" w:firstLineChars="0"/>
      <w:jc w:val="both"/>
    </w:pPr>
    <w:rPr>
      <w:rFonts w:ascii="Arial Narrow" w:hAnsi="Arial Narrow" w:eastAsia="黑体"/>
      <w:sz w:val="28"/>
      <w:szCs w:val="24"/>
    </w:rPr>
  </w:style>
  <w:style w:type="paragraph" w:customStyle="1" w:styleId="464">
    <w:name w:val="ÕýÎÄ"/>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zh-CN" w:bidi="ar-SA"/>
    </w:rPr>
  </w:style>
  <w:style w:type="paragraph" w:customStyle="1" w:styleId="465">
    <w:name w:val="font5"/>
    <w:basedOn w:val="1"/>
    <w:qFormat/>
    <w:uiPriority w:val="0"/>
    <w:pPr>
      <w:widowControl/>
      <w:adjustRightInd/>
      <w:snapToGrid/>
      <w:spacing w:before="100" w:beforeAutospacing="1" w:after="100" w:afterAutospacing="1" w:line="300" w:lineRule="auto"/>
      <w:ind w:firstLine="0" w:firstLineChars="0"/>
    </w:pPr>
    <w:rPr>
      <w:rFonts w:hint="eastAsia" w:ascii="宋体" w:hAnsi="宋体" w:cs="Arial Unicode MS"/>
      <w:kern w:val="0"/>
      <w:sz w:val="18"/>
      <w:szCs w:val="18"/>
    </w:rPr>
  </w:style>
  <w:style w:type="paragraph" w:customStyle="1" w:styleId="466">
    <w:name w:val="font6"/>
    <w:basedOn w:val="1"/>
    <w:qFormat/>
    <w:uiPriority w:val="0"/>
    <w:pPr>
      <w:widowControl/>
      <w:adjustRightInd/>
      <w:snapToGrid/>
      <w:spacing w:before="100" w:beforeAutospacing="1" w:after="100" w:afterAutospacing="1" w:line="300" w:lineRule="auto"/>
      <w:ind w:firstLine="0" w:firstLineChars="0"/>
    </w:pPr>
    <w:rPr>
      <w:rFonts w:eastAsia="Arial Unicode MS"/>
      <w:kern w:val="0"/>
      <w:sz w:val="20"/>
      <w:szCs w:val="20"/>
    </w:rPr>
  </w:style>
  <w:style w:type="paragraph" w:customStyle="1" w:styleId="467">
    <w:name w:val="font7"/>
    <w:basedOn w:val="1"/>
    <w:qFormat/>
    <w:uiPriority w:val="0"/>
    <w:pPr>
      <w:widowControl/>
      <w:adjustRightInd/>
      <w:snapToGrid/>
      <w:spacing w:before="100" w:beforeAutospacing="1" w:after="100" w:afterAutospacing="1" w:line="300" w:lineRule="auto"/>
      <w:ind w:firstLine="0" w:firstLineChars="0"/>
    </w:pPr>
    <w:rPr>
      <w:rFonts w:hint="eastAsia" w:ascii="宋体" w:hAnsi="宋体" w:cs="Arial Unicode MS"/>
      <w:color w:val="000000"/>
      <w:kern w:val="0"/>
      <w:sz w:val="20"/>
      <w:szCs w:val="20"/>
    </w:rPr>
  </w:style>
  <w:style w:type="paragraph" w:customStyle="1" w:styleId="468">
    <w:name w:val="font8"/>
    <w:basedOn w:val="1"/>
    <w:qFormat/>
    <w:uiPriority w:val="0"/>
    <w:pPr>
      <w:widowControl/>
      <w:adjustRightInd/>
      <w:snapToGrid/>
      <w:spacing w:before="100" w:beforeAutospacing="1" w:after="100" w:afterAutospacing="1" w:line="300" w:lineRule="auto"/>
      <w:ind w:firstLine="0" w:firstLineChars="0"/>
    </w:pPr>
    <w:rPr>
      <w:rFonts w:hint="eastAsia" w:ascii="楷体_GB2312" w:hAnsi="Arial Unicode MS" w:eastAsia="楷体_GB2312" w:cs="Arial Unicode MS"/>
      <w:kern w:val="0"/>
      <w:sz w:val="20"/>
      <w:szCs w:val="20"/>
    </w:rPr>
  </w:style>
  <w:style w:type="paragraph" w:customStyle="1" w:styleId="469">
    <w:name w:val="xl2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pPr>
    <w:rPr>
      <w:rFonts w:eastAsia="Arial Unicode MS"/>
      <w:color w:val="000000"/>
      <w:kern w:val="0"/>
      <w:sz w:val="20"/>
      <w:szCs w:val="20"/>
    </w:rPr>
  </w:style>
  <w:style w:type="paragraph" w:customStyle="1" w:styleId="470">
    <w:name w:val="xl27"/>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pPr>
    <w:rPr>
      <w:rFonts w:ascii="Arial Unicode MS" w:hAnsi="Arial Unicode MS" w:eastAsia="Arial Unicode MS" w:cs="Arial Unicode MS"/>
      <w:color w:val="000000"/>
      <w:kern w:val="0"/>
      <w:sz w:val="20"/>
      <w:szCs w:val="20"/>
    </w:rPr>
  </w:style>
  <w:style w:type="paragraph" w:customStyle="1" w:styleId="471">
    <w:name w:val="xl2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jc w:val="center"/>
    </w:pPr>
    <w:rPr>
      <w:rFonts w:hint="eastAsia" w:ascii="楷体_GB2312" w:hAnsi="Arial Unicode MS" w:eastAsia="楷体_GB2312" w:cs="Arial Unicode MS"/>
      <w:kern w:val="0"/>
      <w:sz w:val="20"/>
      <w:szCs w:val="20"/>
    </w:rPr>
  </w:style>
  <w:style w:type="paragraph" w:customStyle="1" w:styleId="472">
    <w:name w:val="xl30"/>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jc w:val="center"/>
    </w:pPr>
    <w:rPr>
      <w:rFonts w:hint="eastAsia" w:ascii="楷体_GB2312" w:hAnsi="Arial Unicode MS" w:eastAsia="楷体_GB2312" w:cs="Arial Unicode MS"/>
      <w:kern w:val="0"/>
      <w:sz w:val="20"/>
      <w:szCs w:val="20"/>
    </w:rPr>
  </w:style>
  <w:style w:type="paragraph" w:customStyle="1" w:styleId="473">
    <w:name w:val="xl32"/>
    <w:basedOn w:val="1"/>
    <w:qFormat/>
    <w:uiPriority w:val="0"/>
    <w:pPr>
      <w:widowControl/>
      <w:pBdr>
        <w:top w:val="single" w:color="auto" w:sz="4" w:space="0"/>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ascii="Arial Unicode MS" w:hAnsi="Arial Unicode MS" w:eastAsia="Arial Unicode MS" w:cs="Arial Unicode MS"/>
      <w:kern w:val="0"/>
      <w:sz w:val="20"/>
      <w:szCs w:val="20"/>
    </w:rPr>
  </w:style>
  <w:style w:type="paragraph" w:customStyle="1" w:styleId="474">
    <w:name w:val="xl33"/>
    <w:basedOn w:val="1"/>
    <w:qFormat/>
    <w:uiPriority w:val="0"/>
    <w:pPr>
      <w:widowControl/>
      <w:pBdr>
        <w:top w:val="single" w:color="auto" w:sz="4" w:space="0"/>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hint="eastAsia" w:ascii="楷体_GB2312" w:hAnsi="Arial Unicode MS" w:eastAsia="楷体_GB2312" w:cs="Arial Unicode MS"/>
      <w:kern w:val="0"/>
      <w:sz w:val="20"/>
      <w:szCs w:val="20"/>
    </w:rPr>
  </w:style>
  <w:style w:type="paragraph" w:customStyle="1" w:styleId="475">
    <w:name w:val="xl34"/>
    <w:basedOn w:val="1"/>
    <w:qFormat/>
    <w:uiPriority w:val="0"/>
    <w:pPr>
      <w:widowControl/>
      <w:pBdr>
        <w:top w:val="single" w:color="auto" w:sz="4" w:space="0"/>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476">
    <w:name w:val="xl35"/>
    <w:basedOn w:val="1"/>
    <w:qFormat/>
    <w:uiPriority w:val="0"/>
    <w:pPr>
      <w:widowControl/>
      <w:pBdr>
        <w:top w:val="single" w:color="auto" w:sz="4" w:space="0"/>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477">
    <w:name w:val="xl37"/>
    <w:basedOn w:val="1"/>
    <w:qFormat/>
    <w:uiPriority w:val="0"/>
    <w:pPr>
      <w:widowControl/>
      <w:pBdr>
        <w:bottom w:val="single" w:color="auto" w:sz="4" w:space="0"/>
        <w:right w:val="single" w:color="auto" w:sz="4" w:space="0"/>
      </w:pBdr>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478">
    <w:name w:val="xl38"/>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479">
    <w:name w:val="xl39"/>
    <w:basedOn w:val="1"/>
    <w:qFormat/>
    <w:uiPriority w:val="0"/>
    <w:pPr>
      <w:widowControl/>
      <w:pBdr>
        <w:left w:val="single" w:color="auto" w:sz="4" w:space="0"/>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ascii="Arial Unicode MS" w:hAnsi="Arial Unicode MS" w:eastAsia="Arial Unicode MS" w:cs="Arial Unicode MS"/>
      <w:kern w:val="0"/>
      <w:sz w:val="20"/>
      <w:szCs w:val="20"/>
    </w:rPr>
  </w:style>
  <w:style w:type="paragraph" w:customStyle="1" w:styleId="480">
    <w:name w:val="xl41"/>
    <w:basedOn w:val="1"/>
    <w:qFormat/>
    <w:uiPriority w:val="0"/>
    <w:pPr>
      <w:widowControl/>
      <w:pBdr>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hint="eastAsia" w:ascii="楷体_GB2312" w:hAnsi="Arial Unicode MS" w:eastAsia="楷体_GB2312" w:cs="Arial Unicode MS"/>
      <w:kern w:val="0"/>
      <w:sz w:val="20"/>
      <w:szCs w:val="20"/>
    </w:rPr>
  </w:style>
  <w:style w:type="paragraph" w:customStyle="1" w:styleId="481">
    <w:name w:val="xl42"/>
    <w:basedOn w:val="1"/>
    <w:qFormat/>
    <w:uiPriority w:val="0"/>
    <w:pPr>
      <w:widowControl/>
      <w:pBdr>
        <w:bottom w:val="single" w:color="auto" w:sz="4" w:space="0"/>
        <w:right w:val="single" w:color="auto" w:sz="4" w:space="0"/>
      </w:pBdr>
      <w:shd w:val="clear" w:color="auto" w:fill="99CC00"/>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482">
    <w:name w:val="xl43"/>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300" w:lineRule="auto"/>
      <w:ind w:firstLine="0" w:firstLineChars="0"/>
      <w:jc w:val="center"/>
    </w:pPr>
    <w:rPr>
      <w:rFonts w:eastAsia="Arial Unicode MS"/>
      <w:kern w:val="0"/>
      <w:sz w:val="20"/>
      <w:szCs w:val="20"/>
    </w:rPr>
  </w:style>
  <w:style w:type="paragraph" w:customStyle="1" w:styleId="483">
    <w:name w:val="注"/>
    <w:basedOn w:val="1"/>
    <w:next w:val="1"/>
    <w:qFormat/>
    <w:uiPriority w:val="0"/>
    <w:pPr>
      <w:widowControl/>
      <w:tabs>
        <w:tab w:val="left" w:pos="540"/>
        <w:tab w:val="left" w:pos="600"/>
        <w:tab w:val="left" w:pos="720"/>
        <w:tab w:val="left" w:pos="1200"/>
        <w:tab w:val="left" w:pos="1440"/>
        <w:tab w:val="left" w:pos="2448"/>
        <w:tab w:val="left" w:pos="3000"/>
        <w:tab w:val="left" w:pos="3888"/>
        <w:tab w:val="left" w:pos="4800"/>
        <w:tab w:val="left" w:pos="5883"/>
        <w:tab w:val="left" w:pos="6300"/>
        <w:tab w:val="left" w:pos="7353"/>
        <w:tab w:val="left" w:pos="8613"/>
      </w:tabs>
      <w:autoSpaceDE w:val="0"/>
      <w:autoSpaceDN w:val="0"/>
      <w:spacing w:before="60" w:after="60" w:line="312" w:lineRule="auto"/>
      <w:ind w:firstLine="0" w:firstLineChars="0"/>
    </w:pPr>
    <w:rPr>
      <w:rFonts w:ascii="宋体" w:hAnsi="宋体" w:eastAsia="黑体"/>
      <w:bCs/>
      <w:spacing w:val="6"/>
      <w:kern w:val="0"/>
      <w:sz w:val="28"/>
      <w:szCs w:val="20"/>
    </w:rPr>
  </w:style>
  <w:style w:type="paragraph" w:customStyle="1" w:styleId="484">
    <w:name w:val="样式10"/>
    <w:basedOn w:val="74"/>
    <w:next w:val="1"/>
    <w:link w:val="1344"/>
    <w:qFormat/>
    <w:uiPriority w:val="0"/>
    <w:pPr>
      <w:tabs>
        <w:tab w:val="left" w:pos="540"/>
        <w:tab w:val="left" w:pos="1008"/>
        <w:tab w:val="right" w:leader="middleDot" w:pos="8296"/>
        <w:tab w:val="right" w:leader="dot" w:pos="8493"/>
        <w:tab w:val="right" w:leader="dot" w:pos="8777"/>
        <w:tab w:val="right" w:leader="dot" w:pos="9061"/>
      </w:tabs>
      <w:kinsoku w:val="0"/>
      <w:overflowPunct w:val="0"/>
      <w:autoSpaceDE w:val="0"/>
      <w:autoSpaceDN w:val="0"/>
      <w:spacing w:line="300" w:lineRule="auto"/>
      <w:ind w:firstLine="0" w:firstLineChars="0"/>
      <w:jc w:val="center"/>
    </w:pPr>
    <w:rPr>
      <w:rFonts w:ascii="黑体" w:hAnsi="Arial" w:cs="Arial"/>
      <w:bCs/>
      <w:color w:val="000000"/>
      <w:spacing w:val="6"/>
      <w:sz w:val="52"/>
      <w:szCs w:val="28"/>
    </w:rPr>
  </w:style>
  <w:style w:type="paragraph" w:customStyle="1" w:styleId="485">
    <w:name w:val="单级编号"/>
    <w:basedOn w:val="1"/>
    <w:qFormat/>
    <w:uiPriority w:val="0"/>
    <w:pPr>
      <w:keepNext/>
      <w:tabs>
        <w:tab w:val="left" w:pos="830"/>
      </w:tabs>
      <w:adjustRightInd/>
      <w:snapToGrid/>
      <w:spacing w:line="300" w:lineRule="auto"/>
      <w:ind w:left="830" w:hanging="830" w:firstLineChars="0"/>
      <w:jc w:val="both"/>
    </w:pPr>
    <w:rPr>
      <w:rFonts w:ascii="Arial Narrow" w:hAnsi="Arial Narrow" w:eastAsia="仿宋_GB2312"/>
      <w:sz w:val="24"/>
      <w:szCs w:val="28"/>
    </w:rPr>
  </w:style>
  <w:style w:type="paragraph" w:customStyle="1" w:styleId="486">
    <w:name w:val="页码章节"/>
    <w:basedOn w:val="3"/>
    <w:next w:val="1"/>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487">
    <w:name w:val="表1"/>
    <w:basedOn w:val="236"/>
    <w:link w:val="2734"/>
    <w:qFormat/>
    <w:uiPriority w:val="0"/>
    <w:pPr>
      <w:widowControl/>
      <w:adjustRightInd w:val="0"/>
      <w:snapToGrid w:val="0"/>
      <w:jc w:val="center"/>
    </w:pPr>
    <w:rPr>
      <w:sz w:val="21"/>
    </w:rPr>
  </w:style>
  <w:style w:type="paragraph" w:customStyle="1" w:styleId="488">
    <w:name w:val="表内字一"/>
    <w:basedOn w:val="388"/>
    <w:qFormat/>
    <w:uiPriority w:val="0"/>
    <w:pPr>
      <w:autoSpaceDE/>
      <w:autoSpaceDN/>
      <w:adjustRightInd/>
      <w:snapToGrid w:val="0"/>
      <w:spacing w:line="300" w:lineRule="auto"/>
      <w:ind w:left="-105" w:right="-29"/>
      <w:jc w:val="center"/>
      <w:textAlignment w:val="baseline"/>
    </w:pPr>
    <w:rPr>
      <w:rFonts w:ascii="Arial" w:hAnsi="Arial"/>
      <w:w w:val="100"/>
      <w:kern w:val="11"/>
      <w:szCs w:val="20"/>
    </w:rPr>
  </w:style>
  <w:style w:type="paragraph" w:customStyle="1" w:styleId="489">
    <w:name w:val="xl61"/>
    <w:basedOn w:val="1"/>
    <w:qFormat/>
    <w:uiPriority w:val="0"/>
    <w:pPr>
      <w:widowControl/>
      <w:pBdr>
        <w:left w:val="single" w:color="auto" w:sz="8" w:space="0"/>
        <w:bottom w:val="single" w:color="auto" w:sz="4" w:space="0"/>
        <w:right w:val="single" w:color="auto" w:sz="8"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18"/>
      <w:szCs w:val="18"/>
    </w:rPr>
  </w:style>
  <w:style w:type="paragraph" w:customStyle="1" w:styleId="490">
    <w:name w:val="样式 样式 标题 2 + 段前: 0.5 行 段后: 0.5 行 + 段前: 0.5 行 段后: 0.5 行"/>
    <w:basedOn w:val="1"/>
    <w:qFormat/>
    <w:uiPriority w:val="0"/>
    <w:pPr>
      <w:spacing w:beforeLines="50" w:afterLines="50" w:line="300" w:lineRule="auto"/>
      <w:ind w:firstLine="0" w:firstLineChars="0"/>
      <w:outlineLvl w:val="1"/>
    </w:pPr>
    <w:rPr>
      <w:rFonts w:ascii="Arial Narrow" w:hAnsi="Arial Narrow" w:eastAsia="仿宋_GB2312"/>
      <w:b/>
      <w:bCs/>
      <w:kern w:val="0"/>
      <w:sz w:val="24"/>
      <w:szCs w:val="20"/>
    </w:rPr>
  </w:style>
  <w:style w:type="paragraph" w:customStyle="1" w:styleId="491">
    <w:name w:val="xl79"/>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hint="eastAsia" w:ascii="楷体_GB2312" w:hAnsi="Arial Unicode MS" w:eastAsia="楷体_GB2312"/>
      <w:b/>
      <w:bCs/>
      <w:kern w:val="0"/>
      <w:sz w:val="24"/>
      <w:szCs w:val="24"/>
    </w:rPr>
  </w:style>
  <w:style w:type="paragraph" w:customStyle="1" w:styleId="492">
    <w:name w:val="正文首行缩进1"/>
    <w:basedOn w:val="87"/>
    <w:next w:val="1"/>
    <w:link w:val="2896"/>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ind w:firstLine="561"/>
      <w:textAlignment w:val="baseline"/>
    </w:pPr>
    <w:rPr>
      <w:rFonts w:ascii="Times New Roman" w:hAnsi="Times New Roman" w:eastAsia="宋体"/>
      <w:kern w:val="0"/>
      <w:sz w:val="28"/>
    </w:rPr>
  </w:style>
  <w:style w:type="paragraph" w:customStyle="1" w:styleId="493">
    <w:name w:val="批注框文本1"/>
    <w:basedOn w:val="1"/>
    <w:semiHidden/>
    <w:qFormat/>
    <w:uiPriority w:val="0"/>
    <w:pPr>
      <w:adjustRightInd/>
      <w:snapToGrid/>
      <w:spacing w:line="300" w:lineRule="auto"/>
      <w:ind w:firstLine="0" w:firstLineChars="0"/>
      <w:jc w:val="both"/>
    </w:pPr>
    <w:rPr>
      <w:rFonts w:ascii="Arial Narrow" w:hAnsi="Arial Narrow" w:eastAsia="仿宋_GB2312"/>
      <w:sz w:val="18"/>
      <w:szCs w:val="18"/>
    </w:rPr>
  </w:style>
  <w:style w:type="character" w:customStyle="1" w:styleId="494">
    <w:name w:val="style141"/>
    <w:qFormat/>
    <w:uiPriority w:val="0"/>
    <w:rPr>
      <w:rFonts w:ascii="Verdana" w:hAnsi="Verdana" w:eastAsia="宋体"/>
      <w:color w:val="666666"/>
      <w:lang w:val="en-US" w:eastAsia="en-US" w:bidi="ar-SA"/>
    </w:rPr>
  </w:style>
  <w:style w:type="paragraph" w:customStyle="1" w:styleId="495">
    <w:name w:val="text"/>
    <w:basedOn w:val="1"/>
    <w:qFormat/>
    <w:uiPriority w:val="0"/>
    <w:pPr>
      <w:widowControl/>
      <w:adjustRightInd/>
      <w:snapToGrid/>
      <w:spacing w:before="100" w:beforeAutospacing="1" w:after="100" w:afterAutospacing="1" w:line="300" w:lineRule="atLeast"/>
      <w:ind w:firstLine="0" w:firstLineChars="0"/>
    </w:pPr>
    <w:rPr>
      <w:rFonts w:ascii="Arial Unicode MS" w:hAnsi="Arial Unicode MS" w:eastAsia="Arial Unicode MS" w:cs="Arial Unicode MS"/>
      <w:kern w:val="0"/>
      <w:sz w:val="18"/>
      <w:szCs w:val="18"/>
    </w:rPr>
  </w:style>
  <w:style w:type="character" w:customStyle="1" w:styleId="496">
    <w:name w:val="text3"/>
    <w:qFormat/>
    <w:uiPriority w:val="0"/>
    <w:rPr>
      <w:rFonts w:ascii="Verdana" w:hAnsi="Verdana" w:eastAsia="宋体"/>
      <w:sz w:val="18"/>
      <w:szCs w:val="18"/>
      <w:lang w:val="en-US" w:eastAsia="en-US" w:bidi="ar-SA"/>
    </w:rPr>
  </w:style>
  <w:style w:type="paragraph" w:customStyle="1" w:styleId="497">
    <w:name w:val="font9"/>
    <w:basedOn w:val="1"/>
    <w:qFormat/>
    <w:uiPriority w:val="0"/>
    <w:pPr>
      <w:widowControl/>
      <w:adjustRightInd/>
      <w:snapToGrid/>
      <w:spacing w:before="100" w:beforeAutospacing="1" w:after="100" w:afterAutospacing="1" w:line="240" w:lineRule="auto"/>
      <w:ind w:firstLine="0" w:firstLineChars="0"/>
    </w:pPr>
    <w:rPr>
      <w:rFonts w:ascii="Arial Narrow" w:hAnsi="Arial Narrow" w:eastAsia="Arial Unicode MS" w:cs="Arial Unicode MS"/>
      <w:kern w:val="0"/>
      <w:sz w:val="21"/>
      <w:szCs w:val="21"/>
    </w:rPr>
  </w:style>
  <w:style w:type="paragraph" w:customStyle="1" w:styleId="498">
    <w:name w:val="font10"/>
    <w:basedOn w:val="1"/>
    <w:qFormat/>
    <w:uiPriority w:val="0"/>
    <w:pPr>
      <w:widowControl/>
      <w:adjustRightInd/>
      <w:snapToGrid/>
      <w:spacing w:before="100" w:beforeAutospacing="1" w:after="100" w:afterAutospacing="1" w:line="240" w:lineRule="auto"/>
      <w:ind w:firstLine="0" w:firstLineChars="0"/>
    </w:pPr>
    <w:rPr>
      <w:rFonts w:hint="eastAsia" w:ascii="黑体" w:hAnsi="Arial Unicode MS" w:eastAsia="黑体" w:cs="Arial Unicode MS"/>
      <w:kern w:val="0"/>
      <w:sz w:val="21"/>
      <w:szCs w:val="21"/>
    </w:rPr>
  </w:style>
  <w:style w:type="paragraph" w:customStyle="1" w:styleId="499">
    <w:name w:val="font11"/>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21"/>
      <w:szCs w:val="21"/>
    </w:rPr>
  </w:style>
  <w:style w:type="paragraph" w:customStyle="1" w:styleId="500">
    <w:name w:val="smj Char"/>
    <w:basedOn w:val="1"/>
    <w:qFormat/>
    <w:uiPriority w:val="0"/>
    <w:pPr>
      <w:adjustRightInd/>
      <w:snapToGrid/>
      <w:spacing w:line="240" w:lineRule="auto"/>
      <w:ind w:firstLine="0" w:firstLineChars="0"/>
      <w:jc w:val="both"/>
    </w:pPr>
    <w:rPr>
      <w:rFonts w:eastAsia="黑体"/>
      <w:sz w:val="21"/>
      <w:szCs w:val="24"/>
    </w:rPr>
  </w:style>
  <w:style w:type="paragraph" w:customStyle="1" w:styleId="501">
    <w:name w:val="123"/>
    <w:basedOn w:val="1"/>
    <w:qFormat/>
    <w:uiPriority w:val="0"/>
    <w:pPr>
      <w:adjustRightInd/>
      <w:snapToGrid/>
      <w:spacing w:line="360" w:lineRule="auto"/>
      <w:ind w:firstLine="454" w:firstLineChars="0"/>
      <w:jc w:val="both"/>
    </w:pPr>
    <w:rPr>
      <w:sz w:val="24"/>
      <w:szCs w:val="20"/>
    </w:rPr>
  </w:style>
  <w:style w:type="paragraph" w:customStyle="1" w:styleId="502">
    <w:name w:val="正文中对齐"/>
    <w:basedOn w:val="1"/>
    <w:qFormat/>
    <w:uiPriority w:val="0"/>
    <w:pPr>
      <w:adjustRightInd/>
      <w:spacing w:before="60" w:after="60" w:line="60" w:lineRule="atLeast"/>
      <w:ind w:firstLine="0" w:firstLineChars="0"/>
      <w:jc w:val="center"/>
    </w:pPr>
    <w:rPr>
      <w:sz w:val="24"/>
      <w:szCs w:val="20"/>
    </w:rPr>
  </w:style>
  <w:style w:type="paragraph" w:customStyle="1" w:styleId="503">
    <w:name w:val="宏福正文-2"/>
    <w:basedOn w:val="86"/>
    <w:qFormat/>
    <w:uiPriority w:val="0"/>
    <w:pPr>
      <w:snapToGrid w:val="0"/>
      <w:spacing w:before="240" w:after="0" w:line="400" w:lineRule="atLeast"/>
      <w:ind w:firstLine="567" w:firstLineChars="0"/>
    </w:pPr>
    <w:rPr>
      <w:b/>
      <w:bCs/>
      <w:color w:val="auto"/>
      <w:sz w:val="28"/>
      <w:szCs w:val="20"/>
    </w:rPr>
  </w:style>
  <w:style w:type="paragraph" w:customStyle="1" w:styleId="504">
    <w:name w:val="宏福4"/>
    <w:basedOn w:val="503"/>
    <w:qFormat/>
    <w:uiPriority w:val="0"/>
  </w:style>
  <w:style w:type="paragraph" w:customStyle="1" w:styleId="505">
    <w:name w:val="宏福3A"/>
    <w:basedOn w:val="1"/>
    <w:qFormat/>
    <w:uiPriority w:val="0"/>
    <w:pPr>
      <w:keepNext/>
      <w:keepLines/>
      <w:adjustRightInd/>
      <w:spacing w:before="240" w:line="240" w:lineRule="auto"/>
      <w:ind w:firstLine="0" w:firstLineChars="0"/>
      <w:jc w:val="both"/>
      <w:outlineLvl w:val="2"/>
    </w:pPr>
    <w:rPr>
      <w:b/>
      <w:sz w:val="24"/>
      <w:szCs w:val="20"/>
    </w:rPr>
  </w:style>
  <w:style w:type="paragraph" w:customStyle="1" w:styleId="506">
    <w:name w:val="Date1"/>
    <w:basedOn w:val="1"/>
    <w:next w:val="1"/>
    <w:qFormat/>
    <w:uiPriority w:val="0"/>
    <w:pPr>
      <w:autoSpaceDE w:val="0"/>
      <w:autoSpaceDN w:val="0"/>
      <w:snapToGrid/>
      <w:spacing w:line="360" w:lineRule="atLeast"/>
      <w:ind w:firstLine="0" w:firstLineChars="0"/>
      <w:textAlignment w:val="baseline"/>
    </w:pPr>
    <w:rPr>
      <w:rFonts w:eastAsia="楷体_GB2312"/>
      <w:kern w:val="0"/>
      <w:sz w:val="24"/>
      <w:szCs w:val="20"/>
    </w:rPr>
  </w:style>
  <w:style w:type="paragraph" w:customStyle="1" w:styleId="507">
    <w:name w:val="文字缩"/>
    <w:basedOn w:val="1"/>
    <w:qFormat/>
    <w:uiPriority w:val="0"/>
    <w:pPr>
      <w:autoSpaceDE w:val="0"/>
      <w:autoSpaceDN w:val="0"/>
      <w:spacing w:line="480" w:lineRule="atLeast"/>
    </w:pPr>
    <w:rPr>
      <w:rFonts w:ascii="宋体"/>
      <w:snapToGrid w:val="0"/>
      <w:spacing w:val="6"/>
      <w:kern w:val="0"/>
      <w:sz w:val="28"/>
      <w:szCs w:val="20"/>
    </w:rPr>
  </w:style>
  <w:style w:type="character" w:customStyle="1" w:styleId="508">
    <w:name w:val="标题 Char1"/>
    <w:qFormat/>
    <w:uiPriority w:val="0"/>
    <w:rPr>
      <w:rFonts w:ascii="Arial" w:hAnsi="Arial" w:eastAsia="宋体" w:cs="Arial"/>
      <w:b/>
      <w:bCs/>
      <w:kern w:val="2"/>
      <w:sz w:val="32"/>
      <w:szCs w:val="32"/>
      <w:lang w:val="en-US" w:eastAsia="zh-CN" w:bidi="ar-SA"/>
    </w:rPr>
  </w:style>
  <w:style w:type="character" w:customStyle="1" w:styleId="509">
    <w:name w:val="§1. Char1"/>
    <w:qFormat/>
    <w:uiPriority w:val="0"/>
    <w:rPr>
      <w:rFonts w:ascii="Arial Narrow" w:hAnsi="Arial Narrow" w:eastAsia="仿宋_GB2312" w:cs="Arial"/>
      <w:b/>
      <w:bCs/>
      <w:kern w:val="44"/>
      <w:sz w:val="32"/>
      <w:szCs w:val="44"/>
      <w:lang w:val="en-US" w:eastAsia="zh-CN" w:bidi="ar-SA"/>
    </w:rPr>
  </w:style>
  <w:style w:type="paragraph" w:customStyle="1" w:styleId="510">
    <w:name w:val="xl44"/>
    <w:basedOn w:val="1"/>
    <w:qFormat/>
    <w:uiPriority w:val="0"/>
    <w:pPr>
      <w:widowControl/>
      <w:pBdr>
        <w:bottom w:val="single" w:color="auto" w:sz="4" w:space="0"/>
        <w:right w:val="single" w:color="auto" w:sz="8" w:space="0"/>
      </w:pBdr>
      <w:adjustRightInd/>
      <w:snapToGrid/>
      <w:spacing w:before="100" w:beforeAutospacing="1" w:after="100" w:afterAutospacing="1" w:line="240" w:lineRule="auto"/>
      <w:ind w:firstLine="0" w:firstLineChars="0"/>
      <w:textAlignment w:val="center"/>
    </w:pPr>
    <w:rPr>
      <w:rFonts w:ascii="Arial" w:hAnsi="Arial" w:eastAsia="Arial Unicode MS" w:cs="Arial"/>
      <w:kern w:val="0"/>
      <w:sz w:val="20"/>
      <w:szCs w:val="20"/>
    </w:rPr>
  </w:style>
  <w:style w:type="paragraph" w:customStyle="1" w:styleId="511">
    <w:name w:val="xl45"/>
    <w:basedOn w:val="1"/>
    <w:qFormat/>
    <w:uiPriority w:val="0"/>
    <w:pPr>
      <w:widowControl/>
      <w:pBdr>
        <w:left w:val="single" w:color="auto" w:sz="4" w:space="0"/>
        <w:bottom w:val="single" w:color="auto" w:sz="4" w:space="0"/>
      </w:pBdr>
      <w:adjustRightInd/>
      <w:snapToGrid/>
      <w:spacing w:before="100" w:beforeAutospacing="1" w:after="100" w:afterAutospacing="1" w:line="240" w:lineRule="auto"/>
      <w:ind w:firstLine="0" w:firstLineChars="0"/>
      <w:textAlignment w:val="center"/>
    </w:pPr>
    <w:rPr>
      <w:rFonts w:ascii="Arial Unicode MS" w:hAnsi="Arial Unicode MS" w:eastAsia="Arial Unicode MS" w:cs="Arial Unicode MS"/>
      <w:kern w:val="0"/>
      <w:sz w:val="20"/>
      <w:szCs w:val="20"/>
    </w:rPr>
  </w:style>
  <w:style w:type="paragraph" w:customStyle="1" w:styleId="512">
    <w:name w:val="xl46"/>
    <w:basedOn w:val="1"/>
    <w:qFormat/>
    <w:uiPriority w:val="0"/>
    <w:pPr>
      <w:widowControl/>
      <w:pBdr>
        <w:bottom w:val="single" w:color="auto" w:sz="4" w:space="0"/>
        <w:right w:val="single" w:color="auto" w:sz="4" w:space="0"/>
      </w:pBdr>
      <w:adjustRightInd/>
      <w:snapToGrid/>
      <w:spacing w:before="100" w:beforeAutospacing="1" w:after="100" w:afterAutospacing="1" w:line="240" w:lineRule="auto"/>
      <w:ind w:firstLine="0" w:firstLineChars="0"/>
      <w:textAlignment w:val="center"/>
    </w:pPr>
    <w:rPr>
      <w:rFonts w:ascii="Arial" w:hAnsi="Arial" w:eastAsia="Arial Unicode MS" w:cs="Arial"/>
      <w:kern w:val="0"/>
      <w:sz w:val="20"/>
      <w:szCs w:val="20"/>
    </w:rPr>
  </w:style>
  <w:style w:type="paragraph" w:customStyle="1" w:styleId="513">
    <w:name w:val="xl47"/>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textAlignment w:val="center"/>
    </w:pPr>
    <w:rPr>
      <w:rFonts w:ascii="Arial Unicode MS" w:hAnsi="Arial Unicode MS" w:eastAsia="Arial Unicode MS" w:cs="Arial Unicode MS"/>
      <w:kern w:val="0"/>
      <w:sz w:val="20"/>
      <w:szCs w:val="20"/>
    </w:rPr>
  </w:style>
  <w:style w:type="paragraph" w:customStyle="1" w:styleId="514">
    <w:name w:val="xl48"/>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textAlignment w:val="center"/>
    </w:pPr>
    <w:rPr>
      <w:rFonts w:ascii="Arial" w:hAnsi="Arial" w:eastAsia="Arial Unicode MS" w:cs="Arial"/>
      <w:kern w:val="0"/>
      <w:sz w:val="20"/>
      <w:szCs w:val="20"/>
    </w:rPr>
  </w:style>
  <w:style w:type="paragraph" w:customStyle="1" w:styleId="515">
    <w:name w:val="xl49"/>
    <w:basedOn w:val="1"/>
    <w:qFormat/>
    <w:uiPriority w:val="0"/>
    <w:pPr>
      <w:widowControl/>
      <w:pBdr>
        <w:top w:val="single" w:color="auto" w:sz="8" w:space="0"/>
        <w:left w:val="single" w:color="auto" w:sz="8"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b/>
      <w:bCs/>
      <w:kern w:val="0"/>
      <w:sz w:val="20"/>
      <w:szCs w:val="20"/>
    </w:rPr>
  </w:style>
  <w:style w:type="paragraph" w:customStyle="1" w:styleId="516">
    <w:name w:val="xl50"/>
    <w:basedOn w:val="1"/>
    <w:qFormat/>
    <w:uiPriority w:val="0"/>
    <w:pPr>
      <w:widowControl/>
      <w:pBdr>
        <w:top w:val="single" w:color="auto" w:sz="8"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17">
    <w:name w:val="xl51"/>
    <w:basedOn w:val="1"/>
    <w:qFormat/>
    <w:uiPriority w:val="0"/>
    <w:pPr>
      <w:widowControl/>
      <w:pBdr>
        <w:top w:val="single" w:color="auto" w:sz="8"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18">
    <w:name w:val="xl52"/>
    <w:basedOn w:val="1"/>
    <w:qFormat/>
    <w:uiPriority w:val="0"/>
    <w:pPr>
      <w:widowControl/>
      <w:pBdr>
        <w:top w:val="single" w:color="auto" w:sz="8" w:space="0"/>
        <w:right w:val="single" w:color="auto" w:sz="4"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19">
    <w:name w:val="xl53"/>
    <w:basedOn w:val="1"/>
    <w:qFormat/>
    <w:uiPriority w:val="0"/>
    <w:pPr>
      <w:widowControl/>
      <w:pBdr>
        <w:top w:val="single" w:color="auto" w:sz="8" w:space="0"/>
        <w:bottom w:val="single" w:color="auto" w:sz="4" w:space="0"/>
        <w:right w:val="single" w:color="auto" w:sz="8"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20">
    <w:name w:val="xl54"/>
    <w:basedOn w:val="1"/>
    <w:qFormat/>
    <w:uiPriority w:val="0"/>
    <w:pPr>
      <w:widowControl/>
      <w:pBdr>
        <w:left w:val="single" w:color="auto" w:sz="8" w:space="0"/>
        <w:bottom w:val="single" w:color="auto" w:sz="4"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21">
    <w:name w:val="xl55"/>
    <w:basedOn w:val="1"/>
    <w:qFormat/>
    <w:uiPriority w:val="0"/>
    <w:pPr>
      <w:widowControl/>
      <w:pBdr>
        <w:bottom w:val="single" w:color="auto" w:sz="4"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22">
    <w:name w:val="xl56"/>
    <w:basedOn w:val="1"/>
    <w:qFormat/>
    <w:uiPriority w:val="0"/>
    <w:pPr>
      <w:widowControl/>
      <w:pBdr>
        <w:bottom w:val="single" w:color="auto" w:sz="4" w:space="0"/>
        <w:right w:val="single" w:color="auto" w:sz="4"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23">
    <w:name w:val="xl57"/>
    <w:basedOn w:val="1"/>
    <w:qFormat/>
    <w:uiPriority w:val="0"/>
    <w:pPr>
      <w:widowControl/>
      <w:pBdr>
        <w:left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b/>
      <w:bCs/>
      <w:kern w:val="0"/>
      <w:sz w:val="20"/>
      <w:szCs w:val="20"/>
    </w:rPr>
  </w:style>
  <w:style w:type="paragraph" w:customStyle="1" w:styleId="524">
    <w:name w:val="xl58"/>
    <w:basedOn w:val="1"/>
    <w:qFormat/>
    <w:uiPriority w:val="0"/>
    <w:pPr>
      <w:widowControl/>
      <w:adjustRightInd/>
      <w:snapToGrid/>
      <w:spacing w:before="100" w:beforeAutospacing="1" w:after="100" w:afterAutospacing="1" w:line="240" w:lineRule="auto"/>
      <w:ind w:firstLine="0" w:firstLineChars="0"/>
      <w:jc w:val="center"/>
      <w:textAlignment w:val="center"/>
    </w:pPr>
    <w:rPr>
      <w:rFonts w:ascii="Arial" w:hAnsi="Arial" w:eastAsia="Arial Unicode MS" w:cs="Arial"/>
      <w:b/>
      <w:bCs/>
      <w:kern w:val="0"/>
      <w:sz w:val="20"/>
      <w:szCs w:val="20"/>
    </w:rPr>
  </w:style>
  <w:style w:type="paragraph" w:customStyle="1" w:styleId="525">
    <w:name w:val="xl59"/>
    <w:basedOn w:val="1"/>
    <w:qFormat/>
    <w:uiPriority w:val="0"/>
    <w:pPr>
      <w:widowControl/>
      <w:pBdr>
        <w:righ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b/>
      <w:bCs/>
      <w:kern w:val="0"/>
      <w:sz w:val="20"/>
      <w:szCs w:val="20"/>
    </w:rPr>
  </w:style>
  <w:style w:type="paragraph" w:customStyle="1" w:styleId="526">
    <w:name w:val="xl60"/>
    <w:basedOn w:val="1"/>
    <w:qFormat/>
    <w:uiPriority w:val="0"/>
    <w:pPr>
      <w:widowControl/>
      <w:pBdr>
        <w:left w:val="single" w:color="auto" w:sz="4" w:space="0"/>
        <w:bottom w:val="single" w:color="auto" w:sz="4" w:space="0"/>
      </w:pBdr>
      <w:adjustRightInd/>
      <w:snapToGrid/>
      <w:spacing w:before="100" w:beforeAutospacing="1" w:after="100" w:afterAutospacing="1" w:line="240" w:lineRule="auto"/>
      <w:ind w:firstLine="0" w:firstLineChars="0"/>
      <w:textAlignment w:val="center"/>
    </w:pPr>
    <w:rPr>
      <w:rFonts w:eastAsia="Arial Unicode MS"/>
      <w:kern w:val="0"/>
      <w:sz w:val="20"/>
      <w:szCs w:val="20"/>
    </w:rPr>
  </w:style>
  <w:style w:type="paragraph" w:customStyle="1" w:styleId="527">
    <w:name w:val="xl6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w:hAnsi="Arial" w:eastAsia="Arial Unicode MS" w:cs="Arial"/>
      <w:kern w:val="0"/>
      <w:sz w:val="20"/>
      <w:szCs w:val="20"/>
    </w:rPr>
  </w:style>
  <w:style w:type="paragraph" w:customStyle="1" w:styleId="528">
    <w:name w:val="xl63"/>
    <w:basedOn w:val="1"/>
    <w:qFormat/>
    <w:uiPriority w:val="0"/>
    <w:pPr>
      <w:widowControl/>
      <w:pBdr>
        <w:lef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b/>
      <w:bCs/>
      <w:kern w:val="0"/>
      <w:sz w:val="20"/>
      <w:szCs w:val="20"/>
    </w:rPr>
  </w:style>
  <w:style w:type="paragraph" w:customStyle="1" w:styleId="529">
    <w:name w:val="xl64"/>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 w:val="20"/>
      <w:szCs w:val="20"/>
    </w:rPr>
  </w:style>
  <w:style w:type="paragraph" w:customStyle="1" w:styleId="530">
    <w:name w:val="xl65"/>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31">
    <w:name w:val="xl66"/>
    <w:basedOn w:val="1"/>
    <w:qFormat/>
    <w:uiPriority w:val="0"/>
    <w:pPr>
      <w:widowControl/>
      <w:pBdr>
        <w:top w:val="single" w:color="auto" w:sz="4" w:space="0"/>
        <w:bottom w:val="single" w:color="auto" w:sz="4" w:space="0"/>
        <w:right w:val="single" w:color="auto" w:sz="8"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32">
    <w:name w:val="xl67"/>
    <w:basedOn w:val="1"/>
    <w:qFormat/>
    <w:uiPriority w:val="0"/>
    <w:pPr>
      <w:widowControl/>
      <w:pBdr>
        <w:left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b/>
      <w:bCs/>
      <w:kern w:val="0"/>
      <w:sz w:val="20"/>
      <w:szCs w:val="20"/>
    </w:rPr>
  </w:style>
  <w:style w:type="paragraph" w:customStyle="1" w:styleId="533">
    <w:name w:val="xl68"/>
    <w:basedOn w:val="1"/>
    <w:qFormat/>
    <w:uiPriority w:val="0"/>
    <w:pPr>
      <w:widowControl/>
      <w:pBdr>
        <w:bottom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b/>
      <w:bCs/>
      <w:kern w:val="0"/>
      <w:sz w:val="20"/>
      <w:szCs w:val="20"/>
    </w:rPr>
  </w:style>
  <w:style w:type="paragraph" w:customStyle="1" w:styleId="534">
    <w:name w:val="xl69"/>
    <w:basedOn w:val="1"/>
    <w:qFormat/>
    <w:uiPriority w:val="0"/>
    <w:pPr>
      <w:widowControl/>
      <w:pBdr>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b/>
      <w:bCs/>
      <w:kern w:val="0"/>
      <w:sz w:val="20"/>
      <w:szCs w:val="20"/>
    </w:rPr>
  </w:style>
  <w:style w:type="paragraph" w:customStyle="1" w:styleId="535">
    <w:name w:val="xl7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 w:val="20"/>
      <w:szCs w:val="20"/>
    </w:rPr>
  </w:style>
  <w:style w:type="paragraph" w:customStyle="1" w:styleId="536">
    <w:name w:val="xl71"/>
    <w:basedOn w:val="1"/>
    <w:qFormat/>
    <w:uiPriority w:val="0"/>
    <w:pPr>
      <w:widowControl/>
      <w:pBdr>
        <w:top w:val="single" w:color="auto" w:sz="4" w:space="0"/>
        <w:left w:val="single" w:color="auto" w:sz="4" w:space="0"/>
        <w:bottom w:val="single" w:color="auto" w:sz="4" w:space="0"/>
        <w:right w:val="single" w:color="auto" w:sz="8"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37">
    <w:name w:val="xl72"/>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 w:val="20"/>
      <w:szCs w:val="20"/>
    </w:rPr>
  </w:style>
  <w:style w:type="paragraph" w:customStyle="1" w:styleId="538">
    <w:name w:val="xl73"/>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 w:val="20"/>
      <w:szCs w:val="20"/>
    </w:rPr>
  </w:style>
  <w:style w:type="paragraph" w:customStyle="1" w:styleId="539">
    <w:name w:val="xl74"/>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 w:val="20"/>
      <w:szCs w:val="20"/>
    </w:rPr>
  </w:style>
  <w:style w:type="paragraph" w:customStyle="1" w:styleId="540">
    <w:name w:val="xl75"/>
    <w:basedOn w:val="1"/>
    <w:qFormat/>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41">
    <w:name w:val="xl76"/>
    <w:basedOn w:val="1"/>
    <w:qFormat/>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42">
    <w:name w:val="xl77"/>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43">
    <w:name w:val="xl78"/>
    <w:basedOn w:val="1"/>
    <w:qFormat/>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44">
    <w:name w:val="xl80"/>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w:hAnsi="Arial" w:eastAsia="Arial Unicode MS" w:cs="Arial"/>
      <w:kern w:val="0"/>
      <w:sz w:val="20"/>
      <w:szCs w:val="20"/>
    </w:rPr>
  </w:style>
  <w:style w:type="paragraph" w:customStyle="1" w:styleId="545">
    <w:name w:val="xl81"/>
    <w:basedOn w:val="1"/>
    <w:qFormat/>
    <w:uiPriority w:val="0"/>
    <w:pPr>
      <w:widowControl/>
      <w:pBdr>
        <w:top w:val="single" w:color="auto" w:sz="4" w:space="0"/>
        <w:left w:val="single" w:color="auto" w:sz="8"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Arial Unicode MS" w:hAnsi="Arial Unicode MS" w:eastAsia="Arial Unicode MS" w:cs="Arial Unicode MS"/>
      <w:kern w:val="0"/>
      <w:sz w:val="20"/>
      <w:szCs w:val="20"/>
    </w:rPr>
  </w:style>
  <w:style w:type="paragraph" w:customStyle="1" w:styleId="546">
    <w:name w:val="xl82"/>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textAlignment w:val="center"/>
    </w:pPr>
    <w:rPr>
      <w:rFonts w:ascii="Arial Unicode MS" w:hAnsi="Arial Unicode MS" w:eastAsia="Arial Unicode MS" w:cs="Arial Unicode MS"/>
      <w:kern w:val="0"/>
      <w:sz w:val="20"/>
      <w:szCs w:val="20"/>
    </w:rPr>
  </w:style>
  <w:style w:type="paragraph" w:customStyle="1" w:styleId="547">
    <w:name w:val="xl83"/>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textAlignment w:val="center"/>
    </w:pPr>
    <w:rPr>
      <w:rFonts w:ascii="Arial" w:hAnsi="Arial" w:eastAsia="Arial Unicode MS" w:cs="Arial"/>
      <w:kern w:val="0"/>
      <w:sz w:val="20"/>
      <w:szCs w:val="20"/>
    </w:rPr>
  </w:style>
  <w:style w:type="paragraph" w:customStyle="1" w:styleId="548">
    <w:name w:val="xl84"/>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ascii="Arial" w:hAnsi="Arial" w:eastAsia="Arial Unicode MS" w:cs="Arial"/>
      <w:kern w:val="0"/>
      <w:sz w:val="20"/>
      <w:szCs w:val="20"/>
    </w:rPr>
  </w:style>
  <w:style w:type="paragraph" w:customStyle="1" w:styleId="549">
    <w:name w:val="xl85"/>
    <w:basedOn w:val="1"/>
    <w:qFormat/>
    <w:uiPriority w:val="0"/>
    <w:pPr>
      <w:widowControl/>
      <w:pBdr>
        <w:top w:val="single" w:color="auto" w:sz="4" w:space="0"/>
        <w:bottom w:val="single" w:color="auto" w:sz="4" w:space="0"/>
        <w:right w:val="single" w:color="auto" w:sz="8" w:space="0"/>
      </w:pBdr>
      <w:adjustRightInd/>
      <w:snapToGrid/>
      <w:spacing w:before="100" w:beforeAutospacing="1" w:after="100" w:afterAutospacing="1" w:line="240" w:lineRule="auto"/>
      <w:ind w:firstLine="0" w:firstLineChars="0"/>
      <w:jc w:val="center"/>
    </w:pPr>
    <w:rPr>
      <w:rFonts w:ascii="Arial" w:hAnsi="Arial" w:eastAsia="Arial Unicode MS" w:cs="Arial"/>
      <w:kern w:val="0"/>
      <w:sz w:val="20"/>
      <w:szCs w:val="20"/>
    </w:rPr>
  </w:style>
  <w:style w:type="paragraph" w:customStyle="1" w:styleId="550">
    <w:name w:val="xl86"/>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pPr>
    <w:rPr>
      <w:rFonts w:ascii="Arial" w:hAnsi="Arial" w:eastAsia="Arial Unicode MS" w:cs="Arial"/>
      <w:kern w:val="0"/>
      <w:sz w:val="20"/>
      <w:szCs w:val="20"/>
    </w:rPr>
  </w:style>
  <w:style w:type="paragraph" w:customStyle="1" w:styleId="551">
    <w:name w:val="xl87"/>
    <w:basedOn w:val="1"/>
    <w:qFormat/>
    <w:uiPriority w:val="0"/>
    <w:pPr>
      <w:widowControl/>
      <w:pBdr>
        <w:top w:val="single" w:color="auto" w:sz="4" w:space="0"/>
        <w:left w:val="single" w:color="auto" w:sz="4" w:space="0"/>
      </w:pBdr>
      <w:adjustRightInd/>
      <w:snapToGrid/>
      <w:spacing w:before="100" w:beforeAutospacing="1" w:after="100" w:afterAutospacing="1" w:line="240" w:lineRule="auto"/>
      <w:ind w:firstLine="0" w:firstLineChars="0"/>
      <w:jc w:val="center"/>
    </w:pPr>
    <w:rPr>
      <w:rFonts w:ascii="Arial" w:hAnsi="Arial" w:eastAsia="Arial Unicode MS" w:cs="Arial"/>
      <w:kern w:val="0"/>
      <w:sz w:val="20"/>
      <w:szCs w:val="20"/>
    </w:rPr>
  </w:style>
  <w:style w:type="paragraph" w:customStyle="1" w:styleId="552">
    <w:name w:val="xl88"/>
    <w:basedOn w:val="1"/>
    <w:qFormat/>
    <w:uiPriority w:val="0"/>
    <w:pPr>
      <w:widowControl/>
      <w:pBdr>
        <w:top w:val="single" w:color="auto" w:sz="4" w:space="0"/>
        <w:right w:val="single" w:color="auto" w:sz="8" w:space="0"/>
      </w:pBdr>
      <w:adjustRightInd/>
      <w:snapToGrid/>
      <w:spacing w:before="100" w:beforeAutospacing="1" w:after="100" w:afterAutospacing="1" w:line="240" w:lineRule="auto"/>
      <w:ind w:firstLine="0" w:firstLineChars="0"/>
      <w:jc w:val="center"/>
    </w:pPr>
    <w:rPr>
      <w:rFonts w:ascii="Arial" w:hAnsi="Arial" w:eastAsia="Arial Unicode MS" w:cs="Arial"/>
      <w:kern w:val="0"/>
      <w:sz w:val="20"/>
      <w:szCs w:val="20"/>
    </w:rPr>
  </w:style>
  <w:style w:type="paragraph" w:customStyle="1" w:styleId="553">
    <w:name w:val="xl89"/>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0"/>
      <w:szCs w:val="20"/>
    </w:rPr>
  </w:style>
  <w:style w:type="paragraph" w:customStyle="1" w:styleId="554">
    <w:name w:val="xl90"/>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0"/>
      <w:szCs w:val="20"/>
    </w:rPr>
  </w:style>
  <w:style w:type="paragraph" w:customStyle="1" w:styleId="555">
    <w:name w:val="xl91"/>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eastAsia="Arial Unicode MS" w:cs="Arial Unicode MS"/>
      <w:kern w:val="0"/>
      <w:sz w:val="20"/>
      <w:szCs w:val="20"/>
    </w:rPr>
  </w:style>
  <w:style w:type="paragraph" w:customStyle="1" w:styleId="556">
    <w:name w:val="xl92"/>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textAlignment w:val="center"/>
    </w:pPr>
    <w:rPr>
      <w:rFonts w:ascii="Arial Unicode MS" w:hAnsi="Arial Unicode MS" w:eastAsia="Arial Unicode MS" w:cs="Arial Unicode MS"/>
      <w:kern w:val="0"/>
      <w:sz w:val="20"/>
      <w:szCs w:val="20"/>
    </w:rPr>
  </w:style>
  <w:style w:type="paragraph" w:customStyle="1" w:styleId="557">
    <w:name w:val="样式 标题 51)项标5标题 5 Char21) Char2项 Char2 + 左侧:  -0.04 厘米"/>
    <w:basedOn w:val="558"/>
    <w:qFormat/>
    <w:uiPriority w:val="0"/>
    <w:pPr>
      <w:tabs>
        <w:tab w:val="left" w:pos="628"/>
        <w:tab w:val="left" w:pos="1727"/>
        <w:tab w:val="left" w:pos="1884"/>
        <w:tab w:val="left" w:pos="2660"/>
        <w:tab w:val="left" w:pos="5460"/>
      </w:tabs>
    </w:pPr>
    <w:rPr>
      <w:rFonts w:ascii="黑体" w:eastAsia="黑体"/>
      <w:color w:val="auto"/>
      <w:szCs w:val="28"/>
    </w:rPr>
  </w:style>
  <w:style w:type="paragraph" w:customStyle="1" w:styleId="558">
    <w:name w:val="样式 标题 51)项标5标题 5 Char21) Char2项 Char2 + 黑色 行距: 1.5 倍行距"/>
    <w:basedOn w:val="559"/>
    <w:qFormat/>
    <w:uiPriority w:val="0"/>
    <w:pPr>
      <w:tabs>
        <w:tab w:val="left" w:pos="628"/>
        <w:tab w:val="left" w:pos="1727"/>
        <w:tab w:val="left" w:pos="1884"/>
        <w:tab w:val="left" w:pos="2660"/>
        <w:tab w:val="left" w:pos="5460"/>
      </w:tabs>
    </w:pPr>
    <w:rPr>
      <w:szCs w:val="20"/>
    </w:rPr>
  </w:style>
  <w:style w:type="paragraph" w:customStyle="1" w:styleId="559">
    <w:name w:val="标题 55"/>
    <w:basedOn w:val="1"/>
    <w:qFormat/>
    <w:uiPriority w:val="0"/>
    <w:pPr>
      <w:tabs>
        <w:tab w:val="left" w:pos="628"/>
        <w:tab w:val="left" w:pos="1727"/>
        <w:tab w:val="left" w:pos="1884"/>
        <w:tab w:val="left" w:pos="2660"/>
        <w:tab w:val="left" w:pos="5460"/>
      </w:tabs>
      <w:autoSpaceDE w:val="0"/>
      <w:autoSpaceDN w:val="0"/>
      <w:spacing w:line="300" w:lineRule="auto"/>
      <w:ind w:firstLine="0" w:firstLineChars="0"/>
      <w:jc w:val="center"/>
    </w:pPr>
    <w:rPr>
      <w:rFonts w:ascii="仿宋_GB2312" w:hAnsi="宋体" w:eastAsia="仿宋_GB2312"/>
      <w:color w:val="000000"/>
      <w:sz w:val="24"/>
      <w:szCs w:val="24"/>
    </w:rPr>
  </w:style>
  <w:style w:type="paragraph" w:customStyle="1" w:styleId="560">
    <w:name w:val="样式 表格文字居中 + 右侧:  -0.06 字符1"/>
    <w:basedOn w:val="561"/>
    <w:qFormat/>
    <w:uiPriority w:val="0"/>
    <w:pPr>
      <w:textAlignment w:val="auto"/>
    </w:pPr>
    <w:rPr>
      <w:rFonts w:ascii="仿宋_GB2312" w:eastAsia="仿宋_GB2312"/>
      <w:color w:val="000000"/>
      <w:szCs w:val="20"/>
    </w:rPr>
  </w:style>
  <w:style w:type="paragraph" w:customStyle="1" w:styleId="561">
    <w:name w:val="表格文字居中 Char"/>
    <w:basedOn w:val="1"/>
    <w:qFormat/>
    <w:uiPriority w:val="0"/>
    <w:pPr>
      <w:autoSpaceDE w:val="0"/>
      <w:autoSpaceDN w:val="0"/>
      <w:spacing w:line="240" w:lineRule="auto"/>
      <w:ind w:firstLine="0" w:firstLineChars="0"/>
      <w:jc w:val="center"/>
      <w:textAlignment w:val="bottom"/>
    </w:pPr>
    <w:rPr>
      <w:rFonts w:ascii="宋体" w:hAnsi="宋体"/>
      <w:sz w:val="24"/>
      <w:szCs w:val="24"/>
    </w:rPr>
  </w:style>
  <w:style w:type="character" w:customStyle="1" w:styleId="562">
    <w:name w:val="font"/>
    <w:qFormat/>
    <w:uiPriority w:val="0"/>
    <w:rPr>
      <w:rFonts w:ascii="Verdana" w:hAnsi="Verdana" w:eastAsia="宋体"/>
      <w:lang w:val="en-US" w:eastAsia="en-US" w:bidi="ar-SA"/>
    </w:rPr>
  </w:style>
  <w:style w:type="paragraph" w:customStyle="1" w:styleId="563">
    <w:name w:val="样式 标题 3标题 3 Char Char1.1.1条标3§1.1.1.. (1.1.1)- 3rd Order ..."/>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character" w:customStyle="1" w:styleId="564">
    <w:name w:val="px141"/>
    <w:qFormat/>
    <w:uiPriority w:val="0"/>
    <w:rPr>
      <w:rFonts w:hint="default" w:eastAsia="宋体"/>
      <w:sz w:val="21"/>
      <w:szCs w:val="21"/>
      <w:lang w:val="en-US" w:eastAsia="en-US" w:bidi="ar-SA"/>
    </w:rPr>
  </w:style>
  <w:style w:type="character" w:customStyle="1" w:styleId="565">
    <w:name w:val="px14"/>
    <w:qFormat/>
    <w:uiPriority w:val="0"/>
    <w:rPr>
      <w:rFonts w:ascii="Verdana" w:hAnsi="Verdana" w:eastAsia="宋体"/>
      <w:lang w:val="en-US" w:eastAsia="en-US" w:bidi="ar-SA"/>
    </w:rPr>
  </w:style>
  <w:style w:type="character" w:customStyle="1" w:styleId="566">
    <w:name w:val="hand"/>
    <w:qFormat/>
    <w:uiPriority w:val="0"/>
    <w:rPr>
      <w:rFonts w:ascii="Verdana" w:hAnsi="Verdana" w:eastAsia="宋体"/>
      <w:lang w:val="en-US" w:eastAsia="en-US" w:bidi="ar-SA"/>
    </w:rPr>
  </w:style>
  <w:style w:type="paragraph" w:customStyle="1" w:styleId="567">
    <w:name w:val="正文2"/>
    <w:basedOn w:val="1"/>
    <w:qFormat/>
    <w:uiPriority w:val="0"/>
    <w:pPr>
      <w:tabs>
        <w:tab w:val="left" w:pos="-709"/>
        <w:tab w:val="left" w:pos="284"/>
        <w:tab w:val="left" w:pos="1416"/>
      </w:tabs>
      <w:spacing w:before="120" w:line="300" w:lineRule="auto"/>
      <w:ind w:left="1416" w:hanging="720" w:firstLineChars="0"/>
      <w:jc w:val="center"/>
      <w:textAlignment w:val="baseline"/>
    </w:pPr>
    <w:rPr>
      <w:kern w:val="0"/>
      <w:sz w:val="24"/>
      <w:szCs w:val="20"/>
    </w:rPr>
  </w:style>
  <w:style w:type="character" w:customStyle="1" w:styleId="568">
    <w:name w:val="djcn2"/>
    <w:qFormat/>
    <w:uiPriority w:val="0"/>
    <w:rPr>
      <w:rFonts w:ascii="Verdana" w:hAnsi="Verdana" w:eastAsia="宋体"/>
      <w:color w:val="666666"/>
      <w:lang w:val="en-US" w:eastAsia="en-US" w:bidi="ar-SA"/>
    </w:rPr>
  </w:style>
  <w:style w:type="character" w:customStyle="1" w:styleId="569">
    <w:name w:val="c01"/>
    <w:qFormat/>
    <w:uiPriority w:val="0"/>
    <w:rPr>
      <w:rFonts w:ascii="Verdana" w:hAnsi="Verdana" w:eastAsia="宋体"/>
      <w:sz w:val="22"/>
      <w:szCs w:val="22"/>
      <w:shd w:val="clear" w:color="auto" w:fill="FBF8E6"/>
      <w:lang w:val="en-US" w:eastAsia="en-US" w:bidi="ar-SA"/>
    </w:rPr>
  </w:style>
  <w:style w:type="paragraph" w:customStyle="1" w:styleId="570">
    <w:name w:val="font0"/>
    <w:basedOn w:val="1"/>
    <w:qFormat/>
    <w:uiPriority w:val="0"/>
    <w:pPr>
      <w:widowControl/>
      <w:adjustRightInd/>
      <w:snapToGrid/>
      <w:spacing w:before="100" w:beforeAutospacing="1" w:after="100" w:afterAutospacing="1" w:line="240" w:lineRule="auto"/>
      <w:ind w:firstLine="0" w:firstLineChars="0"/>
    </w:pPr>
    <w:rPr>
      <w:rFonts w:hint="eastAsia" w:ascii="宋体" w:hAnsi="宋体" w:cs="Arial Unicode MS"/>
      <w:kern w:val="0"/>
      <w:sz w:val="24"/>
      <w:szCs w:val="24"/>
    </w:rPr>
  </w:style>
  <w:style w:type="paragraph" w:customStyle="1" w:styleId="571">
    <w:name w:val="样式 标题 3标题 3 Char Char1.1.1条标3§1.1.1.. (1.1.1)- 3rd Order ...1"/>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572">
    <w:name w:val="样式 标题 4Char1.1.1.1标题 4.1.1.1.1款1.1.1.1 Char标4§1.1.1.1§1...."/>
    <w:basedOn w:val="6"/>
    <w:link w:val="573"/>
    <w:qFormat/>
    <w:uiPriority w:val="0"/>
    <w:pPr>
      <w:keepNext/>
      <w:keepLines/>
      <w:widowControl w:val="0"/>
      <w:numPr>
        <w:ilvl w:val="0"/>
        <w:numId w:val="9"/>
      </w:numPr>
      <w:adjustRightInd/>
      <w:snapToGrid/>
      <w:spacing w:before="280" w:after="290" w:line="376" w:lineRule="auto"/>
      <w:ind w:left="864" w:hanging="144"/>
      <w:jc w:val="both"/>
    </w:pPr>
    <w:rPr>
      <w:rFonts w:ascii="Arial" w:hAnsi="Arial" w:eastAsia="黑体"/>
      <w:b w:val="0"/>
      <w:snapToGrid/>
      <w:sz w:val="28"/>
    </w:rPr>
  </w:style>
  <w:style w:type="character" w:customStyle="1" w:styleId="573">
    <w:name w:val="样式 标题 4Char1.1.1.1标题 4.1.1.1.1款1.1.1.1 Char标4§1.1.1.1§1.... Char"/>
    <w:link w:val="572"/>
    <w:qFormat/>
    <w:uiPriority w:val="0"/>
    <w:rPr>
      <w:rFonts w:ascii="Arial" w:hAnsi="Arial" w:eastAsia="黑体"/>
      <w:bCs/>
      <w:kern w:val="2"/>
      <w:sz w:val="28"/>
      <w:szCs w:val="28"/>
    </w:rPr>
  </w:style>
  <w:style w:type="paragraph" w:customStyle="1" w:styleId="574">
    <w:name w:val="样式 标题 4Char1.1.1.1标题 4.1.1.1.1款1.1.1.1 Char标4§1.1.1.1§1....1"/>
    <w:basedOn w:val="6"/>
    <w:qFormat/>
    <w:uiPriority w:val="0"/>
    <w:pPr>
      <w:keepNext/>
      <w:keepLines/>
      <w:widowControl w:val="0"/>
      <w:numPr>
        <w:numId w:val="0"/>
      </w:numPr>
      <w:tabs>
        <w:tab w:val="left" w:pos="1680"/>
        <w:tab w:val="clear" w:pos="0"/>
      </w:tabs>
      <w:adjustRightInd/>
      <w:snapToGrid/>
      <w:spacing w:before="280" w:after="290" w:line="376" w:lineRule="auto"/>
      <w:ind w:left="1680" w:hanging="420" w:firstLineChars="200"/>
      <w:jc w:val="both"/>
    </w:pPr>
    <w:rPr>
      <w:rFonts w:ascii="Arial" w:hAnsi="Arial" w:eastAsia="黑体"/>
      <w:b w:val="0"/>
      <w:snapToGrid/>
      <w:sz w:val="28"/>
    </w:rPr>
  </w:style>
  <w:style w:type="character" w:customStyle="1" w:styleId="575">
    <w:name w:val="textsy1"/>
    <w:qFormat/>
    <w:uiPriority w:val="0"/>
    <w:rPr>
      <w:rFonts w:ascii="Verdana" w:hAnsi="Verdana" w:eastAsia="宋体"/>
      <w:sz w:val="22"/>
      <w:szCs w:val="22"/>
      <w:lang w:val="en-US" w:eastAsia="en-US" w:bidi="ar-SA"/>
    </w:rPr>
  </w:style>
  <w:style w:type="paragraph" w:customStyle="1" w:styleId="576">
    <w:name w:val="font1"/>
    <w:basedOn w:val="1"/>
    <w:qFormat/>
    <w:uiPriority w:val="0"/>
    <w:pPr>
      <w:widowControl/>
      <w:adjustRightInd/>
      <w:snapToGrid/>
      <w:spacing w:before="100" w:beforeAutospacing="1" w:after="100" w:afterAutospacing="1" w:line="240" w:lineRule="auto"/>
      <w:ind w:firstLine="0" w:firstLineChars="0"/>
    </w:pPr>
    <w:rPr>
      <w:rFonts w:eastAsia="Arial Unicode MS"/>
      <w:b/>
      <w:bCs/>
      <w:kern w:val="0"/>
      <w:sz w:val="24"/>
      <w:szCs w:val="24"/>
    </w:rPr>
  </w:style>
  <w:style w:type="paragraph" w:customStyle="1" w:styleId="577">
    <w:name w:val="样式6"/>
    <w:basedOn w:val="1"/>
    <w:link w:val="1031"/>
    <w:qFormat/>
    <w:uiPriority w:val="0"/>
    <w:pPr>
      <w:adjustRightInd/>
      <w:snapToGrid/>
      <w:spacing w:line="300" w:lineRule="auto"/>
      <w:jc w:val="both"/>
    </w:pPr>
    <w:rPr>
      <w:rFonts w:ascii="Arial Narrow" w:hAnsi="Arial Narrow" w:eastAsia="仿宋_GB2312"/>
      <w:sz w:val="24"/>
      <w:szCs w:val="24"/>
    </w:rPr>
  </w:style>
  <w:style w:type="paragraph" w:customStyle="1" w:styleId="578">
    <w:name w:val="样式 标题 1 + 居中 段前: 12 磅 段后: 6 磅 行距: 多倍行距 1.25 字行"/>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579">
    <w:name w:val="纯文本1"/>
    <w:basedOn w:val="1"/>
    <w:qFormat/>
    <w:uiPriority w:val="0"/>
    <w:pPr>
      <w:snapToGrid/>
      <w:spacing w:line="240" w:lineRule="auto"/>
      <w:ind w:firstLine="0" w:firstLineChars="0"/>
      <w:jc w:val="both"/>
      <w:textAlignment w:val="baseline"/>
    </w:pPr>
    <w:rPr>
      <w:rFonts w:ascii="宋体" w:hAnsi="Courier New"/>
      <w:sz w:val="21"/>
      <w:szCs w:val="24"/>
    </w:rPr>
  </w:style>
  <w:style w:type="paragraph" w:customStyle="1" w:styleId="580">
    <w:name w:val="proposal"/>
    <w:basedOn w:val="1"/>
    <w:qFormat/>
    <w:uiPriority w:val="0"/>
    <w:pPr>
      <w:widowControl/>
      <w:adjustRightInd/>
      <w:snapToGrid/>
      <w:spacing w:line="300" w:lineRule="auto"/>
      <w:ind w:left="1440" w:hanging="1440" w:firstLineChars="0"/>
      <w:jc w:val="both"/>
    </w:pPr>
    <w:rPr>
      <w:kern w:val="0"/>
      <w:sz w:val="24"/>
      <w:szCs w:val="20"/>
      <w:lang w:val="en-GB" w:eastAsia="en-GB"/>
    </w:rPr>
  </w:style>
  <w:style w:type="paragraph" w:customStyle="1" w:styleId="581">
    <w:name w:val="正文_01"/>
    <w:link w:val="582"/>
    <w:qFormat/>
    <w:uiPriority w:val="0"/>
    <w:pPr>
      <w:widowControl w:val="0"/>
      <w:spacing w:line="360" w:lineRule="auto"/>
      <w:ind w:firstLine="560" w:firstLineChars="200"/>
      <w:jc w:val="both"/>
      <w:textAlignment w:val="center"/>
    </w:pPr>
    <w:rPr>
      <w:rFonts w:ascii="Garamond" w:hAnsi="Garamond" w:eastAsia="宋体" w:cs="Times New Roman"/>
      <w:bCs/>
      <w:color w:val="000000"/>
      <w:kern w:val="28"/>
      <w:sz w:val="28"/>
      <w:szCs w:val="28"/>
      <w:lang w:val="en-US" w:eastAsia="zh-CN" w:bidi="ar-SA"/>
    </w:rPr>
  </w:style>
  <w:style w:type="character" w:customStyle="1" w:styleId="582">
    <w:name w:val="正文_01 Char"/>
    <w:link w:val="581"/>
    <w:qFormat/>
    <w:uiPriority w:val="0"/>
    <w:rPr>
      <w:rFonts w:ascii="Garamond" w:hAnsi="Garamond"/>
      <w:bCs/>
      <w:color w:val="000000"/>
      <w:kern w:val="28"/>
      <w:sz w:val="28"/>
      <w:szCs w:val="28"/>
    </w:rPr>
  </w:style>
  <w:style w:type="paragraph" w:customStyle="1" w:styleId="583">
    <w:name w:val="样式 标题 51)项标5标题 5 Char21) Char2项 Char2 + 左侧:  -0.04 厘米 首行缩..."/>
    <w:basedOn w:val="7"/>
    <w:qFormat/>
    <w:uiPriority w:val="0"/>
    <w:pPr>
      <w:keepNext/>
      <w:keepLines/>
      <w:numPr>
        <w:numId w:val="0"/>
      </w:numPr>
      <w:tabs>
        <w:tab w:val="left" w:pos="2100"/>
      </w:tabs>
      <w:adjustRightInd/>
      <w:snapToGrid/>
      <w:spacing w:before="280" w:after="290" w:line="376" w:lineRule="auto"/>
      <w:ind w:left="2100" w:hanging="420"/>
      <w:jc w:val="both"/>
    </w:pPr>
    <w:rPr>
      <w:rFonts w:ascii="宋体"/>
      <w:b/>
      <w:bCs w:val="0"/>
      <w:spacing w:val="6"/>
      <w:szCs w:val="26"/>
    </w:rPr>
  </w:style>
  <w:style w:type="paragraph" w:customStyle="1" w:styleId="584">
    <w:name w:val="样式 标题 3标题 3 Char Char1.1.1条标3§1.1.1.. (1.1.1)- 3rd Order ...2"/>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585">
    <w:name w:val="a"/>
    <w:basedOn w:val="1"/>
    <w:qFormat/>
    <w:uiPriority w:val="0"/>
    <w:pPr>
      <w:widowControl/>
      <w:autoSpaceDE w:val="0"/>
      <w:autoSpaceDN w:val="0"/>
      <w:adjustRightInd/>
      <w:spacing w:before="50" w:after="50" w:line="240" w:lineRule="auto"/>
      <w:ind w:left="34" w:hanging="34" w:firstLineChars="0"/>
      <w:jc w:val="center"/>
    </w:pPr>
    <w:rPr>
      <w:rFonts w:ascii="Arial Narrow" w:hAnsi="Arial Narrow" w:cs="宋体"/>
      <w:b/>
      <w:bCs/>
      <w:kern w:val="0"/>
      <w:sz w:val="21"/>
      <w:szCs w:val="21"/>
    </w:rPr>
  </w:style>
  <w:style w:type="paragraph" w:customStyle="1" w:styleId="586">
    <w:name w:val="样式 标题 3标题 3 Char Char1.1.1条标3§1.1.1.. (1.1.1)- 3rd Order ...3"/>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587">
    <w:name w:val="基准标题"/>
    <w:basedOn w:val="34"/>
    <w:next w:val="34"/>
    <w:qFormat/>
    <w:uiPriority w:val="0"/>
    <w:pPr>
      <w:widowControl/>
      <w:adjustRightInd/>
      <w:snapToGrid/>
      <w:spacing w:beforeLines="0" w:line="300" w:lineRule="exact"/>
      <w:jc w:val="left"/>
    </w:pPr>
    <w:rPr>
      <w:rFonts w:ascii="宋体" w:hAnsi="Garamond"/>
      <w:b/>
      <w:snapToGrid/>
      <w:szCs w:val="20"/>
    </w:rPr>
  </w:style>
  <w:style w:type="paragraph" w:customStyle="1" w:styleId="588">
    <w:name w:val="正文新"/>
    <w:basedOn w:val="45"/>
    <w:qFormat/>
    <w:uiPriority w:val="0"/>
    <w:pPr>
      <w:spacing w:before="120" w:after="120" w:line="300" w:lineRule="auto"/>
      <w:ind w:firstLine="510"/>
    </w:pPr>
    <w:rPr>
      <w:rFonts w:hAnsi="Arial"/>
      <w:snapToGrid w:val="0"/>
      <w:kern w:val="0"/>
      <w:sz w:val="24"/>
      <w:szCs w:val="20"/>
    </w:rPr>
  </w:style>
  <w:style w:type="paragraph" w:customStyle="1" w:styleId="589">
    <w:name w:val="基准页眉样式"/>
    <w:basedOn w:val="34"/>
    <w:qFormat/>
    <w:uiPriority w:val="0"/>
    <w:pPr>
      <w:widowControl/>
      <w:adjustRightInd/>
      <w:snapToGrid/>
      <w:spacing w:beforeLines="0" w:line="320" w:lineRule="exact"/>
      <w:jc w:val="center"/>
    </w:pPr>
    <w:rPr>
      <w:snapToGrid/>
      <w:spacing w:val="-20"/>
      <w:sz w:val="21"/>
      <w:szCs w:val="20"/>
    </w:rPr>
  </w:style>
  <w:style w:type="paragraph" w:customStyle="1" w:styleId="590">
    <w:name w:val="基准脚注"/>
    <w:basedOn w:val="1"/>
    <w:qFormat/>
    <w:uiPriority w:val="0"/>
    <w:pPr>
      <w:widowControl/>
      <w:adjustRightInd/>
      <w:snapToGrid/>
      <w:spacing w:line="240" w:lineRule="auto"/>
      <w:ind w:firstLine="0" w:firstLineChars="0"/>
    </w:pPr>
    <w:rPr>
      <w:rFonts w:ascii="Garamond" w:hAnsi="Garamond"/>
      <w:kern w:val="0"/>
      <w:sz w:val="22"/>
      <w:szCs w:val="20"/>
    </w:rPr>
  </w:style>
  <w:style w:type="paragraph" w:customStyle="1" w:styleId="591">
    <w:name w:val="Paratitre"/>
    <w:basedOn w:val="1"/>
    <w:qFormat/>
    <w:uiPriority w:val="0"/>
    <w:pPr>
      <w:widowControl/>
      <w:overflowPunct w:val="0"/>
      <w:autoSpaceDE w:val="0"/>
      <w:autoSpaceDN w:val="0"/>
      <w:snapToGrid/>
      <w:spacing w:before="240" w:line="240" w:lineRule="auto"/>
      <w:ind w:left="700" w:firstLine="0" w:firstLineChars="0"/>
      <w:jc w:val="both"/>
      <w:textAlignment w:val="baseline"/>
    </w:pPr>
    <w:rPr>
      <w:rFonts w:ascii="Arial" w:hAnsi="Arial"/>
      <w:kern w:val="0"/>
      <w:sz w:val="20"/>
      <w:szCs w:val="20"/>
      <w:lang w:val="fr-FR"/>
    </w:rPr>
  </w:style>
  <w:style w:type="paragraph" w:customStyle="1" w:styleId="592">
    <w:name w:val="项目符号1"/>
    <w:basedOn w:val="1"/>
    <w:qFormat/>
    <w:uiPriority w:val="0"/>
    <w:pPr>
      <w:numPr>
        <w:ilvl w:val="0"/>
        <w:numId w:val="10"/>
      </w:numPr>
      <w:adjustRightInd/>
      <w:spacing w:before="120" w:after="120" w:line="312" w:lineRule="auto"/>
      <w:ind w:firstLine="0" w:firstLineChars="0"/>
      <w:jc w:val="both"/>
    </w:pPr>
    <w:rPr>
      <w:rFonts w:ascii="Arial" w:hAnsi="Arial" w:eastAsia="楷体_GB2312"/>
      <w:b/>
      <w:sz w:val="28"/>
      <w:szCs w:val="20"/>
    </w:rPr>
  </w:style>
  <w:style w:type="paragraph" w:customStyle="1" w:styleId="593">
    <w:name w:val="项目符号2"/>
    <w:basedOn w:val="592"/>
    <w:qFormat/>
    <w:uiPriority w:val="0"/>
    <w:pPr>
      <w:numPr>
        <w:numId w:val="11"/>
      </w:numPr>
      <w:tabs>
        <w:tab w:val="left" w:pos="360"/>
        <w:tab w:val="left" w:pos="720"/>
        <w:tab w:val="clear" w:pos="425"/>
      </w:tabs>
      <w:ind w:left="850" w:hanging="720"/>
    </w:pPr>
    <w:rPr>
      <w:b w:val="0"/>
    </w:rPr>
  </w:style>
  <w:style w:type="paragraph" w:customStyle="1" w:styleId="594">
    <w:name w:val="样式 标题 2_Heading 2标题 2 Char标题21.1标题 21.1节标2可研-标题 2节 Char..."/>
    <w:basedOn w:val="4"/>
    <w:link w:val="595"/>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character" w:customStyle="1" w:styleId="595">
    <w:name w:val="样式 标题 2_Heading 2标题 2 Char标题21.1标题 21.1节标2可研-标题 2节 Char... Char Char"/>
    <w:link w:val="594"/>
    <w:qFormat/>
    <w:uiPriority w:val="0"/>
    <w:rPr>
      <w:rFonts w:ascii="Arial" w:hAnsi="Arial" w:eastAsia="黑体"/>
      <w:b/>
      <w:bCs/>
      <w:color w:val="000000"/>
      <w:kern w:val="2"/>
      <w:sz w:val="32"/>
      <w:szCs w:val="32"/>
    </w:rPr>
  </w:style>
  <w:style w:type="character" w:customStyle="1" w:styleId="596">
    <w:name w:val="3zw1"/>
    <w:qFormat/>
    <w:uiPriority w:val="0"/>
    <w:rPr>
      <w:rFonts w:ascii="Verdana" w:hAnsi="Verdana" w:eastAsia="宋体"/>
      <w:color w:val="000000"/>
      <w:sz w:val="21"/>
      <w:szCs w:val="21"/>
      <w:u w:val="none"/>
      <w:lang w:val="en-US" w:eastAsia="en-US" w:bidi="ar-SA"/>
    </w:rPr>
  </w:style>
  <w:style w:type="character" w:customStyle="1" w:styleId="597">
    <w:name w:val="grame"/>
    <w:qFormat/>
    <w:uiPriority w:val="0"/>
    <w:rPr>
      <w:rFonts w:ascii="Verdana" w:hAnsi="Verdana" w:eastAsia="宋体"/>
      <w:lang w:val="en-US" w:eastAsia="en-US" w:bidi="ar-SA"/>
    </w:rPr>
  </w:style>
  <w:style w:type="paragraph" w:customStyle="1" w:styleId="598">
    <w:name w:val="段落 内容"/>
    <w:basedOn w:val="1"/>
    <w:qFormat/>
    <w:uiPriority w:val="0"/>
    <w:pPr>
      <w:adjustRightInd/>
      <w:snapToGrid/>
      <w:spacing w:beforeLines="50" w:afterLines="20" w:line="360" w:lineRule="auto"/>
      <w:jc w:val="both"/>
    </w:pPr>
    <w:rPr>
      <w:rFonts w:ascii="宋体" w:hAnsi="宋体" w:cs="宋体"/>
      <w:sz w:val="24"/>
      <w:szCs w:val="24"/>
    </w:rPr>
  </w:style>
  <w:style w:type="paragraph" w:customStyle="1" w:styleId="599">
    <w:name w:val="样式 标题 2_Heading 2标题 2 Char1.1标题 21.1标题2节标2可研-标题 2节 Char..."/>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600">
    <w:name w:val="样式 正文文本 + (中文) 宋体 首行缩进:  0.2 厘米"/>
    <w:basedOn w:val="34"/>
    <w:qFormat/>
    <w:uiPriority w:val="0"/>
    <w:pPr>
      <w:spacing w:beforeLines="0" w:line="300" w:lineRule="auto"/>
      <w:textAlignment w:val="baseline"/>
    </w:pPr>
    <w:rPr>
      <w:rFonts w:ascii="Arial Narrow" w:hAnsi="Arial Narrow" w:cs="宋体"/>
      <w:snapToGrid/>
      <w:color w:val="FF0000"/>
      <w:szCs w:val="20"/>
    </w:rPr>
  </w:style>
  <w:style w:type="paragraph" w:customStyle="1" w:styleId="601">
    <w:name w:val="标题 54"/>
    <w:basedOn w:val="559"/>
    <w:qFormat/>
    <w:uiPriority w:val="0"/>
    <w:rPr>
      <w:rFonts w:cs="宋体"/>
      <w:bCs/>
    </w:rPr>
  </w:style>
  <w:style w:type="paragraph" w:customStyle="1" w:styleId="602">
    <w:name w:val="9"/>
    <w:basedOn w:val="1"/>
    <w:qFormat/>
    <w:uiPriority w:val="0"/>
    <w:pPr>
      <w:adjustRightInd/>
      <w:snapToGrid/>
      <w:spacing w:line="240" w:lineRule="auto"/>
      <w:ind w:firstLine="0" w:firstLineChars="0"/>
      <w:jc w:val="both"/>
    </w:pPr>
    <w:rPr>
      <w:rFonts w:ascii="Arial Narrow" w:hAnsi="Arial Narrow" w:eastAsia="仿宋_GB2312"/>
      <w:sz w:val="24"/>
      <w:szCs w:val="24"/>
    </w:rPr>
  </w:style>
  <w:style w:type="paragraph" w:customStyle="1" w:styleId="603">
    <w:name w:val="8"/>
    <w:basedOn w:val="1"/>
    <w:next w:val="31"/>
    <w:qFormat/>
    <w:uiPriority w:val="0"/>
    <w:pPr>
      <w:adjustRightInd/>
      <w:snapToGrid/>
      <w:spacing w:line="300" w:lineRule="auto"/>
      <w:ind w:firstLine="0" w:firstLineChars="0"/>
      <w:jc w:val="center"/>
    </w:pPr>
    <w:rPr>
      <w:sz w:val="18"/>
      <w:szCs w:val="18"/>
    </w:rPr>
  </w:style>
  <w:style w:type="paragraph" w:customStyle="1" w:styleId="604">
    <w:name w:val="7"/>
    <w:basedOn w:val="1"/>
    <w:qFormat/>
    <w:uiPriority w:val="99"/>
    <w:pPr>
      <w:adjustRightInd/>
      <w:snapToGrid/>
      <w:spacing w:line="240" w:lineRule="auto"/>
      <w:ind w:firstLine="0" w:firstLineChars="0"/>
      <w:jc w:val="both"/>
    </w:pPr>
    <w:rPr>
      <w:rFonts w:ascii="Arial Narrow" w:hAnsi="Arial Narrow" w:eastAsia="仿宋_GB2312"/>
      <w:sz w:val="24"/>
      <w:szCs w:val="24"/>
    </w:rPr>
  </w:style>
  <w:style w:type="paragraph" w:customStyle="1" w:styleId="605">
    <w:name w:val="6"/>
    <w:basedOn w:val="1"/>
    <w:qFormat/>
    <w:uiPriority w:val="99"/>
    <w:pPr>
      <w:adjustRightInd/>
      <w:snapToGrid/>
      <w:spacing w:line="240" w:lineRule="auto"/>
      <w:ind w:firstLine="0" w:firstLineChars="0"/>
      <w:jc w:val="both"/>
    </w:pPr>
    <w:rPr>
      <w:rFonts w:ascii="Arial Narrow" w:hAnsi="Arial Narrow" w:eastAsia="仿宋_GB2312"/>
      <w:sz w:val="24"/>
      <w:szCs w:val="24"/>
    </w:rPr>
  </w:style>
  <w:style w:type="paragraph" w:customStyle="1" w:styleId="606">
    <w:name w:val="标题6"/>
    <w:basedOn w:val="1"/>
    <w:link w:val="2716"/>
    <w:qFormat/>
    <w:uiPriority w:val="0"/>
    <w:pPr>
      <w:autoSpaceDE w:val="0"/>
      <w:autoSpaceDN w:val="0"/>
      <w:spacing w:line="300" w:lineRule="auto"/>
      <w:ind w:firstLine="480"/>
      <w:textAlignment w:val="bottom"/>
      <w:outlineLvl w:val="5"/>
    </w:pPr>
    <w:rPr>
      <w:rFonts w:ascii="Arial Narrow" w:hAnsi="宋体"/>
      <w:sz w:val="24"/>
      <w:szCs w:val="24"/>
    </w:rPr>
  </w:style>
  <w:style w:type="paragraph" w:customStyle="1" w:styleId="607">
    <w:name w:val="Heading"/>
    <w:basedOn w:val="1"/>
    <w:qFormat/>
    <w:uiPriority w:val="0"/>
    <w:pPr>
      <w:keepNext/>
      <w:widowControl/>
      <w:autoSpaceDE w:val="0"/>
      <w:autoSpaceDN w:val="0"/>
      <w:adjustRightInd/>
      <w:snapToGrid/>
      <w:spacing w:line="300" w:lineRule="auto"/>
      <w:ind w:left="1440" w:hanging="1440" w:firstLineChars="0"/>
    </w:pPr>
    <w:rPr>
      <w:kern w:val="28"/>
      <w:sz w:val="24"/>
      <w:szCs w:val="24"/>
      <w:lang w:val="en-GB" w:eastAsia="en-GB"/>
    </w:rPr>
  </w:style>
  <w:style w:type="paragraph" w:customStyle="1" w:styleId="608">
    <w:name w:val="Heading2"/>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609">
    <w:name w:val="批注框文本2"/>
    <w:basedOn w:val="1"/>
    <w:semiHidden/>
    <w:qFormat/>
    <w:uiPriority w:val="0"/>
    <w:pPr>
      <w:widowControl/>
      <w:autoSpaceDE w:val="0"/>
      <w:autoSpaceDN w:val="0"/>
      <w:adjustRightInd/>
      <w:snapToGrid/>
      <w:spacing w:line="240" w:lineRule="auto"/>
      <w:ind w:firstLine="0" w:firstLineChars="0"/>
    </w:pPr>
    <w:rPr>
      <w:rFonts w:ascii="Tahoma" w:hAnsi="Tahoma" w:cs="幼圆"/>
      <w:kern w:val="0"/>
      <w:sz w:val="16"/>
      <w:szCs w:val="16"/>
      <w:lang w:val="en-GB" w:eastAsia="en-GB"/>
    </w:rPr>
  </w:style>
  <w:style w:type="paragraph" w:customStyle="1" w:styleId="610">
    <w:name w:val="bluck"/>
    <w:basedOn w:val="1"/>
    <w:qFormat/>
    <w:uiPriority w:val="0"/>
    <w:pPr>
      <w:widowControl/>
      <w:adjustRightInd/>
      <w:snapToGrid/>
      <w:spacing w:before="100" w:beforeAutospacing="1" w:after="100" w:afterAutospacing="1" w:line="301" w:lineRule="atLeast"/>
      <w:ind w:firstLine="0" w:firstLineChars="0"/>
    </w:pPr>
    <w:rPr>
      <w:rFonts w:eastAsia="Arial Unicode MS" w:cs="Arial Unicode MS"/>
      <w:color w:val="000000"/>
      <w:kern w:val="0"/>
      <w:sz w:val="22"/>
    </w:rPr>
  </w:style>
  <w:style w:type="character" w:customStyle="1" w:styleId="611">
    <w:name w:val="black1"/>
    <w:qFormat/>
    <w:uiPriority w:val="0"/>
    <w:rPr>
      <w:rFonts w:hint="default" w:eastAsia="宋体"/>
      <w:color w:val="000000"/>
      <w:sz w:val="20"/>
      <w:szCs w:val="20"/>
      <w:lang w:val="en-US" w:eastAsia="en-US" w:bidi="ar-SA"/>
    </w:rPr>
  </w:style>
  <w:style w:type="paragraph" w:customStyle="1" w:styleId="612">
    <w:name w:val="标3正文项"/>
    <w:basedOn w:val="1"/>
    <w:qFormat/>
    <w:uiPriority w:val="0"/>
    <w:pPr>
      <w:adjustRightInd/>
      <w:snapToGrid/>
      <w:spacing w:line="360" w:lineRule="auto"/>
      <w:ind w:firstLine="540" w:firstLineChars="0"/>
      <w:jc w:val="both"/>
    </w:pPr>
    <w:rPr>
      <w:sz w:val="24"/>
      <w:szCs w:val="24"/>
    </w:rPr>
  </w:style>
  <w:style w:type="paragraph" w:customStyle="1" w:styleId="613">
    <w:name w:val="In Table (II)"/>
    <w:basedOn w:val="1"/>
    <w:qFormat/>
    <w:uiPriority w:val="0"/>
    <w:pPr>
      <w:tabs>
        <w:tab w:val="left" w:pos="2200"/>
        <w:tab w:val="left" w:pos="3960"/>
        <w:tab w:val="left" w:pos="5280"/>
      </w:tabs>
      <w:adjustRightInd/>
      <w:snapToGrid/>
      <w:spacing w:line="0" w:lineRule="atLeast"/>
      <w:ind w:left="48" w:leftChars="20" w:firstLine="0" w:firstLineChars="0"/>
    </w:pPr>
    <w:rPr>
      <w:rFonts w:ascii="Tahoma" w:hAnsi="Tahoma" w:eastAsia="华文中宋" w:cs="Arial"/>
      <w:bCs/>
      <w:sz w:val="21"/>
      <w:szCs w:val="21"/>
    </w:rPr>
  </w:style>
  <w:style w:type="paragraph" w:customStyle="1" w:styleId="614">
    <w:name w:val="In Table"/>
    <w:basedOn w:val="1"/>
    <w:qFormat/>
    <w:uiPriority w:val="0"/>
    <w:pPr>
      <w:tabs>
        <w:tab w:val="left" w:pos="2200"/>
        <w:tab w:val="left" w:pos="3960"/>
        <w:tab w:val="left" w:pos="5280"/>
      </w:tabs>
      <w:adjustRightInd/>
      <w:snapToGrid/>
      <w:spacing w:line="0" w:lineRule="atLeast"/>
      <w:ind w:firstLine="0" w:firstLineChars="0"/>
      <w:jc w:val="center"/>
    </w:pPr>
    <w:rPr>
      <w:rFonts w:ascii="Tahoma" w:hAnsi="Tahoma" w:eastAsia="华文中宋" w:cs="Arial"/>
      <w:bCs/>
      <w:sz w:val="21"/>
      <w:szCs w:val="21"/>
    </w:rPr>
  </w:style>
  <w:style w:type="paragraph" w:customStyle="1" w:styleId="615">
    <w:name w:val="说明书"/>
    <w:basedOn w:val="1"/>
    <w:qFormat/>
    <w:uiPriority w:val="0"/>
    <w:pPr>
      <w:snapToGrid/>
      <w:spacing w:line="500" w:lineRule="exact"/>
      <w:ind w:firstLine="624" w:firstLineChars="0"/>
      <w:jc w:val="both"/>
      <w:textAlignment w:val="baseline"/>
    </w:pPr>
    <w:rPr>
      <w:rFonts w:ascii="Arial" w:hAnsi="Arial"/>
      <w:kern w:val="0"/>
      <w:sz w:val="28"/>
      <w:szCs w:val="20"/>
    </w:rPr>
  </w:style>
  <w:style w:type="paragraph" w:customStyle="1" w:styleId="616">
    <w:name w:val="样式 样式 标题 41.1.1.1标题 4.1.1.1.1标题 4 Char款1.1.1.1 Char标4 + (符号) ......"/>
    <w:basedOn w:val="1"/>
    <w:qFormat/>
    <w:uiPriority w:val="0"/>
    <w:pPr>
      <w:keepLines/>
      <w:autoSpaceDE w:val="0"/>
      <w:autoSpaceDN w:val="0"/>
      <w:spacing w:line="360" w:lineRule="auto"/>
      <w:ind w:firstLine="0" w:firstLineChars="0"/>
      <w:textAlignment w:val="bottom"/>
      <w:outlineLvl w:val="3"/>
    </w:pPr>
    <w:rPr>
      <w:rFonts w:ascii="宋体" w:hAnsi="宋体"/>
      <w:sz w:val="28"/>
      <w:szCs w:val="20"/>
    </w:rPr>
  </w:style>
  <w:style w:type="character" w:customStyle="1" w:styleId="617">
    <w:name w:val="正文文本首行缩进 字符"/>
    <w:link w:val="86"/>
    <w:qFormat/>
    <w:uiPriority w:val="0"/>
    <w:rPr>
      <w:rFonts w:ascii="Times New Roman" w:hAnsi="Times New Roman"/>
      <w:color w:val="000000"/>
      <w:kern w:val="2"/>
      <w:sz w:val="24"/>
      <w:szCs w:val="24"/>
    </w:rPr>
  </w:style>
  <w:style w:type="paragraph" w:customStyle="1" w:styleId="618">
    <w:name w:val="标题 51"/>
    <w:basedOn w:val="1"/>
    <w:qFormat/>
    <w:uiPriority w:val="0"/>
    <w:pPr>
      <w:tabs>
        <w:tab w:val="left" w:pos="0"/>
      </w:tabs>
      <w:autoSpaceDE w:val="0"/>
      <w:autoSpaceDN w:val="0"/>
      <w:spacing w:line="420" w:lineRule="exact"/>
      <w:ind w:right="-263" w:firstLine="360"/>
      <w:jc w:val="both"/>
    </w:pPr>
    <w:rPr>
      <w:rFonts w:ascii="仿宋_GB2312" w:hAnsi="宋体" w:eastAsia="仿宋_GB2312" w:cs="宋体"/>
      <w:sz w:val="24"/>
      <w:szCs w:val="24"/>
    </w:rPr>
  </w:style>
  <w:style w:type="character" w:customStyle="1" w:styleId="619">
    <w:name w:val="1) Char1"/>
    <w:qFormat/>
    <w:uiPriority w:val="0"/>
    <w:rPr>
      <w:rFonts w:ascii="宋体" w:hAnsi="宋体" w:eastAsia="宋体"/>
      <w:kern w:val="2"/>
      <w:sz w:val="28"/>
      <w:szCs w:val="28"/>
      <w:lang w:val="en-US" w:eastAsia="zh-CN" w:bidi="ar-SA"/>
    </w:rPr>
  </w:style>
  <w:style w:type="character" w:customStyle="1" w:styleId="620">
    <w:name w:val="标题 5 Char1"/>
    <w:qFormat/>
    <w:uiPriority w:val="0"/>
  </w:style>
  <w:style w:type="paragraph" w:customStyle="1" w:styleId="621">
    <w:name w:val="表中居中文字"/>
    <w:basedOn w:val="1"/>
    <w:qFormat/>
    <w:uiPriority w:val="0"/>
    <w:pPr>
      <w:autoSpaceDE w:val="0"/>
      <w:autoSpaceDN w:val="0"/>
      <w:spacing w:line="300" w:lineRule="auto"/>
      <w:ind w:firstLine="0" w:firstLineChars="0"/>
      <w:jc w:val="center"/>
    </w:pPr>
    <w:rPr>
      <w:rFonts w:ascii="仿宋_GB2312" w:hAnsi="宋体" w:eastAsia="仿宋_GB2312" w:cs="Arial"/>
      <w:sz w:val="24"/>
      <w:szCs w:val="18"/>
    </w:rPr>
  </w:style>
  <w:style w:type="paragraph" w:customStyle="1" w:styleId="622">
    <w:name w:val="zxl正文首行缩进  2 字符 行距: Char"/>
    <w:basedOn w:val="1"/>
    <w:qFormat/>
    <w:uiPriority w:val="0"/>
    <w:pPr>
      <w:widowControl/>
      <w:tabs>
        <w:tab w:val="left" w:pos="-1843"/>
        <w:tab w:val="left" w:pos="1727"/>
        <w:tab w:val="left" w:pos="1884"/>
      </w:tabs>
      <w:autoSpaceDE w:val="0"/>
      <w:autoSpaceDN w:val="0"/>
      <w:spacing w:line="336" w:lineRule="auto"/>
      <w:ind w:firstLine="480"/>
      <w:jc w:val="both"/>
      <w:textAlignment w:val="bottom"/>
      <w:outlineLvl w:val="0"/>
    </w:pPr>
    <w:rPr>
      <w:rFonts w:ascii="仿宋_GB2312" w:hAnsi="宋体" w:eastAsia="仿宋_GB2312" w:cs="宋体"/>
      <w:color w:val="000000"/>
      <w:sz w:val="24"/>
      <w:szCs w:val="24"/>
    </w:rPr>
  </w:style>
  <w:style w:type="paragraph" w:customStyle="1" w:styleId="623">
    <w:name w:val="列表项目符号1.缩2"/>
    <w:basedOn w:val="1"/>
    <w:qFormat/>
    <w:uiPriority w:val="0"/>
    <w:pPr>
      <w:tabs>
        <w:tab w:val="left" w:pos="397"/>
        <w:tab w:val="left" w:pos="945"/>
      </w:tabs>
      <w:autoSpaceDE w:val="0"/>
      <w:autoSpaceDN w:val="0"/>
      <w:spacing w:line="300" w:lineRule="auto"/>
      <w:ind w:firstLine="425"/>
      <w:jc w:val="both"/>
      <w:textAlignment w:val="baseline"/>
    </w:pPr>
    <w:rPr>
      <w:rFonts w:ascii="仿宋_GB2312" w:hAnsi="宋体" w:eastAsia="仿宋_GB2312" w:cs="宋体"/>
      <w:kern w:val="0"/>
      <w:sz w:val="24"/>
      <w:szCs w:val="20"/>
    </w:rPr>
  </w:style>
  <w:style w:type="paragraph" w:customStyle="1" w:styleId="624">
    <w:name w:val="表格文字中"/>
    <w:basedOn w:val="1"/>
    <w:qFormat/>
    <w:uiPriority w:val="0"/>
    <w:pPr>
      <w:keepNext/>
      <w:widowControl/>
      <w:tabs>
        <w:tab w:val="left" w:pos="1727"/>
        <w:tab w:val="left" w:pos="1884"/>
      </w:tabs>
      <w:autoSpaceDE w:val="0"/>
      <w:autoSpaceDN w:val="0"/>
      <w:spacing w:line="300" w:lineRule="auto"/>
      <w:ind w:firstLine="480"/>
      <w:jc w:val="center"/>
      <w:outlineLvl w:val="0"/>
    </w:pPr>
    <w:rPr>
      <w:rFonts w:ascii="黑体" w:hAnsi="宋体" w:eastAsia="黑体" w:cs="宋体"/>
      <w:color w:val="000000"/>
      <w:kern w:val="0"/>
      <w:sz w:val="18"/>
      <w:szCs w:val="20"/>
    </w:rPr>
  </w:style>
  <w:style w:type="character" w:customStyle="1" w:styleId="625">
    <w:name w:val="表格文字中 Char"/>
    <w:qFormat/>
    <w:uiPriority w:val="0"/>
    <w:rPr>
      <w:rFonts w:ascii="黑体" w:hAnsi="宋体" w:eastAsia="黑体"/>
      <w:color w:val="000000"/>
      <w:sz w:val="18"/>
      <w:lang w:val="en-US" w:eastAsia="zh-CN" w:bidi="ar-SA"/>
    </w:rPr>
  </w:style>
  <w:style w:type="paragraph" w:customStyle="1" w:styleId="626">
    <w:name w:val="表格文字左"/>
    <w:basedOn w:val="621"/>
    <w:qFormat/>
    <w:uiPriority w:val="0"/>
    <w:pPr>
      <w:ind w:firstLine="180" w:firstLineChars="75"/>
      <w:jc w:val="left"/>
    </w:pPr>
  </w:style>
  <w:style w:type="paragraph" w:customStyle="1" w:styleId="627">
    <w:name w:val="表格文字居中 Char Char"/>
    <w:basedOn w:val="86"/>
    <w:qFormat/>
    <w:uiPriority w:val="0"/>
    <w:pPr>
      <w:keepNext/>
      <w:widowControl/>
      <w:tabs>
        <w:tab w:val="left" w:pos="628"/>
        <w:tab w:val="left" w:pos="1727"/>
        <w:tab w:val="left" w:pos="1884"/>
        <w:tab w:val="left" w:pos="4900"/>
      </w:tabs>
      <w:autoSpaceDE w:val="0"/>
      <w:autoSpaceDN w:val="0"/>
      <w:adjustRightInd w:val="0"/>
      <w:snapToGrid w:val="0"/>
      <w:spacing w:before="100" w:beforeAutospacing="1" w:after="0"/>
      <w:ind w:firstLine="0" w:firstLineChars="0"/>
      <w:jc w:val="center"/>
    </w:pPr>
    <w:rPr>
      <w:rFonts w:hint="eastAsia" w:ascii="仿宋_GB2312" w:hAnsi="宋体" w:eastAsia="仿宋_GB2312" w:cs="宋体"/>
      <w:color w:val="FF0000"/>
    </w:rPr>
  </w:style>
  <w:style w:type="paragraph" w:customStyle="1" w:styleId="628">
    <w:name w:val="列表项目符号1."/>
    <w:basedOn w:val="1"/>
    <w:qFormat/>
    <w:uiPriority w:val="0"/>
    <w:pPr>
      <w:keepNext/>
      <w:autoSpaceDE w:val="0"/>
      <w:autoSpaceDN w:val="0"/>
      <w:spacing w:line="312" w:lineRule="atLeast"/>
      <w:ind w:left="425" w:hanging="425" w:firstLineChars="0"/>
      <w:jc w:val="both"/>
      <w:textAlignment w:val="baseline"/>
    </w:pPr>
    <w:rPr>
      <w:rFonts w:ascii="仿宋_GB2312" w:hAnsi="宋体" w:eastAsia="仿宋_GB2312" w:cs="宋体"/>
      <w:kern w:val="0"/>
      <w:sz w:val="21"/>
      <w:szCs w:val="20"/>
    </w:rPr>
  </w:style>
  <w:style w:type="paragraph" w:customStyle="1" w:styleId="629">
    <w:name w:val="font12"/>
    <w:basedOn w:val="1"/>
    <w:qFormat/>
    <w:uiPriority w:val="0"/>
    <w:pPr>
      <w:widowControl/>
      <w:autoSpaceDE w:val="0"/>
      <w:autoSpaceDN w:val="0"/>
      <w:spacing w:before="100" w:beforeAutospacing="1" w:after="100" w:afterAutospacing="1" w:line="300" w:lineRule="auto"/>
      <w:ind w:firstLine="0" w:firstLineChars="0"/>
      <w:jc w:val="both"/>
    </w:pPr>
    <w:rPr>
      <w:rFonts w:ascii="Arial" w:hAnsi="Arial" w:eastAsia="Arial Unicode MS" w:cs="Arial"/>
      <w:kern w:val="0"/>
      <w:sz w:val="18"/>
      <w:szCs w:val="18"/>
    </w:rPr>
  </w:style>
  <w:style w:type="paragraph" w:customStyle="1" w:styleId="630">
    <w:name w:val="font13"/>
    <w:basedOn w:val="1"/>
    <w:qFormat/>
    <w:uiPriority w:val="0"/>
    <w:pPr>
      <w:widowControl/>
      <w:autoSpaceDE w:val="0"/>
      <w:autoSpaceDN w:val="0"/>
      <w:spacing w:before="100" w:beforeAutospacing="1" w:after="100" w:afterAutospacing="1" w:line="300" w:lineRule="auto"/>
      <w:ind w:firstLine="0" w:firstLineChars="0"/>
      <w:jc w:val="both"/>
    </w:pPr>
    <w:rPr>
      <w:rFonts w:ascii="Arial" w:hAnsi="Arial" w:eastAsia="Arial Unicode MS" w:cs="Arial"/>
      <w:kern w:val="0"/>
      <w:sz w:val="18"/>
      <w:szCs w:val="18"/>
    </w:rPr>
  </w:style>
  <w:style w:type="paragraph" w:customStyle="1" w:styleId="631">
    <w:name w:val="注意"/>
    <w:basedOn w:val="1"/>
    <w:next w:val="86"/>
    <w:qFormat/>
    <w:uiPriority w:val="0"/>
    <w:pPr>
      <w:keepNext/>
      <w:autoSpaceDE w:val="0"/>
      <w:autoSpaceDN w:val="0"/>
      <w:spacing w:line="300" w:lineRule="auto"/>
      <w:ind w:firstLine="198"/>
      <w:jc w:val="both"/>
    </w:pPr>
    <w:rPr>
      <w:rFonts w:ascii="仿宋_GB2312" w:hAnsi="宋体" w:eastAsia="楷体_GB2312" w:cs="宋体"/>
      <w:color w:val="000000"/>
      <w:sz w:val="21"/>
      <w:szCs w:val="24"/>
    </w:rPr>
  </w:style>
  <w:style w:type="paragraph" w:customStyle="1" w:styleId="632">
    <w:name w:val="样式 标题 1 + 黑体 四号 自动设置 两端对齐 段前: 7.8 磅 段后: 7.8 磅"/>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633">
    <w:name w:val="样式 标题 51)项标题 5 Char1) Char项 Char标5 + 左 Char"/>
    <w:basedOn w:val="7"/>
    <w:next w:val="86"/>
    <w:link w:val="634"/>
    <w:qFormat/>
    <w:uiPriority w:val="0"/>
    <w:pPr>
      <w:keepNext/>
      <w:keepLines/>
      <w:numPr>
        <w:numId w:val="0"/>
      </w:numPr>
      <w:tabs>
        <w:tab w:val="left" w:pos="2100"/>
      </w:tabs>
      <w:adjustRightInd/>
      <w:snapToGrid/>
      <w:spacing w:before="280" w:after="290" w:line="376" w:lineRule="auto"/>
      <w:ind w:left="2100" w:hanging="420"/>
      <w:jc w:val="both"/>
    </w:pPr>
    <w:rPr>
      <w:rFonts w:ascii="宋体"/>
      <w:b/>
      <w:bCs w:val="0"/>
      <w:spacing w:val="6"/>
      <w:szCs w:val="26"/>
    </w:rPr>
  </w:style>
  <w:style w:type="character" w:customStyle="1" w:styleId="634">
    <w:name w:val="样式 标题 51)项标题 5 Char1) Char项 Char标5 + 左 Char Char"/>
    <w:link w:val="633"/>
    <w:qFormat/>
    <w:uiPriority w:val="0"/>
    <w:rPr>
      <w:rFonts w:ascii="宋体" w:hAnsi="Times New Roman"/>
      <w:b/>
      <w:spacing w:val="6"/>
      <w:kern w:val="2"/>
      <w:sz w:val="26"/>
      <w:szCs w:val="26"/>
    </w:rPr>
  </w:style>
  <w:style w:type="paragraph" w:customStyle="1" w:styleId="635">
    <w:name w:val="样式 题注 + 首行缩进:  2 字符"/>
    <w:basedOn w:val="22"/>
    <w:qFormat/>
    <w:uiPriority w:val="0"/>
    <w:pPr>
      <w:autoSpaceDE w:val="0"/>
      <w:autoSpaceDN w:val="0"/>
      <w:ind w:firstLine="400"/>
    </w:pPr>
    <w:rPr>
      <w:rFonts w:ascii="黑体" w:hAnsi="宋体" w:cs="宋体"/>
      <w:color w:val="000000"/>
      <w:szCs w:val="24"/>
    </w:rPr>
  </w:style>
  <w:style w:type="paragraph" w:customStyle="1" w:styleId="636">
    <w:name w:val="样式 题注"/>
    <w:basedOn w:val="22"/>
    <w:qFormat/>
    <w:uiPriority w:val="0"/>
    <w:pPr>
      <w:autoSpaceDE w:val="0"/>
      <w:autoSpaceDN w:val="0"/>
      <w:ind w:firstLine="617"/>
    </w:pPr>
    <w:rPr>
      <w:rFonts w:ascii="黑体" w:hAnsi="宋体" w:cs="Arial"/>
      <w:color w:val="000000"/>
      <w:szCs w:val="24"/>
    </w:rPr>
  </w:style>
  <w:style w:type="paragraph" w:customStyle="1" w:styleId="637">
    <w:name w:val="表中文字居中"/>
    <w:basedOn w:val="1"/>
    <w:next w:val="86"/>
    <w:qFormat/>
    <w:uiPriority w:val="0"/>
    <w:pPr>
      <w:keepNext/>
      <w:autoSpaceDE w:val="0"/>
      <w:autoSpaceDN w:val="0"/>
      <w:spacing w:line="300" w:lineRule="auto"/>
      <w:ind w:firstLine="480"/>
      <w:jc w:val="center"/>
    </w:pPr>
    <w:rPr>
      <w:rFonts w:ascii="仿宋_GB2312" w:hAnsi="宋体" w:eastAsia="仿宋_GB2312" w:cs="宋体"/>
      <w:sz w:val="24"/>
      <w:szCs w:val="24"/>
    </w:rPr>
  </w:style>
  <w:style w:type="paragraph" w:customStyle="1" w:styleId="638">
    <w:name w:val="样式 标题 51)项标题 5 Char1) Char项 Char标5 + 左1"/>
    <w:basedOn w:val="7"/>
    <w:next w:val="1"/>
    <w:qFormat/>
    <w:uiPriority w:val="0"/>
    <w:pPr>
      <w:keepNext/>
      <w:keepLines/>
      <w:numPr>
        <w:numId w:val="0"/>
      </w:numPr>
      <w:tabs>
        <w:tab w:val="left" w:pos="2100"/>
      </w:tabs>
      <w:adjustRightInd/>
      <w:snapToGrid/>
      <w:spacing w:before="280" w:after="290" w:line="376" w:lineRule="auto"/>
      <w:ind w:left="2100" w:hanging="420"/>
      <w:jc w:val="both"/>
    </w:pPr>
    <w:rPr>
      <w:rFonts w:ascii="宋体"/>
      <w:b/>
      <w:bCs w:val="0"/>
      <w:spacing w:val="6"/>
      <w:szCs w:val="26"/>
    </w:rPr>
  </w:style>
  <w:style w:type="paragraph" w:customStyle="1" w:styleId="639">
    <w:name w:val="备注"/>
    <w:basedOn w:val="86"/>
    <w:qFormat/>
    <w:uiPriority w:val="0"/>
    <w:pPr>
      <w:keepNext/>
      <w:tabs>
        <w:tab w:val="left" w:pos="628"/>
        <w:tab w:val="left" w:pos="1727"/>
        <w:tab w:val="left" w:pos="1884"/>
        <w:tab w:val="left" w:pos="4900"/>
      </w:tabs>
      <w:autoSpaceDE w:val="0"/>
      <w:autoSpaceDN w:val="0"/>
      <w:adjustRightInd w:val="0"/>
      <w:snapToGrid w:val="0"/>
      <w:spacing w:after="0" w:line="300" w:lineRule="auto"/>
      <w:ind w:firstLine="480" w:firstLineChars="200"/>
      <w:jc w:val="center"/>
    </w:pPr>
    <w:rPr>
      <w:rFonts w:ascii="仿宋_GB2312" w:hAnsi="宋体" w:eastAsia="楷体_GB2312" w:cs="宋体"/>
      <w:bCs/>
      <w:color w:val="auto"/>
    </w:rPr>
  </w:style>
  <w:style w:type="paragraph" w:customStyle="1" w:styleId="640">
    <w:name w:val="样式 目录 1目录 + 首行缩进:  2 字符"/>
    <w:basedOn w:val="59"/>
    <w:qFormat/>
    <w:uiPriority w:val="0"/>
    <w:pPr>
      <w:keepNext/>
      <w:tabs>
        <w:tab w:val="right" w:leader="dot" w:pos="9062"/>
      </w:tabs>
      <w:autoSpaceDE w:val="0"/>
      <w:autoSpaceDN w:val="0"/>
      <w:spacing w:line="300" w:lineRule="auto"/>
      <w:jc w:val="both"/>
    </w:pPr>
    <w:rPr>
      <w:rFonts w:ascii="Arial Narrow" w:hAnsi="Arial Narrow" w:eastAsia="仿宋_GB2312" w:cs="宋体"/>
      <w:b w:val="0"/>
      <w:bCs w:val="0"/>
      <w:caps w:val="0"/>
      <w:color w:val="000000"/>
      <w:lang w:val="zh-CN"/>
    </w:rPr>
  </w:style>
  <w:style w:type="paragraph" w:customStyle="1" w:styleId="641">
    <w:name w:val="题注2"/>
    <w:basedOn w:val="22"/>
    <w:qFormat/>
    <w:uiPriority w:val="0"/>
    <w:pPr>
      <w:keepNext/>
      <w:autoSpaceDE w:val="0"/>
      <w:autoSpaceDN w:val="0"/>
      <w:spacing w:afterLines="50"/>
      <w:ind w:right="109" w:rightChars="39"/>
    </w:pPr>
    <w:rPr>
      <w:rFonts w:ascii="黑体" w:hAnsi="宋体" w:cs="Arial"/>
      <w:b/>
      <w:snapToGrid w:val="0"/>
      <w:color w:val="000000"/>
      <w:kern w:val="0"/>
      <w:szCs w:val="24"/>
    </w:rPr>
  </w:style>
  <w:style w:type="paragraph" w:customStyle="1" w:styleId="642">
    <w:name w:val="样式 正文首行缩进 + 首行缩进:  2 字符"/>
    <w:basedOn w:val="86"/>
    <w:qFormat/>
    <w:uiPriority w:val="0"/>
    <w:pPr>
      <w:tabs>
        <w:tab w:val="left" w:pos="628"/>
        <w:tab w:val="left" w:pos="1727"/>
        <w:tab w:val="left" w:pos="1884"/>
        <w:tab w:val="left" w:pos="2660"/>
        <w:tab w:val="left" w:pos="5460"/>
      </w:tabs>
      <w:autoSpaceDE w:val="0"/>
      <w:autoSpaceDN w:val="0"/>
      <w:adjustRightInd w:val="0"/>
      <w:snapToGrid w:val="0"/>
      <w:spacing w:after="0" w:line="300" w:lineRule="auto"/>
      <w:ind w:firstLine="480" w:firstLineChars="200"/>
      <w:jc w:val="center"/>
    </w:pPr>
    <w:rPr>
      <w:rFonts w:ascii="仿宋_GB2312" w:hAnsi="宋体" w:eastAsia="仿宋_GB2312" w:cs="宋体"/>
      <w:bCs/>
    </w:rPr>
  </w:style>
  <w:style w:type="paragraph" w:customStyle="1" w:styleId="643">
    <w:name w:val="样式 标题 1标题 1 Char标1第一章 + 两端对齐 段前: 0.5 行 段后: 0.5 行"/>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644">
    <w:name w:val="样式 标题 31.1.1条标题 3 Char Char标题 3 Char标3 +"/>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645">
    <w:name w:val="样式 标题 21.1标题 21.1标题2标题 2 Char1节_Heading 2标2 + 段前: 0.5 行..."/>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646">
    <w:name w:val="样式 标题 41.1.1.1标题 4.1.1.1.1标题 4 Char款1.1.1.1 Char标4 +"/>
    <w:basedOn w:val="6"/>
    <w:qFormat/>
    <w:uiPriority w:val="0"/>
    <w:pPr>
      <w:keepNext/>
      <w:keepLines/>
      <w:widowControl w:val="0"/>
      <w:numPr>
        <w:numId w:val="0"/>
      </w:numPr>
      <w:tabs>
        <w:tab w:val="left" w:pos="1680"/>
        <w:tab w:val="clear" w:pos="0"/>
      </w:tabs>
      <w:adjustRightInd/>
      <w:snapToGrid/>
      <w:spacing w:before="280" w:after="290" w:line="376" w:lineRule="auto"/>
      <w:ind w:left="1680" w:hanging="420" w:firstLineChars="200"/>
      <w:jc w:val="both"/>
    </w:pPr>
    <w:rPr>
      <w:rFonts w:ascii="Arial" w:hAnsi="Arial" w:eastAsia="黑体"/>
      <w:b w:val="0"/>
      <w:snapToGrid/>
      <w:sz w:val="28"/>
    </w:rPr>
  </w:style>
  <w:style w:type="paragraph" w:customStyle="1" w:styleId="647">
    <w:name w:val="样式 标题 51)项标5 +"/>
    <w:basedOn w:val="7"/>
    <w:qFormat/>
    <w:uiPriority w:val="0"/>
    <w:pPr>
      <w:keepNext/>
      <w:keepLines/>
      <w:numPr>
        <w:numId w:val="0"/>
      </w:numPr>
      <w:tabs>
        <w:tab w:val="left" w:pos="2100"/>
      </w:tabs>
      <w:adjustRightInd/>
      <w:snapToGrid/>
      <w:spacing w:before="280" w:after="290" w:line="376" w:lineRule="auto"/>
      <w:ind w:left="2100" w:hanging="420"/>
      <w:jc w:val="both"/>
    </w:pPr>
    <w:rPr>
      <w:rFonts w:ascii="宋体"/>
      <w:b/>
      <w:bCs w:val="0"/>
      <w:spacing w:val="6"/>
      <w:szCs w:val="26"/>
    </w:rPr>
  </w:style>
  <w:style w:type="paragraph" w:customStyle="1" w:styleId="648">
    <w:name w:val="样式 标题 51)项标5 +1"/>
    <w:basedOn w:val="7"/>
    <w:qFormat/>
    <w:uiPriority w:val="0"/>
    <w:pPr>
      <w:keepNext/>
      <w:keepLines/>
      <w:numPr>
        <w:numId w:val="0"/>
      </w:numPr>
      <w:tabs>
        <w:tab w:val="left" w:pos="2100"/>
      </w:tabs>
      <w:adjustRightInd/>
      <w:snapToGrid/>
      <w:spacing w:before="280" w:after="290" w:line="376" w:lineRule="auto"/>
      <w:ind w:left="2100" w:hanging="420"/>
      <w:jc w:val="both"/>
    </w:pPr>
    <w:rPr>
      <w:rFonts w:ascii="宋体"/>
      <w:b/>
      <w:bCs w:val="0"/>
      <w:spacing w:val="6"/>
      <w:szCs w:val="26"/>
    </w:rPr>
  </w:style>
  <w:style w:type="paragraph" w:customStyle="1" w:styleId="649">
    <w:name w:val="样式 标题 1标题 1 Char标1 + 段前: 0.5 行 段后: 0.5 行"/>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650">
    <w:name w:val="样式 标题 21.1标题 21.1标题2标题 2 Char1节_Heading 2标2二级标题1.1标题 +..."/>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651">
    <w:name w:val="标题 52"/>
    <w:basedOn w:val="1"/>
    <w:qFormat/>
    <w:uiPriority w:val="0"/>
    <w:pPr>
      <w:autoSpaceDE w:val="0"/>
      <w:autoSpaceDN w:val="0"/>
      <w:spacing w:line="300" w:lineRule="auto"/>
      <w:ind w:firstLine="567"/>
      <w:jc w:val="both"/>
    </w:pPr>
    <w:rPr>
      <w:rFonts w:ascii="仿宋_GB2312" w:hAnsi="宋体" w:eastAsia="仿宋_GB2312" w:cs="宋体"/>
      <w:sz w:val="24"/>
      <w:szCs w:val="24"/>
    </w:rPr>
  </w:style>
  <w:style w:type="paragraph" w:customStyle="1" w:styleId="652">
    <w:name w:val="样式 标题 21.1标题 21.1标题2标题 2 Char1节_Heading 2标2二级标题1.1标题 +...1"/>
    <w:basedOn w:val="1"/>
    <w:next w:val="86"/>
    <w:qFormat/>
    <w:uiPriority w:val="0"/>
    <w:pPr>
      <w:keepNext/>
      <w:autoSpaceDE w:val="0"/>
      <w:autoSpaceDN w:val="0"/>
      <w:spacing w:before="120" w:after="120" w:line="300" w:lineRule="auto"/>
      <w:ind w:firstLine="480"/>
      <w:jc w:val="both"/>
    </w:pPr>
    <w:rPr>
      <w:rFonts w:ascii="仿宋_GB2312" w:hAnsi="宋体" w:eastAsia="仿宋_GB2312" w:cs="宋体"/>
      <w:sz w:val="24"/>
      <w:szCs w:val="20"/>
    </w:rPr>
  </w:style>
  <w:style w:type="paragraph" w:customStyle="1" w:styleId="653">
    <w:name w:val="c"/>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654">
    <w:name w:val="gb1"/>
    <w:basedOn w:val="1"/>
    <w:qFormat/>
    <w:uiPriority w:val="0"/>
    <w:pPr>
      <w:tabs>
        <w:tab w:val="left" w:pos="227"/>
      </w:tabs>
      <w:overflowPunct w:val="0"/>
      <w:autoSpaceDE w:val="0"/>
      <w:autoSpaceDN w:val="0"/>
      <w:spacing w:before="120" w:after="120" w:line="300" w:lineRule="auto"/>
      <w:ind w:firstLine="480"/>
      <w:jc w:val="both"/>
      <w:textAlignment w:val="baseline"/>
    </w:pPr>
    <w:rPr>
      <w:rFonts w:ascii="Arial" w:hAnsi="Arial" w:eastAsia="仿宋体" w:cs="宋体"/>
      <w:kern w:val="0"/>
      <w:sz w:val="21"/>
      <w:szCs w:val="20"/>
    </w:rPr>
  </w:style>
  <w:style w:type="paragraph" w:customStyle="1" w:styleId="655">
    <w:name w:val="注释标题4"/>
    <w:basedOn w:val="17"/>
    <w:qFormat/>
    <w:uiPriority w:val="0"/>
    <w:pPr>
      <w:autoSpaceDE w:val="0"/>
      <w:autoSpaceDN w:val="0"/>
      <w:adjustRightInd w:val="0"/>
      <w:snapToGrid w:val="0"/>
      <w:spacing w:line="300" w:lineRule="auto"/>
      <w:ind w:left="-20" w:firstLine="198" w:firstLineChars="200"/>
    </w:pPr>
    <w:rPr>
      <w:rFonts w:ascii="仿宋_GB2312" w:hAnsi="宋体" w:cs="宋体"/>
    </w:rPr>
  </w:style>
  <w:style w:type="paragraph" w:customStyle="1" w:styleId="656">
    <w:name w:val="首页脚注"/>
    <w:basedOn w:val="55"/>
    <w:qFormat/>
    <w:uiPriority w:val="0"/>
    <w:pPr>
      <w:keepLines/>
      <w:pBdr>
        <w:top w:val="none" w:color="auto" w:sz="0" w:space="0"/>
      </w:pBdr>
      <w:tabs>
        <w:tab w:val="center" w:pos="4320"/>
        <w:tab w:val="clear" w:pos="4153"/>
        <w:tab w:val="clear" w:pos="8306"/>
      </w:tabs>
      <w:overflowPunct w:val="0"/>
      <w:autoSpaceDE w:val="0"/>
      <w:autoSpaceDN w:val="0"/>
      <w:snapToGrid/>
      <w:spacing w:line="360" w:lineRule="auto"/>
      <w:ind w:firstLine="630" w:firstLineChars="300"/>
      <w:jc w:val="center"/>
      <w:textAlignment w:val="baseline"/>
    </w:pPr>
    <w:rPr>
      <w:rFonts w:eastAsia="仿宋_GB2312" w:cs="宋体"/>
      <w:kern w:val="0"/>
      <w:sz w:val="28"/>
      <w:szCs w:val="20"/>
    </w:rPr>
  </w:style>
  <w:style w:type="paragraph" w:customStyle="1" w:styleId="657">
    <w:name w:val="正文4"/>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658">
    <w:name w:val="样式 正文文本 +"/>
    <w:basedOn w:val="34"/>
    <w:qFormat/>
    <w:uiPriority w:val="0"/>
    <w:pPr>
      <w:autoSpaceDE w:val="0"/>
      <w:autoSpaceDN w:val="0"/>
      <w:spacing w:beforeLines="0" w:after="120" w:line="300" w:lineRule="auto"/>
      <w:jc w:val="center"/>
    </w:pPr>
    <w:rPr>
      <w:rFonts w:ascii="仿宋_GB2312" w:hAnsi="宋体" w:eastAsia="仿宋_GB2312" w:cs="宋体"/>
      <w:bCs/>
      <w:snapToGrid/>
    </w:rPr>
  </w:style>
  <w:style w:type="paragraph" w:customStyle="1" w:styleId="659">
    <w:name w:val="样式 题注 + (西文) 宋体"/>
    <w:basedOn w:val="22"/>
    <w:qFormat/>
    <w:uiPriority w:val="0"/>
    <w:pPr>
      <w:tabs>
        <w:tab w:val="left" w:pos="1727"/>
        <w:tab w:val="left" w:pos="1884"/>
      </w:tabs>
      <w:autoSpaceDE w:val="0"/>
      <w:autoSpaceDN w:val="0"/>
      <w:spacing w:line="360" w:lineRule="auto"/>
      <w:outlineLvl w:val="0"/>
    </w:pPr>
    <w:rPr>
      <w:rFonts w:ascii="黑体" w:hAnsi="宋体" w:cs="宋体"/>
      <w:color w:val="000000"/>
      <w:kern w:val="0"/>
      <w:szCs w:val="24"/>
      <w:lang w:val="zh-CN"/>
    </w:rPr>
  </w:style>
  <w:style w:type="character" w:customStyle="1" w:styleId="660">
    <w:name w:val="样式 题注 + (西文) 宋体 Char"/>
    <w:qFormat/>
    <w:locked/>
    <w:uiPriority w:val="0"/>
    <w:rPr>
      <w:rFonts w:ascii="宋体" w:hAnsi="宋体" w:eastAsia="宋体" w:cs="宋体"/>
      <w:color w:val="000000"/>
      <w:sz w:val="28"/>
      <w:szCs w:val="28"/>
      <w:lang w:val="zh-CN" w:eastAsia="zh-CN" w:bidi="ar-SA"/>
    </w:rPr>
  </w:style>
  <w:style w:type="paragraph" w:customStyle="1" w:styleId="661">
    <w:name w:val="样式 表格1 + 黑体 两端对齐 首行缩进:  2.12 厘米 行距: 1.5 倍行距"/>
    <w:basedOn w:val="1"/>
    <w:qFormat/>
    <w:uiPriority w:val="0"/>
    <w:pPr>
      <w:keepNext/>
      <w:autoSpaceDE w:val="0"/>
      <w:autoSpaceDN w:val="0"/>
      <w:spacing w:line="300" w:lineRule="auto"/>
      <w:ind w:firstLine="480"/>
      <w:jc w:val="center"/>
    </w:pPr>
    <w:rPr>
      <w:rFonts w:ascii="黑体" w:hAnsi="宋体" w:eastAsia="黑体" w:cs="黑体"/>
      <w:kern w:val="0"/>
      <w:sz w:val="24"/>
      <w:szCs w:val="24"/>
      <w:lang w:val="zh-CN"/>
    </w:rPr>
  </w:style>
  <w:style w:type="paragraph" w:customStyle="1" w:styleId="662">
    <w:name w:val="五号"/>
    <w:basedOn w:val="1"/>
    <w:qFormat/>
    <w:uiPriority w:val="0"/>
    <w:pPr>
      <w:autoSpaceDE w:val="0"/>
      <w:autoSpaceDN w:val="0"/>
      <w:spacing w:line="300" w:lineRule="auto"/>
      <w:jc w:val="both"/>
    </w:pPr>
    <w:rPr>
      <w:rFonts w:ascii="仿宋_GB2312" w:hAnsi="宋体" w:eastAsia="仿宋_GB2312" w:cs="宋体"/>
      <w:sz w:val="21"/>
      <w:szCs w:val="21"/>
    </w:rPr>
  </w:style>
  <w:style w:type="character" w:customStyle="1" w:styleId="663">
    <w:name w:val="五号 Char"/>
    <w:qFormat/>
    <w:uiPriority w:val="0"/>
    <w:rPr>
      <w:rFonts w:ascii="Verdana" w:hAnsi="Verdana" w:eastAsia="宋体"/>
      <w:kern w:val="2"/>
      <w:sz w:val="21"/>
      <w:szCs w:val="24"/>
      <w:lang w:val="en-US" w:eastAsia="zh-CN" w:bidi="ar-SA"/>
    </w:rPr>
  </w:style>
  <w:style w:type="paragraph" w:customStyle="1" w:styleId="664">
    <w:name w:val="样式 题注 + 小四"/>
    <w:basedOn w:val="22"/>
    <w:qFormat/>
    <w:uiPriority w:val="0"/>
    <w:pPr>
      <w:autoSpaceDE w:val="0"/>
      <w:autoSpaceDN w:val="0"/>
      <w:spacing w:line="360" w:lineRule="auto"/>
    </w:pPr>
    <w:rPr>
      <w:rFonts w:ascii="Arial" w:hAnsi="Arial" w:cs="Arial"/>
      <w:color w:val="000000"/>
    </w:rPr>
  </w:style>
  <w:style w:type="character" w:customStyle="1" w:styleId="665">
    <w:name w:val="样式 题注 + 小四 Char"/>
    <w:qFormat/>
    <w:uiPriority w:val="0"/>
    <w:rPr>
      <w:rFonts w:ascii="Arial" w:hAnsi="Arial" w:eastAsia="黑体" w:cs="Arial"/>
      <w:kern w:val="2"/>
      <w:sz w:val="24"/>
      <w:szCs w:val="24"/>
      <w:lang w:val="en-US" w:eastAsia="zh-CN" w:bidi="ar-SA"/>
    </w:rPr>
  </w:style>
  <w:style w:type="paragraph" w:customStyle="1" w:styleId="666">
    <w:name w:val="样式 左侧:  0.85 厘米"/>
    <w:basedOn w:val="1"/>
    <w:qFormat/>
    <w:uiPriority w:val="0"/>
    <w:pPr>
      <w:autoSpaceDE w:val="0"/>
      <w:autoSpaceDN w:val="0"/>
      <w:spacing w:line="300" w:lineRule="auto"/>
      <w:ind w:left="482"/>
      <w:jc w:val="both"/>
    </w:pPr>
    <w:rPr>
      <w:rFonts w:ascii="仿宋_GB2312" w:hAnsi="宋体" w:eastAsia="仿宋_GB2312" w:cs="宋体"/>
      <w:sz w:val="24"/>
      <w:szCs w:val="20"/>
    </w:rPr>
  </w:style>
  <w:style w:type="character" w:customStyle="1" w:styleId="667">
    <w:name w:val="标题5 Char Char"/>
    <w:qFormat/>
    <w:uiPriority w:val="0"/>
    <w:rPr>
      <w:rFonts w:ascii="宋体" w:hAnsi="Verdana" w:eastAsia="宋体"/>
      <w:color w:val="000000"/>
      <w:kern w:val="2"/>
      <w:sz w:val="28"/>
      <w:szCs w:val="24"/>
      <w:lang w:val="en-US" w:eastAsia="zh-CN" w:bidi="ar-SA"/>
    </w:rPr>
  </w:style>
  <w:style w:type="paragraph" w:customStyle="1" w:styleId="668">
    <w:name w:val="表格标题居中"/>
    <w:basedOn w:val="561"/>
    <w:qFormat/>
    <w:uiPriority w:val="0"/>
    <w:pPr>
      <w:spacing w:line="360" w:lineRule="auto"/>
      <w:ind w:firstLine="561"/>
      <w:textAlignment w:val="auto"/>
    </w:pPr>
    <w:rPr>
      <w:rFonts w:ascii="仿宋_GB2312" w:eastAsia="黑体" w:cs="宋体"/>
      <w:color w:val="000000"/>
      <w:kern w:val="0"/>
    </w:rPr>
  </w:style>
  <w:style w:type="paragraph" w:customStyle="1" w:styleId="669">
    <w:name w:val="正文居中"/>
    <w:basedOn w:val="1"/>
    <w:next w:val="1"/>
    <w:qFormat/>
    <w:uiPriority w:val="0"/>
    <w:pPr>
      <w:autoSpaceDE w:val="0"/>
      <w:autoSpaceDN w:val="0"/>
      <w:spacing w:line="300" w:lineRule="auto"/>
      <w:jc w:val="center"/>
    </w:pPr>
    <w:rPr>
      <w:rFonts w:ascii="仿宋_GB2312" w:hAnsi="宋体" w:eastAsia="仿宋_GB2312" w:cs="宋体"/>
      <w:spacing w:val="8"/>
      <w:kern w:val="21"/>
      <w:sz w:val="24"/>
      <w:szCs w:val="20"/>
    </w:rPr>
  </w:style>
  <w:style w:type="paragraph" w:customStyle="1" w:styleId="670">
    <w:name w:val="样式 普通段落 + 首行缩进:  2 字符 段前: 0.5 行4"/>
    <w:basedOn w:val="1"/>
    <w:qFormat/>
    <w:uiPriority w:val="0"/>
    <w:pPr>
      <w:autoSpaceDE w:val="0"/>
      <w:autoSpaceDN w:val="0"/>
      <w:spacing w:beforeLines="50" w:line="288" w:lineRule="auto"/>
      <w:ind w:firstLine="480"/>
      <w:jc w:val="both"/>
    </w:pPr>
    <w:rPr>
      <w:rFonts w:ascii="Arial" w:hAnsi="Arial" w:eastAsia="华文宋体" w:cs="Arial"/>
      <w:kern w:val="0"/>
      <w:sz w:val="24"/>
      <w:szCs w:val="20"/>
    </w:rPr>
  </w:style>
  <w:style w:type="paragraph" w:customStyle="1" w:styleId="671">
    <w:name w:val="样式 题注 + (西文) Arial (中文) 黑体 小四 Char Char"/>
    <w:basedOn w:val="22"/>
    <w:qFormat/>
    <w:uiPriority w:val="0"/>
    <w:pPr>
      <w:autoSpaceDE w:val="0"/>
      <w:autoSpaceDN w:val="0"/>
    </w:pPr>
    <w:rPr>
      <w:rFonts w:ascii="Arial" w:hAnsi="Arial" w:cs="Arial"/>
      <w:color w:val="000000"/>
      <w:szCs w:val="24"/>
    </w:rPr>
  </w:style>
  <w:style w:type="character" w:customStyle="1" w:styleId="672">
    <w:name w:val="样式 题注 + (西文) Arial (中文) 黑体 小四 Char Char Char"/>
    <w:qFormat/>
    <w:uiPriority w:val="0"/>
    <w:rPr>
      <w:rFonts w:ascii="黑体" w:hAnsi="Arial" w:eastAsia="黑体" w:cs="Arial"/>
      <w:kern w:val="2"/>
      <w:sz w:val="28"/>
      <w:szCs w:val="28"/>
      <w:lang w:val="en-US" w:eastAsia="zh-CN" w:bidi="ar-SA"/>
    </w:rPr>
  </w:style>
  <w:style w:type="paragraph" w:customStyle="1" w:styleId="673">
    <w:name w:val="样式 标题 21.1标题 21.1标题2标题 2 Char1节_Heading 2标2二级标题1.1标题 +...2"/>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character" w:customStyle="1" w:styleId="674">
    <w:name w:val="样式 标题 51)项标5标题 5 Char21) Char2项 Char2 + 左侧:  -0.04 厘米 首行缩... Char"/>
    <w:qFormat/>
    <w:uiPriority w:val="0"/>
    <w:rPr>
      <w:rFonts w:ascii="宋体" w:hAnsi="宋体" w:eastAsia="宋体" w:cs="宋体"/>
      <w:kern w:val="2"/>
      <w:sz w:val="28"/>
      <w:szCs w:val="28"/>
      <w:lang w:val="en-US" w:eastAsia="zh-CN" w:bidi="ar-SA"/>
    </w:rPr>
  </w:style>
  <w:style w:type="paragraph" w:customStyle="1" w:styleId="675">
    <w:name w:val="样式 题注 + 首行缩进:  2 字符1"/>
    <w:basedOn w:val="22"/>
    <w:qFormat/>
    <w:uiPriority w:val="0"/>
    <w:pPr>
      <w:autoSpaceDE w:val="0"/>
      <w:autoSpaceDN w:val="0"/>
    </w:pPr>
    <w:rPr>
      <w:rFonts w:ascii="黑体" w:hAnsi="宋体" w:cs="宋体"/>
      <w:color w:val="000000"/>
    </w:rPr>
  </w:style>
  <w:style w:type="paragraph" w:customStyle="1" w:styleId="676">
    <w:name w:val="样式 左侧:  -0.04 厘米"/>
    <w:basedOn w:val="1"/>
    <w:qFormat/>
    <w:uiPriority w:val="0"/>
    <w:pPr>
      <w:autoSpaceDE w:val="0"/>
      <w:autoSpaceDN w:val="0"/>
      <w:spacing w:line="300" w:lineRule="auto"/>
      <w:ind w:left="-23"/>
      <w:jc w:val="both"/>
    </w:pPr>
    <w:rPr>
      <w:rFonts w:ascii="仿宋_GB2312" w:hAnsi="宋体" w:eastAsia="仿宋_GB2312" w:cs="宋体"/>
      <w:sz w:val="24"/>
      <w:szCs w:val="20"/>
    </w:rPr>
  </w:style>
  <w:style w:type="paragraph" w:customStyle="1" w:styleId="677">
    <w:name w:val="样式 样式 左侧:  -0.04 厘米 + 首行缩进:  2 字符"/>
    <w:basedOn w:val="678"/>
    <w:qFormat/>
    <w:uiPriority w:val="0"/>
    <w:pPr>
      <w:ind w:firstLine="560"/>
    </w:pPr>
  </w:style>
  <w:style w:type="paragraph" w:customStyle="1" w:styleId="678">
    <w:name w:val="样式 五号 首行缩进:  2 字符"/>
    <w:basedOn w:val="1"/>
    <w:qFormat/>
    <w:uiPriority w:val="0"/>
    <w:pPr>
      <w:autoSpaceDE w:val="0"/>
      <w:autoSpaceDN w:val="0"/>
      <w:spacing w:line="300" w:lineRule="auto"/>
      <w:ind w:firstLine="420"/>
      <w:jc w:val="both"/>
    </w:pPr>
    <w:rPr>
      <w:rFonts w:ascii="仿宋_GB2312" w:hAnsi="宋体" w:eastAsia="仿宋_GB2312" w:cs="宋体"/>
      <w:sz w:val="24"/>
      <w:szCs w:val="24"/>
    </w:rPr>
  </w:style>
  <w:style w:type="paragraph" w:customStyle="1" w:styleId="679">
    <w:name w:val="标题 53"/>
    <w:basedOn w:val="601"/>
    <w:qFormat/>
    <w:uiPriority w:val="0"/>
  </w:style>
  <w:style w:type="paragraph" w:customStyle="1" w:styleId="680">
    <w:name w:val="标题 21.1标题 21.1标题2标题 2 Char1节_Heading 2标2二级标题1.1标题 +..."/>
    <w:basedOn w:val="1"/>
    <w:qFormat/>
    <w:uiPriority w:val="0"/>
    <w:pPr>
      <w:autoSpaceDE w:val="0"/>
      <w:autoSpaceDN w:val="0"/>
      <w:spacing w:line="300" w:lineRule="auto"/>
      <w:jc w:val="both"/>
    </w:pPr>
    <w:rPr>
      <w:rFonts w:ascii="仿宋_GB2312" w:hAnsi="宋体" w:eastAsia="仿宋_GB2312" w:cs="宋体"/>
      <w:sz w:val="24"/>
      <w:szCs w:val="24"/>
    </w:rPr>
  </w:style>
  <w:style w:type="paragraph" w:customStyle="1" w:styleId="681">
    <w:name w:val="表格2"/>
    <w:basedOn w:val="1"/>
    <w:qFormat/>
    <w:uiPriority w:val="0"/>
    <w:pPr>
      <w:autoSpaceDE w:val="0"/>
      <w:autoSpaceDN w:val="0"/>
      <w:spacing w:line="300" w:lineRule="auto"/>
      <w:ind w:firstLine="480"/>
      <w:jc w:val="center"/>
    </w:pPr>
    <w:rPr>
      <w:rFonts w:hint="eastAsia" w:ascii="仿宋_GB2312" w:hAnsi="宋体" w:eastAsia="仿宋_GB2312" w:cs="宋体"/>
      <w:kern w:val="0"/>
      <w:sz w:val="21"/>
      <w:szCs w:val="21"/>
    </w:rPr>
  </w:style>
  <w:style w:type="paragraph" w:customStyle="1" w:styleId="682">
    <w:name w:val="样式 题注 + (西文) Arial (中文) 黑体 小四"/>
    <w:basedOn w:val="22"/>
    <w:qFormat/>
    <w:uiPriority w:val="0"/>
    <w:pPr>
      <w:tabs>
        <w:tab w:val="left" w:pos="360"/>
      </w:tabs>
      <w:autoSpaceDE w:val="0"/>
      <w:autoSpaceDN w:val="0"/>
      <w:ind w:firstLine="560"/>
    </w:pPr>
    <w:rPr>
      <w:rFonts w:ascii="Arial" w:hAnsi="Arial" w:cs="Arial"/>
      <w:color w:val="000000"/>
      <w:szCs w:val="24"/>
    </w:rPr>
  </w:style>
  <w:style w:type="paragraph" w:customStyle="1" w:styleId="683">
    <w:name w:val="样式 样式 题注 + (西文) 宋体 + 黑体 四号"/>
    <w:basedOn w:val="659"/>
    <w:qFormat/>
    <w:uiPriority w:val="0"/>
    <w:pPr>
      <w:outlineLvl w:val="9"/>
    </w:pPr>
    <w:rPr>
      <w:rFonts w:hAnsi="黑体"/>
    </w:rPr>
  </w:style>
  <w:style w:type="character" w:customStyle="1" w:styleId="684">
    <w:name w:val="样式 样式 题注 + (西文) 宋体 + 黑体 四号 Char"/>
    <w:qFormat/>
    <w:uiPriority w:val="0"/>
    <w:rPr>
      <w:rFonts w:ascii="黑体" w:hAnsi="黑体" w:eastAsia="黑体" w:cs="宋体"/>
      <w:color w:val="000000"/>
      <w:sz w:val="28"/>
      <w:szCs w:val="24"/>
      <w:lang w:val="zh-CN" w:eastAsia="zh-CN" w:bidi="ar-SA"/>
    </w:rPr>
  </w:style>
  <w:style w:type="paragraph" w:customStyle="1" w:styleId="685">
    <w:name w:val="样式 标题 51)项标题 5 Char1) Char项 Char标5一级项 + 紧缩量  0.7 磅"/>
    <w:basedOn w:val="1"/>
    <w:qFormat/>
    <w:uiPriority w:val="0"/>
    <w:pPr>
      <w:autoSpaceDE w:val="0"/>
      <w:autoSpaceDN w:val="0"/>
      <w:spacing w:line="300" w:lineRule="auto"/>
      <w:ind w:firstLine="567"/>
      <w:jc w:val="both"/>
    </w:pPr>
    <w:rPr>
      <w:rFonts w:ascii="仿宋_GB2312" w:hAnsi="宋体" w:eastAsia="仿宋_GB2312" w:cs="宋体"/>
      <w:spacing w:val="-14"/>
      <w:sz w:val="24"/>
      <w:szCs w:val="24"/>
    </w:rPr>
  </w:style>
  <w:style w:type="character" w:customStyle="1" w:styleId="686">
    <w:name w:val="样式 标题 51)项标题 5 Char1) Char项 Char标5一级项 + 紧缩量  0.7 磅 Char"/>
    <w:qFormat/>
    <w:uiPriority w:val="0"/>
    <w:rPr>
      <w:rFonts w:ascii="宋体" w:hAnsi="宋体" w:eastAsia="宋体"/>
      <w:spacing w:val="-14"/>
      <w:kern w:val="2"/>
      <w:sz w:val="28"/>
      <w:szCs w:val="28"/>
      <w:lang w:val="en-US" w:eastAsia="zh-CN" w:bidi="ar-SA"/>
    </w:rPr>
  </w:style>
  <w:style w:type="paragraph" w:customStyle="1" w:styleId="687">
    <w:name w:val="样式 标题 41.1.1.1标题 4.1.1.1.1标题 4 Char款1.1.1.1 Char标4 + (符号) ..."/>
    <w:basedOn w:val="6"/>
    <w:next w:val="6"/>
    <w:qFormat/>
    <w:uiPriority w:val="0"/>
    <w:pPr>
      <w:keepNext/>
      <w:keepLines/>
      <w:widowControl w:val="0"/>
      <w:numPr>
        <w:numId w:val="0"/>
      </w:numPr>
      <w:tabs>
        <w:tab w:val="left" w:pos="1680"/>
        <w:tab w:val="clear" w:pos="0"/>
      </w:tabs>
      <w:adjustRightInd/>
      <w:snapToGrid/>
      <w:spacing w:before="280" w:after="290" w:line="376" w:lineRule="auto"/>
      <w:ind w:left="1680" w:hanging="420" w:firstLineChars="200"/>
      <w:jc w:val="both"/>
    </w:pPr>
    <w:rPr>
      <w:rFonts w:ascii="Arial" w:hAnsi="Arial" w:eastAsia="黑体"/>
      <w:b w:val="0"/>
      <w:snapToGrid/>
      <w:sz w:val="28"/>
    </w:rPr>
  </w:style>
  <w:style w:type="character" w:customStyle="1" w:styleId="688">
    <w:name w:val="样式 标题 41.1.1.1标题 4.1.1.1.1标题 4 Char款1.1.1.1 Char标4 + (符号) ... Char Char"/>
    <w:qFormat/>
    <w:uiPriority w:val="0"/>
    <w:rPr>
      <w:rFonts w:ascii="宋体" w:hAnsi="Arial" w:eastAsia="宋体"/>
      <w:bCs/>
      <w:color w:val="000000"/>
      <w:kern w:val="2"/>
      <w:sz w:val="28"/>
      <w:szCs w:val="28"/>
      <w:lang w:val="en-US" w:eastAsia="zh-CN" w:bidi="ar-SA"/>
    </w:rPr>
  </w:style>
  <w:style w:type="paragraph" w:customStyle="1" w:styleId="689">
    <w:name w:val="样式 标题 1标题 1 Char标1 + 段前: 0.5 行 段后: 0.5 行1"/>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690">
    <w:name w:val="样式 标题 21.1标题 21.1标题2标题 2 Char1节_Heading 2标2 + 段前: 0.5 行...1"/>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691">
    <w:name w:val="样式 标题5 + 段前: 0.5 行 段后: 0.5 行"/>
    <w:basedOn w:val="452"/>
    <w:qFormat/>
    <w:uiPriority w:val="0"/>
    <w:pPr>
      <w:numPr>
        <w:numId w:val="0"/>
      </w:numPr>
      <w:tabs>
        <w:tab w:val="left" w:pos="864"/>
      </w:tabs>
      <w:adjustRightInd w:val="0"/>
      <w:spacing w:line="360" w:lineRule="auto"/>
      <w:ind w:left="864" w:hanging="864"/>
      <w:jc w:val="left"/>
      <w:outlineLvl w:val="4"/>
    </w:pPr>
    <w:rPr>
      <w:rFonts w:ascii="仿宋_GB2312" w:hAnsi="宋体" w:cs="宋体"/>
      <w:bCs/>
      <w:kern w:val="44"/>
      <w:szCs w:val="28"/>
    </w:rPr>
  </w:style>
  <w:style w:type="paragraph" w:customStyle="1" w:styleId="692">
    <w:name w:val="样式 标题 41.1.1.1标题 4.1.1.1.1标题 4 Char款1.1.1.1 Char标4 + 段前: 0..."/>
    <w:basedOn w:val="6"/>
    <w:qFormat/>
    <w:uiPriority w:val="0"/>
    <w:pPr>
      <w:keepNext/>
      <w:keepLines/>
      <w:widowControl w:val="0"/>
      <w:numPr>
        <w:numId w:val="0"/>
      </w:numPr>
      <w:tabs>
        <w:tab w:val="left" w:pos="1680"/>
        <w:tab w:val="clear" w:pos="0"/>
      </w:tabs>
      <w:adjustRightInd/>
      <w:snapToGrid/>
      <w:spacing w:before="280" w:after="290" w:line="376" w:lineRule="auto"/>
      <w:ind w:left="1680" w:hanging="420" w:firstLineChars="200"/>
      <w:jc w:val="both"/>
    </w:pPr>
    <w:rPr>
      <w:rFonts w:ascii="Arial" w:hAnsi="Arial" w:eastAsia="黑体"/>
      <w:b w:val="0"/>
      <w:snapToGrid/>
      <w:sz w:val="28"/>
    </w:rPr>
  </w:style>
  <w:style w:type="paragraph" w:customStyle="1" w:styleId="693">
    <w:name w:val="xl23"/>
    <w:basedOn w:val="1"/>
    <w:qFormat/>
    <w:uiPriority w:val="0"/>
    <w:pPr>
      <w:autoSpaceDE w:val="0"/>
      <w:autoSpaceDN w:val="0"/>
      <w:spacing w:before="100" w:after="100" w:line="240" w:lineRule="auto"/>
      <w:jc w:val="center"/>
    </w:pPr>
    <w:rPr>
      <w:rFonts w:ascii="仿宋_GB2312" w:hAnsi="宋体" w:eastAsia="仿宋_GB2312" w:cs="宋体"/>
      <w:kern w:val="0"/>
      <w:sz w:val="24"/>
      <w:szCs w:val="24"/>
    </w:rPr>
  </w:style>
  <w:style w:type="character" w:customStyle="1" w:styleId="694">
    <w:name w:val="样式 标题 51)项标题 5 Char1) Char项 Char标5一级项 + 紧缩量  0.7 磅 Char1"/>
    <w:qFormat/>
    <w:uiPriority w:val="0"/>
    <w:rPr>
      <w:rFonts w:ascii="宋体" w:hAnsi="宋体" w:eastAsia="宋体"/>
      <w:spacing w:val="-14"/>
      <w:kern w:val="2"/>
      <w:sz w:val="28"/>
      <w:szCs w:val="28"/>
      <w:lang w:val="en-US" w:eastAsia="zh-CN" w:bidi="ar-SA"/>
    </w:rPr>
  </w:style>
  <w:style w:type="character" w:customStyle="1" w:styleId="695">
    <w:name w:val="标题 3 Char2"/>
    <w:qFormat/>
    <w:uiPriority w:val="0"/>
    <w:rPr>
      <w:rFonts w:ascii="宋体" w:hAnsi="Arial" w:eastAsia="宋体"/>
      <w:b/>
      <w:bCs/>
      <w:color w:val="000000"/>
      <w:kern w:val="2"/>
      <w:sz w:val="28"/>
      <w:szCs w:val="28"/>
      <w:lang w:val="en-US" w:eastAsia="zh-CN" w:bidi="ar-SA"/>
    </w:rPr>
  </w:style>
  <w:style w:type="character" w:customStyle="1" w:styleId="696">
    <w:name w:val="标题 4 Char3"/>
    <w:qFormat/>
    <w:uiPriority w:val="0"/>
    <w:rPr>
      <w:rFonts w:ascii="宋体" w:hAnsi="Arial" w:eastAsia="宋体"/>
      <w:b/>
      <w:bCs/>
      <w:color w:val="000000"/>
      <w:kern w:val="2"/>
      <w:sz w:val="28"/>
      <w:szCs w:val="28"/>
      <w:lang w:val="en-US" w:eastAsia="zh-CN" w:bidi="ar-SA"/>
    </w:rPr>
  </w:style>
  <w:style w:type="character" w:customStyle="1" w:styleId="697">
    <w:name w:val="标题5 Char"/>
    <w:qFormat/>
    <w:uiPriority w:val="0"/>
    <w:rPr>
      <w:rFonts w:ascii="宋体" w:hAnsi="宋体" w:eastAsia="宋体"/>
      <w:b/>
      <w:bCs/>
      <w:color w:val="000000"/>
      <w:kern w:val="2"/>
      <w:sz w:val="28"/>
      <w:szCs w:val="32"/>
      <w:lang w:val="en-US" w:eastAsia="zh-CN" w:bidi="ar-SA"/>
    </w:rPr>
  </w:style>
  <w:style w:type="paragraph" w:customStyle="1" w:styleId="698">
    <w:name w:val="样式 表格文字居中 + 首行缩进:  2 字符"/>
    <w:basedOn w:val="561"/>
    <w:qFormat/>
    <w:uiPriority w:val="0"/>
    <w:pPr>
      <w:spacing w:before="50" w:after="50"/>
      <w:textAlignment w:val="auto"/>
    </w:pPr>
    <w:rPr>
      <w:rFonts w:ascii="仿宋_GB2312" w:eastAsia="仿宋_GB2312" w:cs="宋体"/>
      <w:color w:val="000000"/>
      <w:szCs w:val="20"/>
    </w:rPr>
  </w:style>
  <w:style w:type="paragraph" w:customStyle="1" w:styleId="699">
    <w:name w:val="样式 样式 五号 首行缩进:  2 字符 + 首行缩进:  2 字符"/>
    <w:basedOn w:val="678"/>
    <w:qFormat/>
    <w:uiPriority w:val="0"/>
    <w:pPr>
      <w:ind w:firstLine="560"/>
    </w:pPr>
  </w:style>
  <w:style w:type="paragraph" w:customStyle="1" w:styleId="700">
    <w:name w:val="样式 样式 样式 五号 首行缩进:  2 字符 + 首行缩进:  2 字符 + 首行缩进:  2 字符"/>
    <w:basedOn w:val="701"/>
    <w:qFormat/>
    <w:uiPriority w:val="0"/>
  </w:style>
  <w:style w:type="paragraph" w:customStyle="1" w:styleId="701">
    <w:name w:val="样式 样式 五号 首行缩进:  2 字符 + 首行缩进:  2 字符1"/>
    <w:basedOn w:val="678"/>
    <w:qFormat/>
    <w:uiPriority w:val="0"/>
    <w:pPr>
      <w:ind w:firstLine="480"/>
    </w:pPr>
  </w:style>
  <w:style w:type="paragraph" w:customStyle="1" w:styleId="702">
    <w:name w:val="样式 表格文字居中 + 宋体 小四 Char"/>
    <w:basedOn w:val="561"/>
    <w:link w:val="703"/>
    <w:qFormat/>
    <w:uiPriority w:val="0"/>
    <w:pPr>
      <w:spacing w:line="360" w:lineRule="auto"/>
      <w:textAlignment w:val="auto"/>
    </w:pPr>
  </w:style>
  <w:style w:type="character" w:customStyle="1" w:styleId="703">
    <w:name w:val="样式 表格文字居中 + 宋体 小四 Char Char"/>
    <w:link w:val="702"/>
    <w:qFormat/>
    <w:uiPriority w:val="0"/>
    <w:rPr>
      <w:rFonts w:ascii="宋体" w:hAnsi="宋体"/>
      <w:kern w:val="2"/>
      <w:sz w:val="24"/>
      <w:szCs w:val="24"/>
    </w:rPr>
  </w:style>
  <w:style w:type="paragraph" w:customStyle="1" w:styleId="704">
    <w:name w:val="表格内"/>
    <w:basedOn w:val="1"/>
    <w:link w:val="1745"/>
    <w:qFormat/>
    <w:uiPriority w:val="0"/>
    <w:pPr>
      <w:snapToGrid/>
      <w:spacing w:line="240" w:lineRule="atLeast"/>
      <w:ind w:firstLine="0" w:firstLineChars="0"/>
      <w:jc w:val="center"/>
      <w:textAlignment w:val="baseline"/>
    </w:pPr>
    <w:rPr>
      <w:rFonts w:ascii="宋体" w:hAnsi="宋体" w:eastAsia="仿宋_GB2312" w:cs="宋体"/>
      <w:kern w:val="0"/>
      <w:sz w:val="24"/>
      <w:szCs w:val="20"/>
    </w:rPr>
  </w:style>
  <w:style w:type="paragraph" w:customStyle="1" w:styleId="705">
    <w:name w:val="Items"/>
    <w:basedOn w:val="1"/>
    <w:qFormat/>
    <w:uiPriority w:val="0"/>
    <w:pPr>
      <w:adjustRightInd/>
      <w:snapToGrid/>
      <w:spacing w:beforeLines="20" w:afterLines="30" w:line="560" w:lineRule="exact"/>
      <w:ind w:left="240" w:firstLine="80" w:firstLineChars="0"/>
      <w:jc w:val="both"/>
    </w:pPr>
    <w:rPr>
      <w:rFonts w:ascii="Arial" w:hAnsi="Arial" w:eastAsia="仿宋_GB2312" w:cs="宋体"/>
      <w:sz w:val="24"/>
      <w:szCs w:val="20"/>
    </w:rPr>
  </w:style>
  <w:style w:type="paragraph" w:customStyle="1" w:styleId="706">
    <w:name w:val="批注框文本 Char Char"/>
    <w:basedOn w:val="1"/>
    <w:qFormat/>
    <w:uiPriority w:val="0"/>
    <w:pPr>
      <w:adjustRightInd/>
      <w:snapToGrid/>
      <w:spacing w:line="312" w:lineRule="auto"/>
      <w:ind w:firstLine="0" w:firstLineChars="0"/>
      <w:jc w:val="both"/>
    </w:pPr>
    <w:rPr>
      <w:rFonts w:eastAsia="楷体_GB2312"/>
      <w:sz w:val="18"/>
      <w:szCs w:val="20"/>
    </w:rPr>
  </w:style>
  <w:style w:type="paragraph" w:customStyle="1" w:styleId="707">
    <w:name w:val="普通(网站)1"/>
    <w:basedOn w:val="1"/>
    <w:qFormat/>
    <w:uiPriority w:val="0"/>
    <w:pPr>
      <w:adjustRightInd/>
      <w:snapToGrid/>
      <w:spacing w:line="240" w:lineRule="auto"/>
      <w:ind w:firstLine="0" w:firstLineChars="0"/>
      <w:jc w:val="both"/>
    </w:pPr>
    <w:rPr>
      <w:sz w:val="24"/>
      <w:szCs w:val="24"/>
    </w:rPr>
  </w:style>
  <w:style w:type="paragraph" w:customStyle="1" w:styleId="708">
    <w:name w:val="样式 仿宋_GB2312 小四 行距: 多倍行距 1.25 字行"/>
    <w:basedOn w:val="1"/>
    <w:qFormat/>
    <w:uiPriority w:val="0"/>
    <w:pPr>
      <w:adjustRightInd/>
      <w:snapToGrid/>
      <w:spacing w:line="300" w:lineRule="auto"/>
      <w:ind w:firstLine="0" w:firstLineChars="0"/>
      <w:jc w:val="both"/>
    </w:pPr>
    <w:rPr>
      <w:rFonts w:ascii="Arial Narrow" w:hAnsi="Arial Narrow" w:eastAsia="仿宋_GB2312" w:cs="宋体"/>
      <w:sz w:val="24"/>
      <w:szCs w:val="24"/>
    </w:rPr>
  </w:style>
  <w:style w:type="paragraph" w:customStyle="1" w:styleId="709">
    <w:name w:val="表字1"/>
    <w:basedOn w:val="1"/>
    <w:qFormat/>
    <w:uiPriority w:val="0"/>
    <w:pPr>
      <w:snapToGrid/>
      <w:spacing w:line="360" w:lineRule="auto"/>
      <w:ind w:firstLine="0" w:firstLineChars="0"/>
      <w:jc w:val="center"/>
      <w:textAlignment w:val="baseline"/>
    </w:pPr>
    <w:rPr>
      <w:rFonts w:ascii="宋体"/>
      <w:kern w:val="0"/>
      <w:sz w:val="21"/>
      <w:szCs w:val="20"/>
    </w:rPr>
  </w:style>
  <w:style w:type="paragraph" w:customStyle="1" w:styleId="710">
    <w:name w:val="我的样式（正文）"/>
    <w:basedOn w:val="1"/>
    <w:qFormat/>
    <w:uiPriority w:val="0"/>
    <w:pPr>
      <w:adjustRightInd/>
      <w:snapToGrid/>
      <w:spacing w:line="440" w:lineRule="exact"/>
      <w:ind w:firstLine="0" w:firstLineChars="0"/>
      <w:jc w:val="both"/>
    </w:pPr>
    <w:rPr>
      <w:rFonts w:ascii="宋体"/>
      <w:sz w:val="28"/>
      <w:szCs w:val="28"/>
    </w:rPr>
  </w:style>
  <w:style w:type="character" w:customStyle="1" w:styleId="711">
    <w:name w:val="可研-正文首行缩进 Char Char"/>
    <w:qFormat/>
    <w:uiPriority w:val="0"/>
    <w:rPr>
      <w:rFonts w:ascii="Arial Narrow" w:hAnsi="Arial Narrow" w:eastAsia="仿宋_GB2312"/>
      <w:kern w:val="2"/>
      <w:sz w:val="24"/>
      <w:szCs w:val="24"/>
      <w:lang w:val="en-US" w:eastAsia="zh-CN" w:bidi="ar-SA"/>
    </w:rPr>
  </w:style>
  <w:style w:type="paragraph" w:customStyle="1" w:styleId="712">
    <w:name w:val="正文小四"/>
    <w:basedOn w:val="1"/>
    <w:link w:val="1170"/>
    <w:qFormat/>
    <w:uiPriority w:val="0"/>
    <w:pPr>
      <w:adjustRightInd/>
      <w:snapToGrid/>
      <w:spacing w:line="360" w:lineRule="auto"/>
      <w:ind w:firstLine="0" w:firstLineChars="0"/>
      <w:jc w:val="both"/>
    </w:pPr>
    <w:rPr>
      <w:sz w:val="24"/>
      <w:szCs w:val="20"/>
    </w:rPr>
  </w:style>
  <w:style w:type="character" w:customStyle="1" w:styleId="713">
    <w:name w:val="content"/>
    <w:qFormat/>
    <w:uiPriority w:val="0"/>
    <w:rPr>
      <w:rFonts w:ascii="Verdana" w:hAnsi="Verdana" w:eastAsia="宋体"/>
      <w:lang w:val="en-US" w:eastAsia="en-US" w:bidi="ar-SA"/>
    </w:rPr>
  </w:style>
  <w:style w:type="character" w:customStyle="1" w:styleId="714">
    <w:name w:val="style31"/>
    <w:qFormat/>
    <w:uiPriority w:val="0"/>
    <w:rPr>
      <w:rFonts w:hint="eastAsia" w:ascii="宋体" w:hAnsi="宋体" w:eastAsia="宋体"/>
      <w:color w:val="333333"/>
      <w:sz w:val="21"/>
      <w:szCs w:val="21"/>
      <w:lang w:val="en-US" w:eastAsia="en-US" w:bidi="ar-SA"/>
    </w:rPr>
  </w:style>
  <w:style w:type="paragraph" w:customStyle="1" w:styleId="715">
    <w:name w:val="项目符号文字"/>
    <w:basedOn w:val="716"/>
    <w:next w:val="716"/>
    <w:qFormat/>
    <w:uiPriority w:val="0"/>
    <w:pPr>
      <w:tabs>
        <w:tab w:val="left" w:pos="927"/>
      </w:tabs>
      <w:ind w:left="284" w:firstLine="0"/>
    </w:pPr>
    <w:rPr>
      <w:rFonts w:ascii="宋体" w:hAnsi="宋体"/>
    </w:rPr>
  </w:style>
  <w:style w:type="paragraph" w:customStyle="1" w:styleId="716">
    <w:name w:val="文字"/>
    <w:basedOn w:val="1"/>
    <w:qFormat/>
    <w:uiPriority w:val="0"/>
    <w:pPr>
      <w:adjustRightInd/>
      <w:snapToGrid/>
      <w:spacing w:line="360" w:lineRule="auto"/>
      <w:ind w:firstLine="482" w:firstLineChars="0"/>
      <w:jc w:val="both"/>
    </w:pPr>
    <w:rPr>
      <w:rFonts w:ascii="Arial" w:hAnsi="Arial"/>
      <w:snapToGrid w:val="0"/>
      <w:kern w:val="28"/>
      <w:sz w:val="24"/>
      <w:szCs w:val="20"/>
    </w:rPr>
  </w:style>
  <w:style w:type="paragraph" w:customStyle="1" w:styleId="717">
    <w:name w:val="正文41"/>
    <w:basedOn w:val="87"/>
    <w:qFormat/>
    <w:uiPriority w:val="0"/>
    <w:pPr>
      <w:tabs>
        <w:tab w:val="left" w:pos="425"/>
      </w:tabs>
      <w:spacing w:line="360" w:lineRule="auto"/>
      <w:ind w:left="425" w:hanging="425"/>
    </w:pPr>
    <w:rPr>
      <w:rFonts w:ascii="Times New Roman" w:hAnsi="Times New Roman" w:eastAsia="宋体"/>
    </w:rPr>
  </w:style>
  <w:style w:type="paragraph" w:customStyle="1" w:styleId="718">
    <w:name w:val="正文5"/>
    <w:basedOn w:val="1"/>
    <w:qFormat/>
    <w:uiPriority w:val="0"/>
    <w:pPr>
      <w:adjustRightInd/>
      <w:snapToGrid/>
      <w:spacing w:line="360" w:lineRule="auto"/>
      <w:ind w:firstLine="70" w:firstLineChars="70"/>
      <w:jc w:val="both"/>
    </w:pPr>
    <w:rPr>
      <w:sz w:val="24"/>
      <w:szCs w:val="24"/>
    </w:rPr>
  </w:style>
  <w:style w:type="paragraph" w:customStyle="1" w:styleId="719">
    <w:name w:val="表格填充1"/>
    <w:basedOn w:val="1"/>
    <w:qFormat/>
    <w:uiPriority w:val="0"/>
    <w:pPr>
      <w:adjustRightInd/>
      <w:spacing w:line="240" w:lineRule="auto"/>
      <w:ind w:firstLine="0" w:firstLineChars="0"/>
      <w:jc w:val="center"/>
    </w:pPr>
    <w:rPr>
      <w:snapToGrid w:val="0"/>
      <w:sz w:val="30"/>
      <w:szCs w:val="20"/>
    </w:rPr>
  </w:style>
  <w:style w:type="paragraph" w:customStyle="1" w:styleId="720">
    <w:name w:val="流程文字"/>
    <w:basedOn w:val="1"/>
    <w:qFormat/>
    <w:uiPriority w:val="0"/>
    <w:pPr>
      <w:tabs>
        <w:tab w:val="left" w:pos="6480"/>
      </w:tabs>
      <w:topLinePunct/>
      <w:spacing w:line="240" w:lineRule="auto"/>
      <w:ind w:firstLine="0" w:firstLineChars="0"/>
      <w:jc w:val="center"/>
    </w:pPr>
    <w:rPr>
      <w:rFonts w:eastAsia="仿宋_GB2312"/>
      <w:sz w:val="21"/>
      <w:szCs w:val="20"/>
    </w:rPr>
  </w:style>
  <w:style w:type="paragraph" w:customStyle="1" w:styleId="721">
    <w:name w:val="表内字五"/>
    <w:basedOn w:val="66"/>
    <w:qFormat/>
    <w:uiPriority w:val="0"/>
    <w:pPr>
      <w:tabs>
        <w:tab w:val="left" w:pos="255"/>
        <w:tab w:val="left" w:pos="540"/>
        <w:tab w:val="left" w:pos="600"/>
        <w:tab w:val="left" w:pos="720"/>
        <w:tab w:val="left" w:pos="1200"/>
        <w:tab w:val="left" w:pos="1440"/>
        <w:tab w:val="left" w:pos="2448"/>
        <w:tab w:val="left" w:pos="3000"/>
        <w:tab w:val="left" w:pos="3888"/>
        <w:tab w:val="left" w:pos="4800"/>
        <w:tab w:val="left" w:pos="5883"/>
        <w:tab w:val="left" w:pos="6300"/>
        <w:tab w:val="left" w:pos="7353"/>
        <w:tab w:val="left" w:pos="8613"/>
      </w:tabs>
      <w:autoSpaceDE w:val="0"/>
      <w:autoSpaceDN w:val="0"/>
      <w:snapToGrid w:val="0"/>
      <w:spacing w:line="300" w:lineRule="auto"/>
    </w:pPr>
    <w:rPr>
      <w:kern w:val="0"/>
    </w:rPr>
  </w:style>
  <w:style w:type="paragraph" w:customStyle="1" w:styleId="722">
    <w:name w:val="样式1 正文"/>
    <w:basedOn w:val="45"/>
    <w:qFormat/>
    <w:uiPriority w:val="0"/>
    <w:pPr>
      <w:spacing w:line="420" w:lineRule="auto"/>
    </w:pPr>
    <w:rPr>
      <w:rFonts w:hAnsi="宋体" w:cs="Courier New"/>
    </w:rPr>
  </w:style>
  <w:style w:type="paragraph" w:customStyle="1" w:styleId="723">
    <w:name w:val="biaoge 表1"/>
    <w:basedOn w:val="1"/>
    <w:qFormat/>
    <w:uiPriority w:val="0"/>
    <w:pPr>
      <w:adjustRightInd/>
      <w:snapToGrid/>
      <w:spacing w:line="240" w:lineRule="auto"/>
      <w:ind w:firstLine="0" w:firstLineChars="0"/>
      <w:jc w:val="center"/>
    </w:pPr>
    <w:rPr>
      <w:sz w:val="21"/>
      <w:szCs w:val="20"/>
    </w:rPr>
  </w:style>
  <w:style w:type="paragraph" w:customStyle="1" w:styleId="724">
    <w:name w:val="样式 样式 正文缩进 + 首行缩进:  2 字符 + 首行缩进:  0.99 厘米"/>
    <w:basedOn w:val="1"/>
    <w:qFormat/>
    <w:uiPriority w:val="0"/>
    <w:pPr>
      <w:tabs>
        <w:tab w:val="left" w:pos="540"/>
        <w:tab w:val="left" w:pos="600"/>
        <w:tab w:val="left" w:pos="7265"/>
        <w:tab w:val="left" w:pos="7340"/>
        <w:tab w:val="left" w:pos="8613"/>
      </w:tabs>
      <w:autoSpaceDE w:val="0"/>
      <w:autoSpaceDN w:val="0"/>
      <w:spacing w:line="300" w:lineRule="auto"/>
      <w:ind w:firstLine="624" w:firstLineChars="0"/>
      <w:jc w:val="both"/>
      <w:textAlignment w:val="baseline"/>
    </w:pPr>
    <w:rPr>
      <w:rFonts w:ascii="宋体" w:hAnsi="宋体"/>
      <w:kern w:val="0"/>
      <w:sz w:val="28"/>
      <w:szCs w:val="20"/>
      <w:u w:color="FFFFFF"/>
    </w:rPr>
  </w:style>
  <w:style w:type="paragraph" w:customStyle="1" w:styleId="725">
    <w:name w:val="表格文字2"/>
    <w:basedOn w:val="1"/>
    <w:qFormat/>
    <w:uiPriority w:val="0"/>
    <w:pPr>
      <w:tabs>
        <w:tab w:val="left" w:pos="277"/>
        <w:tab w:val="left" w:pos="600"/>
        <w:tab w:val="left" w:pos="780"/>
        <w:tab w:val="left" w:pos="2517"/>
      </w:tabs>
      <w:snapToGrid/>
      <w:spacing w:before="60" w:line="240" w:lineRule="auto"/>
      <w:ind w:firstLine="0" w:firstLineChars="0"/>
      <w:jc w:val="center"/>
      <w:textAlignment w:val="baseline"/>
    </w:pPr>
    <w:rPr>
      <w:kern w:val="0"/>
      <w:sz w:val="21"/>
      <w:szCs w:val="20"/>
    </w:rPr>
  </w:style>
  <w:style w:type="paragraph" w:customStyle="1" w:styleId="726">
    <w:name w:val="表前文字"/>
    <w:basedOn w:val="1"/>
    <w:qFormat/>
    <w:uiPriority w:val="0"/>
    <w:pPr>
      <w:adjustRightInd/>
      <w:snapToGrid/>
      <w:spacing w:line="240" w:lineRule="auto"/>
      <w:ind w:firstLine="0" w:firstLineChars="0"/>
      <w:jc w:val="center"/>
    </w:pPr>
    <w:rPr>
      <w:rFonts w:ascii="宋体" w:hAnsi="宋体"/>
      <w:bCs/>
      <w:kern w:val="0"/>
      <w:sz w:val="24"/>
      <w:szCs w:val="24"/>
    </w:rPr>
  </w:style>
  <w:style w:type="paragraph" w:customStyle="1" w:styleId="727">
    <w:name w:val="报告"/>
    <w:basedOn w:val="1"/>
    <w:link w:val="1742"/>
    <w:qFormat/>
    <w:uiPriority w:val="0"/>
    <w:pPr>
      <w:overflowPunct w:val="0"/>
      <w:autoSpaceDE w:val="0"/>
      <w:autoSpaceDN w:val="0"/>
      <w:snapToGrid/>
      <w:spacing w:beforeLines="20" w:afterLines="20" w:line="360" w:lineRule="atLeast"/>
      <w:textAlignment w:val="baseline"/>
    </w:pPr>
    <w:rPr>
      <w:color w:val="000000"/>
      <w:spacing w:val="8"/>
      <w:kern w:val="0"/>
      <w:sz w:val="24"/>
      <w:szCs w:val="28"/>
    </w:rPr>
  </w:style>
  <w:style w:type="character" w:customStyle="1" w:styleId="728">
    <w:name w:val="Char1 Char Char Char Char Char Char Char Char Char Char Char Char Char Char Char Char Char"/>
    <w:qFormat/>
    <w:uiPriority w:val="0"/>
    <w:rPr>
      <w:rFonts w:ascii="Arial Narrow" w:hAnsi="Arial Narrow" w:eastAsia="仿宋_GB2312"/>
      <w:sz w:val="24"/>
      <w:szCs w:val="28"/>
      <w:lang w:val="en-US" w:eastAsia="zh-CN" w:bidi="ar-SA"/>
    </w:rPr>
  </w:style>
  <w:style w:type="character" w:customStyle="1" w:styleId="729">
    <w:name w:val="标题 4 Char Char3"/>
    <w:qFormat/>
    <w:uiPriority w:val="0"/>
    <w:rPr>
      <w:rFonts w:ascii="Arial Narrow" w:hAnsi="Arial Narrow" w:eastAsia="仿宋_GB2312" w:cs="Arial"/>
      <w:snapToGrid w:val="0"/>
      <w:sz w:val="24"/>
      <w:szCs w:val="32"/>
      <w:lang w:val="en-US" w:eastAsia="zh-CN" w:bidi="ar-SA"/>
    </w:rPr>
  </w:style>
  <w:style w:type="paragraph" w:customStyle="1" w:styleId="730">
    <w:name w:val="5"/>
    <w:basedOn w:val="1"/>
    <w:next w:val="31"/>
    <w:qFormat/>
    <w:uiPriority w:val="0"/>
    <w:pPr>
      <w:adjustRightInd/>
      <w:snapToGrid/>
      <w:spacing w:line="300" w:lineRule="auto"/>
      <w:ind w:firstLine="0" w:firstLineChars="0"/>
      <w:jc w:val="center"/>
    </w:pPr>
    <w:rPr>
      <w:sz w:val="18"/>
      <w:szCs w:val="18"/>
    </w:rPr>
  </w:style>
  <w:style w:type="character" w:customStyle="1" w:styleId="731">
    <w:name w:val="可研-正文首行缩进 Char Char Char2"/>
    <w:qFormat/>
    <w:uiPriority w:val="0"/>
    <w:rPr>
      <w:rFonts w:ascii="Arial Narrow" w:hAnsi="宋体" w:eastAsia="宋体"/>
      <w:b/>
      <w:kern w:val="2"/>
      <w:sz w:val="24"/>
      <w:szCs w:val="24"/>
      <w:lang w:val="en-US" w:eastAsia="zh-CN" w:bidi="ar-SA"/>
    </w:rPr>
  </w:style>
  <w:style w:type="paragraph" w:customStyle="1" w:styleId="732">
    <w:name w:val="表格文字居中 Char Char1"/>
    <w:basedOn w:val="86"/>
    <w:qFormat/>
    <w:uiPriority w:val="0"/>
    <w:pPr>
      <w:keepNext/>
      <w:widowControl/>
      <w:tabs>
        <w:tab w:val="left" w:pos="628"/>
        <w:tab w:val="left" w:pos="1727"/>
        <w:tab w:val="left" w:pos="1884"/>
        <w:tab w:val="left" w:pos="4900"/>
      </w:tabs>
      <w:autoSpaceDE w:val="0"/>
      <w:autoSpaceDN w:val="0"/>
      <w:adjustRightInd w:val="0"/>
      <w:snapToGrid w:val="0"/>
      <w:spacing w:before="100" w:beforeAutospacing="1" w:after="0"/>
      <w:ind w:firstLine="0" w:firstLineChars="200"/>
      <w:jc w:val="center"/>
    </w:pPr>
    <w:rPr>
      <w:rFonts w:hint="eastAsia" w:ascii="仿宋_GB2312" w:hAnsi="宋体" w:cs="宋体"/>
      <w:b/>
      <w:bCs/>
      <w:color w:val="FF0000"/>
    </w:rPr>
  </w:style>
  <w:style w:type="character" w:customStyle="1" w:styleId="733">
    <w:name w:val="表格文字居中 Char Char Char"/>
    <w:qFormat/>
    <w:uiPriority w:val="0"/>
    <w:rPr>
      <w:rFonts w:ascii="宋体" w:hAnsi="宋体" w:eastAsia="宋体"/>
      <w:kern w:val="2"/>
      <w:sz w:val="24"/>
      <w:szCs w:val="24"/>
      <w:lang w:val="en-US" w:eastAsia="zh-CN" w:bidi="ar-SA"/>
    </w:rPr>
  </w:style>
  <w:style w:type="character" w:customStyle="1" w:styleId="734">
    <w:name w:val="样式 标题 51)项标题 5 Char1) Char项 Char标5 + 左 Char Char Char"/>
    <w:qFormat/>
    <w:uiPriority w:val="0"/>
    <w:rPr>
      <w:rFonts w:ascii="Arial Narrow" w:hAnsi="Arial" w:eastAsia="宋体"/>
      <w:b/>
      <w:bCs/>
      <w:color w:val="000000"/>
      <w:kern w:val="24"/>
      <w:sz w:val="28"/>
      <w:szCs w:val="28"/>
      <w:lang w:val="en-US" w:eastAsia="zh-CN" w:bidi="ar-SA"/>
    </w:rPr>
  </w:style>
  <w:style w:type="character" w:customStyle="1" w:styleId="735">
    <w:name w:val="样式 表格文字居中 + 宋体 小四 Char Char Char"/>
    <w:qFormat/>
    <w:uiPriority w:val="0"/>
    <w:rPr>
      <w:rFonts w:ascii="宋体" w:hAnsi="宋体" w:eastAsia="宋体"/>
      <w:kern w:val="2"/>
      <w:sz w:val="24"/>
      <w:szCs w:val="24"/>
      <w:lang w:val="en-US" w:eastAsia="zh-CN" w:bidi="ar-SA"/>
    </w:rPr>
  </w:style>
  <w:style w:type="character" w:customStyle="1" w:styleId="736">
    <w:name w:val="可研-正文首行缩进 Char Char Char1"/>
    <w:qFormat/>
    <w:uiPriority w:val="0"/>
    <w:rPr>
      <w:rFonts w:ascii="Arial Narrow" w:hAnsi="Arial Narrow" w:eastAsia="仿宋_GB2312"/>
      <w:kern w:val="2"/>
      <w:sz w:val="24"/>
      <w:szCs w:val="24"/>
      <w:lang w:val="en-US" w:eastAsia="zh-CN" w:bidi="ar-SA"/>
    </w:rPr>
  </w:style>
  <w:style w:type="character" w:customStyle="1" w:styleId="737">
    <w:name w:val="可研-正文首行缩进 Char Char Char Char Char"/>
    <w:qFormat/>
    <w:uiPriority w:val="0"/>
    <w:rPr>
      <w:rFonts w:ascii="Arial Narrow" w:hAnsi="Arial Narrow" w:eastAsia="仿宋_GB2312"/>
      <w:kern w:val="2"/>
      <w:sz w:val="24"/>
      <w:szCs w:val="24"/>
      <w:lang w:val="en-US" w:eastAsia="zh-CN" w:bidi="ar-SA"/>
    </w:rPr>
  </w:style>
  <w:style w:type="character" w:customStyle="1" w:styleId="738">
    <w:name w:val="表格文字居中 Char Char Char Char"/>
    <w:qFormat/>
    <w:uiPriority w:val="0"/>
    <w:rPr>
      <w:rFonts w:ascii="宋体" w:hAnsi="宋体" w:eastAsia="宋体"/>
      <w:kern w:val="2"/>
      <w:sz w:val="24"/>
      <w:szCs w:val="24"/>
      <w:lang w:val="en-US" w:eastAsia="zh-CN" w:bidi="ar-SA"/>
    </w:rPr>
  </w:style>
  <w:style w:type="character" w:customStyle="1" w:styleId="739">
    <w:name w:val="样式 标题 51)项标题 5 Char1) Char项 Char标5 + 左 Char Char Char Char"/>
    <w:qFormat/>
    <w:uiPriority w:val="0"/>
    <w:rPr>
      <w:rFonts w:ascii="Arial Narrow" w:hAnsi="Arial" w:eastAsia="宋体"/>
      <w:b/>
      <w:bCs/>
      <w:kern w:val="24"/>
      <w:sz w:val="28"/>
      <w:szCs w:val="28"/>
      <w:lang w:val="en-US" w:eastAsia="zh-CN" w:bidi="ar-SA"/>
    </w:rPr>
  </w:style>
  <w:style w:type="character" w:customStyle="1" w:styleId="740">
    <w:name w:val="样式 表格文字居中 + 宋体 小四 Char Char Char Char"/>
    <w:qFormat/>
    <w:uiPriority w:val="0"/>
    <w:rPr>
      <w:rFonts w:ascii="宋体" w:hAnsi="宋体" w:eastAsia="宋体"/>
      <w:kern w:val="2"/>
      <w:sz w:val="24"/>
      <w:szCs w:val="24"/>
      <w:lang w:val="en-US" w:eastAsia="zh-CN" w:bidi="ar-SA"/>
    </w:rPr>
  </w:style>
  <w:style w:type="paragraph" w:customStyle="1" w:styleId="741">
    <w:name w:val="样式 标题 4 + 图案: 清除 (白色)1"/>
    <w:basedOn w:val="6"/>
    <w:qFormat/>
    <w:uiPriority w:val="0"/>
    <w:pPr>
      <w:keepNext/>
      <w:keepLines/>
      <w:widowControl w:val="0"/>
      <w:numPr>
        <w:numId w:val="0"/>
      </w:numPr>
      <w:tabs>
        <w:tab w:val="left" w:pos="1680"/>
        <w:tab w:val="clear" w:pos="0"/>
      </w:tabs>
      <w:adjustRightInd/>
      <w:snapToGrid/>
      <w:spacing w:before="280" w:after="290" w:line="376" w:lineRule="auto"/>
      <w:ind w:left="1680" w:hanging="420" w:firstLineChars="200"/>
      <w:jc w:val="both"/>
    </w:pPr>
    <w:rPr>
      <w:rFonts w:ascii="Arial" w:hAnsi="Arial" w:eastAsia="黑体"/>
      <w:b w:val="0"/>
      <w:snapToGrid/>
      <w:sz w:val="28"/>
    </w:rPr>
  </w:style>
  <w:style w:type="paragraph" w:customStyle="1" w:styleId="742">
    <w:name w:val="表文字5"/>
    <w:basedOn w:val="1"/>
    <w:qFormat/>
    <w:uiPriority w:val="0"/>
    <w:pPr>
      <w:snapToGrid/>
      <w:spacing w:line="240" w:lineRule="auto"/>
      <w:ind w:firstLine="0" w:firstLineChars="0"/>
      <w:textAlignment w:val="baseline"/>
    </w:pPr>
    <w:rPr>
      <w:rFonts w:ascii="宋体"/>
      <w:kern w:val="0"/>
      <w:sz w:val="21"/>
      <w:szCs w:val="20"/>
    </w:rPr>
  </w:style>
  <w:style w:type="paragraph" w:customStyle="1" w:styleId="743">
    <w:name w:val="封面标题1"/>
    <w:basedOn w:val="1"/>
    <w:next w:val="1"/>
    <w:qFormat/>
    <w:uiPriority w:val="0"/>
    <w:pPr>
      <w:snapToGrid/>
      <w:spacing w:before="480" w:after="1920" w:line="240" w:lineRule="auto"/>
      <w:ind w:firstLine="0" w:firstLineChars="0"/>
      <w:jc w:val="center"/>
      <w:textAlignment w:val="baseline"/>
    </w:pPr>
    <w:rPr>
      <w:rFonts w:ascii="宋体" w:eastAsia="宋体繁体"/>
      <w:b/>
      <w:spacing w:val="6"/>
      <w:kern w:val="0"/>
      <w:sz w:val="44"/>
      <w:szCs w:val="20"/>
    </w:rPr>
  </w:style>
  <w:style w:type="paragraph" w:customStyle="1" w:styleId="744">
    <w:name w:val="封面标题2"/>
    <w:basedOn w:val="1"/>
    <w:qFormat/>
    <w:uiPriority w:val="0"/>
    <w:pPr>
      <w:snapToGrid/>
      <w:spacing w:line="480" w:lineRule="atLeast"/>
      <w:ind w:firstLine="0" w:firstLineChars="0"/>
      <w:jc w:val="center"/>
      <w:textAlignment w:val="baseline"/>
    </w:pPr>
    <w:rPr>
      <w:rFonts w:ascii="宋体" w:eastAsia="黑体"/>
      <w:kern w:val="0"/>
      <w:sz w:val="52"/>
      <w:szCs w:val="20"/>
    </w:rPr>
  </w:style>
  <w:style w:type="paragraph" w:customStyle="1" w:styleId="745">
    <w:name w:val="xl22"/>
    <w:basedOn w:val="1"/>
    <w:qFormat/>
    <w:uiPriority w:val="0"/>
    <w:pPr>
      <w:widowControl/>
      <w:adjustRightInd/>
      <w:snapToGrid/>
      <w:spacing w:before="100" w:beforeAutospacing="1" w:after="100" w:afterAutospacing="1" w:line="240" w:lineRule="auto"/>
      <w:ind w:firstLine="0" w:firstLineChars="0"/>
      <w:jc w:val="center"/>
    </w:pPr>
    <w:rPr>
      <w:rFonts w:ascii="Arial" w:hAnsi="Arial" w:eastAsia="Arial Unicode MS" w:cs="Arial"/>
      <w:kern w:val="0"/>
      <w:sz w:val="24"/>
      <w:szCs w:val="24"/>
    </w:rPr>
  </w:style>
  <w:style w:type="character" w:customStyle="1" w:styleId="746">
    <w:name w:val="正文 Char1"/>
    <w:qFormat/>
    <w:uiPriority w:val="0"/>
    <w:rPr>
      <w:rFonts w:ascii="Arial Narrow" w:hAnsi="Arial Narrow" w:eastAsia="仿宋_GB2312"/>
      <w:sz w:val="24"/>
      <w:szCs w:val="24"/>
      <w:lang w:val="en-US" w:eastAsia="zh-CN" w:bidi="ar-SA"/>
    </w:rPr>
  </w:style>
  <w:style w:type="paragraph" w:customStyle="1" w:styleId="747">
    <w:name w:val="CM1"/>
    <w:basedOn w:val="201"/>
    <w:next w:val="201"/>
    <w:qFormat/>
    <w:uiPriority w:val="0"/>
    <w:rPr>
      <w:rFonts w:ascii="Times New Roman" w:cs="Times New Roman"/>
      <w:color w:val="auto"/>
    </w:rPr>
  </w:style>
  <w:style w:type="paragraph" w:customStyle="1" w:styleId="748">
    <w:name w:val="CM109"/>
    <w:basedOn w:val="201"/>
    <w:next w:val="201"/>
    <w:qFormat/>
    <w:uiPriority w:val="0"/>
    <w:pPr>
      <w:spacing w:after="378"/>
    </w:pPr>
    <w:rPr>
      <w:rFonts w:ascii="Times New Roman" w:cs="Times New Roman"/>
      <w:color w:val="auto"/>
    </w:rPr>
  </w:style>
  <w:style w:type="paragraph" w:customStyle="1" w:styleId="749">
    <w:name w:val="CM21"/>
    <w:basedOn w:val="201"/>
    <w:next w:val="201"/>
    <w:qFormat/>
    <w:uiPriority w:val="99"/>
    <w:pPr>
      <w:spacing w:line="438" w:lineRule="atLeast"/>
    </w:pPr>
    <w:rPr>
      <w:rFonts w:ascii="Times New Roman" w:cs="Times New Roman"/>
      <w:color w:val="auto"/>
    </w:rPr>
  </w:style>
  <w:style w:type="paragraph" w:customStyle="1" w:styleId="750">
    <w:name w:val="CM22"/>
    <w:basedOn w:val="201"/>
    <w:next w:val="201"/>
    <w:qFormat/>
    <w:uiPriority w:val="0"/>
    <w:pPr>
      <w:spacing w:line="468" w:lineRule="atLeast"/>
    </w:pPr>
    <w:rPr>
      <w:rFonts w:ascii="Times New Roman" w:cs="Times New Roman"/>
      <w:color w:val="auto"/>
    </w:rPr>
  </w:style>
  <w:style w:type="paragraph" w:customStyle="1" w:styleId="751">
    <w:name w:val="CM110"/>
    <w:basedOn w:val="201"/>
    <w:next w:val="201"/>
    <w:qFormat/>
    <w:uiPriority w:val="0"/>
    <w:pPr>
      <w:spacing w:after="73"/>
    </w:pPr>
    <w:rPr>
      <w:rFonts w:ascii="Times New Roman" w:cs="Times New Roman"/>
      <w:color w:val="auto"/>
    </w:rPr>
  </w:style>
  <w:style w:type="paragraph" w:customStyle="1" w:styleId="752">
    <w:name w:val="CM24"/>
    <w:basedOn w:val="201"/>
    <w:next w:val="201"/>
    <w:qFormat/>
    <w:uiPriority w:val="0"/>
    <w:pPr>
      <w:spacing w:line="468" w:lineRule="atLeast"/>
    </w:pPr>
    <w:rPr>
      <w:rFonts w:ascii="Times New Roman" w:cs="Times New Roman"/>
      <w:color w:val="auto"/>
    </w:rPr>
  </w:style>
  <w:style w:type="paragraph" w:customStyle="1" w:styleId="753">
    <w:name w:val="CM25"/>
    <w:basedOn w:val="201"/>
    <w:next w:val="201"/>
    <w:qFormat/>
    <w:uiPriority w:val="0"/>
    <w:pPr>
      <w:spacing w:line="468" w:lineRule="atLeast"/>
    </w:pPr>
    <w:rPr>
      <w:rFonts w:ascii="Times New Roman" w:cs="Times New Roman"/>
      <w:color w:val="auto"/>
    </w:rPr>
  </w:style>
  <w:style w:type="paragraph" w:customStyle="1" w:styleId="754">
    <w:name w:val="CM112"/>
    <w:basedOn w:val="201"/>
    <w:next w:val="201"/>
    <w:qFormat/>
    <w:uiPriority w:val="0"/>
    <w:pPr>
      <w:spacing w:after="303"/>
    </w:pPr>
    <w:rPr>
      <w:rFonts w:ascii="Times New Roman" w:cs="Times New Roman"/>
      <w:color w:val="auto"/>
    </w:rPr>
  </w:style>
  <w:style w:type="paragraph" w:customStyle="1" w:styleId="755">
    <w:name w:val="CM27"/>
    <w:basedOn w:val="201"/>
    <w:next w:val="201"/>
    <w:qFormat/>
    <w:uiPriority w:val="0"/>
    <w:pPr>
      <w:spacing w:line="438" w:lineRule="atLeast"/>
    </w:pPr>
    <w:rPr>
      <w:rFonts w:ascii="Times New Roman" w:cs="Times New Roman"/>
      <w:color w:val="auto"/>
    </w:rPr>
  </w:style>
  <w:style w:type="paragraph" w:customStyle="1" w:styleId="756">
    <w:name w:val="Char Char3 Char Char Char Char1"/>
    <w:basedOn w:val="1"/>
    <w:qFormat/>
    <w:uiPriority w:val="0"/>
    <w:pPr>
      <w:widowControl/>
      <w:adjustRightInd/>
      <w:snapToGrid/>
      <w:spacing w:after="160" w:line="240" w:lineRule="exact"/>
      <w:ind w:firstLine="0" w:firstLineChars="0"/>
    </w:pPr>
    <w:rPr>
      <w:rFonts w:ascii="Verdana" w:hAnsi="Verdana"/>
      <w:kern w:val="0"/>
      <w:sz w:val="20"/>
      <w:szCs w:val="20"/>
      <w:lang w:eastAsia="en-US"/>
    </w:rPr>
  </w:style>
  <w:style w:type="paragraph" w:customStyle="1" w:styleId="757">
    <w:name w:val="样式 报告正文 + 首行缩进:  2 字符 Char Char"/>
    <w:basedOn w:val="1"/>
    <w:link w:val="758"/>
    <w:qFormat/>
    <w:uiPriority w:val="0"/>
    <w:pPr>
      <w:adjustRightInd/>
      <w:snapToGrid/>
      <w:spacing w:line="312" w:lineRule="auto"/>
      <w:ind w:firstLine="600"/>
      <w:jc w:val="both"/>
    </w:pPr>
    <w:rPr>
      <w:rFonts w:eastAsia="楷体_GB2312" w:cs="宋体"/>
      <w:bCs/>
      <w:sz w:val="30"/>
      <w:szCs w:val="24"/>
    </w:rPr>
  </w:style>
  <w:style w:type="character" w:customStyle="1" w:styleId="758">
    <w:name w:val="样式 报告正文 + 首行缩进:  2 字符 Char Char Char"/>
    <w:link w:val="757"/>
    <w:qFormat/>
    <w:uiPriority w:val="0"/>
    <w:rPr>
      <w:rFonts w:ascii="Times New Roman" w:hAnsi="Times New Roman" w:eastAsia="楷体_GB2312" w:cs="宋体"/>
      <w:bCs/>
      <w:kern w:val="2"/>
      <w:sz w:val="30"/>
      <w:szCs w:val="24"/>
    </w:rPr>
  </w:style>
  <w:style w:type="paragraph" w:customStyle="1" w:styleId="759">
    <w:name w:val="投标文件正文"/>
    <w:basedOn w:val="1"/>
    <w:link w:val="760"/>
    <w:qFormat/>
    <w:uiPriority w:val="0"/>
    <w:pPr>
      <w:adjustRightInd/>
      <w:snapToGrid/>
      <w:spacing w:line="400" w:lineRule="exact"/>
      <w:ind w:firstLine="480"/>
      <w:jc w:val="both"/>
    </w:pPr>
    <w:rPr>
      <w:rFonts w:ascii="Arial" w:hAnsi="Arial"/>
      <w:sz w:val="24"/>
      <w:szCs w:val="24"/>
    </w:rPr>
  </w:style>
  <w:style w:type="character" w:customStyle="1" w:styleId="760">
    <w:name w:val="投标文件正文 Char"/>
    <w:link w:val="759"/>
    <w:qFormat/>
    <w:uiPriority w:val="0"/>
    <w:rPr>
      <w:rFonts w:ascii="Arial" w:hAnsi="Arial"/>
      <w:kern w:val="2"/>
      <w:sz w:val="24"/>
      <w:szCs w:val="24"/>
    </w:rPr>
  </w:style>
  <w:style w:type="paragraph" w:customStyle="1" w:styleId="761">
    <w:name w:val="投标文件一级标题"/>
    <w:basedOn w:val="3"/>
    <w:qFormat/>
    <w:uiPriority w:val="0"/>
    <w:pPr>
      <w:keepNext/>
      <w:keepLines/>
      <w:widowControl w:val="0"/>
      <w:numPr>
        <w:numId w:val="12"/>
      </w:numPr>
      <w:tabs>
        <w:tab w:val="left" w:pos="680"/>
        <w:tab w:val="clear" w:pos="0"/>
      </w:tabs>
      <w:adjustRightInd/>
      <w:snapToGrid/>
      <w:spacing w:beforeLines="0" w:afterLines="0" w:line="560" w:lineRule="exact"/>
      <w:ind w:left="0" w:firstLine="0"/>
    </w:pPr>
    <w:rPr>
      <w:bCs w:val="0"/>
      <w:snapToGrid/>
      <w:kern w:val="0"/>
      <w:sz w:val="30"/>
      <w:szCs w:val="30"/>
    </w:rPr>
  </w:style>
  <w:style w:type="paragraph" w:customStyle="1" w:styleId="762">
    <w:name w:val="投标文件二级标题"/>
    <w:basedOn w:val="4"/>
    <w:qFormat/>
    <w:uiPriority w:val="0"/>
    <w:pPr>
      <w:keepNext/>
      <w:keepLines/>
      <w:widowControl w:val="0"/>
      <w:tabs>
        <w:tab w:val="left" w:pos="680"/>
        <w:tab w:val="clear" w:pos="0"/>
      </w:tabs>
      <w:spacing w:beforeLines="0" w:afterLines="0" w:line="415" w:lineRule="auto"/>
      <w:ind w:left="851" w:hanging="851"/>
      <w:jc w:val="both"/>
    </w:pPr>
    <w:rPr>
      <w:rFonts w:ascii="Arial" w:hAnsi="Arial"/>
      <w:snapToGrid/>
      <w:color w:val="000000"/>
      <w:sz w:val="32"/>
    </w:rPr>
  </w:style>
  <w:style w:type="paragraph" w:customStyle="1" w:styleId="763">
    <w:name w:val="投标文件三级标题"/>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764">
    <w:name w:val="投标文件四级标题"/>
    <w:basedOn w:val="6"/>
    <w:qFormat/>
    <w:uiPriority w:val="0"/>
    <w:pPr>
      <w:keepNext/>
      <w:keepLines/>
      <w:widowControl w:val="0"/>
      <w:numPr>
        <w:numId w:val="0"/>
      </w:numPr>
      <w:tabs>
        <w:tab w:val="left" w:pos="680"/>
        <w:tab w:val="left" w:pos="1680"/>
        <w:tab w:val="clear" w:pos="0"/>
      </w:tabs>
      <w:adjustRightInd/>
      <w:snapToGrid/>
      <w:spacing w:before="280" w:after="290" w:line="376" w:lineRule="auto"/>
      <w:ind w:left="1680" w:hanging="420" w:firstLineChars="200"/>
      <w:jc w:val="both"/>
    </w:pPr>
    <w:rPr>
      <w:rFonts w:ascii="Arial" w:hAnsi="Arial" w:eastAsia="黑体"/>
      <w:b w:val="0"/>
      <w:snapToGrid/>
      <w:sz w:val="28"/>
    </w:rPr>
  </w:style>
  <w:style w:type="character" w:customStyle="1" w:styleId="765">
    <w:name w:val="默认段落字体 Para Char Char"/>
    <w:link w:val="274"/>
    <w:qFormat/>
    <w:uiPriority w:val="0"/>
    <w:rPr>
      <w:rFonts w:ascii="宋体" w:hAnsi="宋体" w:cs="宋体"/>
      <w:kern w:val="2"/>
      <w:sz w:val="24"/>
      <w:szCs w:val="24"/>
    </w:rPr>
  </w:style>
  <w:style w:type="paragraph" w:customStyle="1" w:styleId="766">
    <w:name w:val="正文-ls"/>
    <w:basedOn w:val="1"/>
    <w:link w:val="767"/>
    <w:qFormat/>
    <w:uiPriority w:val="0"/>
    <w:pPr>
      <w:adjustRightInd/>
      <w:snapToGrid/>
      <w:spacing w:line="360" w:lineRule="auto"/>
      <w:jc w:val="both"/>
    </w:pPr>
    <w:rPr>
      <w:rFonts w:hAnsi="宋体" w:cs="宋体"/>
      <w:sz w:val="24"/>
      <w:szCs w:val="20"/>
    </w:rPr>
  </w:style>
  <w:style w:type="character" w:customStyle="1" w:styleId="767">
    <w:name w:val="正文-ls Char"/>
    <w:link w:val="766"/>
    <w:qFormat/>
    <w:uiPriority w:val="0"/>
    <w:rPr>
      <w:rFonts w:ascii="Times New Roman" w:hAnsi="宋体" w:cs="宋体"/>
      <w:kern w:val="2"/>
      <w:sz w:val="24"/>
    </w:rPr>
  </w:style>
  <w:style w:type="character" w:customStyle="1" w:styleId="768">
    <w:name w:val="表头 Char2"/>
    <w:qFormat/>
    <w:uiPriority w:val="0"/>
    <w:rPr>
      <w:rFonts w:ascii="宋体" w:hAnsi="宋体" w:eastAsia="宋体" w:cs="Arial"/>
      <w:b/>
      <w:kern w:val="28"/>
      <w:sz w:val="21"/>
      <w:szCs w:val="21"/>
      <w:lang w:val="en-US" w:eastAsia="zh-CN" w:bidi="ar-SA"/>
    </w:rPr>
  </w:style>
  <w:style w:type="character" w:customStyle="1" w:styleId="769">
    <w:name w:val="纯文本1 Char"/>
    <w:qFormat/>
    <w:uiPriority w:val="0"/>
    <w:rPr>
      <w:rFonts w:ascii="宋体" w:hAnsi="Courier New" w:eastAsia="宋体"/>
      <w:lang w:val="zh-CN" w:eastAsia="zh-CN" w:bidi="ar-SA"/>
    </w:rPr>
  </w:style>
  <w:style w:type="character" w:customStyle="1" w:styleId="770">
    <w:name w:val="Char Char16"/>
    <w:qFormat/>
    <w:uiPriority w:val="0"/>
    <w:rPr>
      <w:rFonts w:ascii="Book Antiqua" w:hAnsi="Book Antiqua" w:eastAsia="宋体"/>
      <w:i/>
      <w:sz w:val="22"/>
      <w:lang w:val="en-GB" w:eastAsia="zh-CN" w:bidi="ar-SA"/>
    </w:rPr>
  </w:style>
  <w:style w:type="character" w:customStyle="1" w:styleId="771">
    <w:name w:val="标题 5 Char2"/>
    <w:qFormat/>
    <w:uiPriority w:val="0"/>
    <w:rPr>
      <w:rFonts w:ascii="宋体" w:hAnsi="Times New Roman" w:eastAsia="宋体" w:cs="Times New Roman"/>
      <w:b/>
      <w:spacing w:val="6"/>
      <w:sz w:val="26"/>
      <w:szCs w:val="26"/>
    </w:rPr>
  </w:style>
  <w:style w:type="character" w:customStyle="1" w:styleId="772">
    <w:name w:val="Char Char13"/>
    <w:qFormat/>
    <w:uiPriority w:val="0"/>
    <w:rPr>
      <w:rFonts w:ascii="宋体" w:eastAsia="宋体"/>
      <w:b/>
      <w:spacing w:val="6"/>
      <w:kern w:val="2"/>
      <w:sz w:val="24"/>
      <w:szCs w:val="26"/>
      <w:lang w:val="en-US" w:eastAsia="zh-CN" w:bidi="ar-SA"/>
    </w:rPr>
  </w:style>
  <w:style w:type="paragraph" w:customStyle="1" w:styleId="773">
    <w:name w:val="Char Char Char Char Char Char Char Char Char Char Char Char Char Char Char Char Char Char Char"/>
    <w:basedOn w:val="1"/>
    <w:qFormat/>
    <w:uiPriority w:val="0"/>
    <w:pPr>
      <w:adjustRightInd/>
      <w:snapToGrid/>
      <w:spacing w:line="240" w:lineRule="auto"/>
      <w:ind w:firstLine="0" w:firstLineChars="0"/>
      <w:jc w:val="both"/>
    </w:pPr>
    <w:rPr>
      <w:rFonts w:eastAsia="Times New Roman"/>
      <w:kern w:val="0"/>
      <w:sz w:val="20"/>
      <w:szCs w:val="20"/>
    </w:rPr>
  </w:style>
  <w:style w:type="character" w:customStyle="1" w:styleId="774">
    <w:name w:val="Char Char10"/>
    <w:qFormat/>
    <w:uiPriority w:val="0"/>
    <w:rPr>
      <w:rFonts w:eastAsia="宋体"/>
      <w:sz w:val="18"/>
      <w:szCs w:val="18"/>
      <w:lang w:val="zh-CN" w:eastAsia="zh-CN" w:bidi="ar-SA"/>
    </w:rPr>
  </w:style>
  <w:style w:type="character" w:customStyle="1" w:styleId="775">
    <w:name w:val="Body Text Indent 3 Char"/>
    <w:qFormat/>
    <w:uiPriority w:val="0"/>
    <w:rPr>
      <w:rFonts w:ascii="宋体" w:hAnsi="宋体" w:eastAsia="宋体"/>
      <w:sz w:val="24"/>
      <w:szCs w:val="24"/>
      <w:lang w:val="zh-CN" w:eastAsia="zh-CN" w:bidi="ar-BH"/>
    </w:rPr>
  </w:style>
  <w:style w:type="character" w:customStyle="1" w:styleId="776">
    <w:name w:val="Char Char8"/>
    <w:qFormat/>
    <w:uiPriority w:val="0"/>
    <w:rPr>
      <w:rFonts w:ascii="宋体" w:hAnsi="宋体" w:eastAsia="宋体"/>
      <w:sz w:val="24"/>
      <w:szCs w:val="24"/>
      <w:lang w:val="zh-CN" w:eastAsia="zh-CN" w:bidi="ar-SA"/>
    </w:rPr>
  </w:style>
  <w:style w:type="paragraph" w:customStyle="1" w:styleId="777">
    <w:name w:val="dan7-1"/>
    <w:basedOn w:val="1"/>
    <w:link w:val="778"/>
    <w:qFormat/>
    <w:uiPriority w:val="0"/>
    <w:pPr>
      <w:adjustRightInd/>
      <w:snapToGrid/>
      <w:spacing w:before="40" w:after="40" w:line="360" w:lineRule="auto"/>
      <w:jc w:val="both"/>
    </w:pPr>
    <w:rPr>
      <w:kern w:val="0"/>
      <w:sz w:val="24"/>
      <w:szCs w:val="24"/>
      <w:lang w:val="zh-CN"/>
    </w:rPr>
  </w:style>
  <w:style w:type="character" w:customStyle="1" w:styleId="778">
    <w:name w:val="dan7-1 Char"/>
    <w:link w:val="777"/>
    <w:qFormat/>
    <w:uiPriority w:val="0"/>
    <w:rPr>
      <w:rFonts w:ascii="Times New Roman" w:hAnsi="Times New Roman"/>
      <w:sz w:val="24"/>
      <w:szCs w:val="24"/>
      <w:lang w:val="zh-CN"/>
    </w:rPr>
  </w:style>
  <w:style w:type="paragraph" w:customStyle="1" w:styleId="779">
    <w:name w:val="五级条标题"/>
    <w:basedOn w:val="378"/>
    <w:next w:val="1"/>
    <w:qFormat/>
    <w:uiPriority w:val="0"/>
    <w:pPr>
      <w:tabs>
        <w:tab w:val="left" w:pos="1740"/>
        <w:tab w:val="left" w:pos="2130"/>
        <w:tab w:val="left" w:pos="2160"/>
        <w:tab w:val="left" w:pos="2580"/>
        <w:tab w:val="left" w:pos="2790"/>
        <w:tab w:val="left" w:pos="3000"/>
        <w:tab w:val="left" w:pos="3090"/>
        <w:tab w:val="left" w:pos="3420"/>
        <w:tab w:val="left" w:pos="3510"/>
        <w:tab w:val="clear" w:pos="360"/>
        <w:tab w:val="clear" w:pos="1080"/>
        <w:tab w:val="clear" w:pos="1440"/>
        <w:tab w:val="clear" w:pos="1755"/>
        <w:tab w:val="clear" w:pos="2250"/>
        <w:tab w:val="clear" w:pos="2670"/>
      </w:tabs>
      <w:ind w:left="0" w:firstLine="0"/>
      <w:outlineLvl w:val="6"/>
    </w:pPr>
  </w:style>
  <w:style w:type="paragraph" w:customStyle="1" w:styleId="780">
    <w:name w:val="_Style 10"/>
    <w:basedOn w:val="1"/>
    <w:next w:val="34"/>
    <w:qFormat/>
    <w:uiPriority w:val="0"/>
    <w:pPr>
      <w:adjustRightInd/>
      <w:snapToGrid/>
      <w:spacing w:line="360" w:lineRule="auto"/>
      <w:ind w:firstLine="0" w:firstLineChars="0"/>
      <w:jc w:val="both"/>
    </w:pPr>
    <w:rPr>
      <w:sz w:val="24"/>
      <w:szCs w:val="20"/>
    </w:rPr>
  </w:style>
  <w:style w:type="character" w:customStyle="1" w:styleId="781">
    <w:name w:val="style41"/>
    <w:qFormat/>
    <w:uiPriority w:val="0"/>
    <w:rPr>
      <w:color w:val="000000"/>
      <w:sz w:val="16"/>
      <w:szCs w:val="16"/>
    </w:rPr>
  </w:style>
  <w:style w:type="character" w:customStyle="1" w:styleId="782">
    <w:name w:val="rsdesckey1"/>
    <w:qFormat/>
    <w:uiPriority w:val="0"/>
    <w:rPr>
      <w:color w:val="FF0000"/>
    </w:rPr>
  </w:style>
  <w:style w:type="character" w:customStyle="1" w:styleId="783">
    <w:name w:val="style51"/>
    <w:qFormat/>
    <w:uiPriority w:val="0"/>
    <w:rPr>
      <w:sz w:val="21"/>
      <w:szCs w:val="21"/>
    </w:rPr>
  </w:style>
  <w:style w:type="paragraph" w:customStyle="1" w:styleId="784">
    <w:name w:val="_Style 5"/>
    <w:basedOn w:val="1"/>
    <w:next w:val="51"/>
    <w:qFormat/>
    <w:uiPriority w:val="0"/>
    <w:pPr>
      <w:tabs>
        <w:tab w:val="left" w:pos="360"/>
        <w:tab w:val="left" w:pos="540"/>
      </w:tabs>
      <w:adjustRightInd/>
      <w:snapToGrid/>
      <w:spacing w:line="440" w:lineRule="exact"/>
      <w:ind w:firstLine="480"/>
      <w:jc w:val="both"/>
    </w:pPr>
    <w:rPr>
      <w:kern w:val="10"/>
      <w:sz w:val="24"/>
      <w:szCs w:val="20"/>
    </w:rPr>
  </w:style>
  <w:style w:type="paragraph" w:customStyle="1" w:styleId="785">
    <w:name w:val="MFS正文 Char Char"/>
    <w:basedOn w:val="86"/>
    <w:qFormat/>
    <w:uiPriority w:val="0"/>
    <w:pPr>
      <w:adjustRightInd w:val="0"/>
      <w:snapToGrid w:val="0"/>
      <w:spacing w:before="93" w:line="360" w:lineRule="auto"/>
      <w:ind w:firstLine="487" w:firstLineChars="200"/>
    </w:pPr>
    <w:rPr>
      <w:color w:val="auto"/>
      <w:kern w:val="0"/>
      <w:lang w:val="zh-CN" w:bidi="ar-BH"/>
    </w:rPr>
  </w:style>
  <w:style w:type="paragraph" w:customStyle="1" w:styleId="786">
    <w:name w:val="表样式"/>
    <w:basedOn w:val="1"/>
    <w:qFormat/>
    <w:uiPriority w:val="0"/>
    <w:pPr>
      <w:adjustRightInd/>
      <w:snapToGrid/>
      <w:spacing w:line="240" w:lineRule="auto"/>
      <w:ind w:firstLine="0" w:firstLineChars="0"/>
      <w:jc w:val="center"/>
    </w:pPr>
    <w:rPr>
      <w:rFonts w:ascii="仿宋_GB2312" w:eastAsia="黑体"/>
      <w:sz w:val="21"/>
      <w:szCs w:val="24"/>
    </w:rPr>
  </w:style>
  <w:style w:type="paragraph" w:customStyle="1" w:styleId="787">
    <w:name w:val="简单回函地址"/>
    <w:basedOn w:val="1"/>
    <w:qFormat/>
    <w:uiPriority w:val="0"/>
    <w:pPr>
      <w:snapToGrid/>
      <w:spacing w:line="312" w:lineRule="atLeast"/>
      <w:ind w:firstLine="0" w:firstLineChars="0"/>
      <w:jc w:val="both"/>
      <w:textAlignment w:val="baseline"/>
    </w:pPr>
    <w:rPr>
      <w:kern w:val="0"/>
      <w:sz w:val="21"/>
      <w:szCs w:val="20"/>
    </w:rPr>
  </w:style>
  <w:style w:type="paragraph" w:customStyle="1" w:styleId="788">
    <w:name w:val="?2"/>
    <w:basedOn w:val="1"/>
    <w:next w:val="1"/>
    <w:qFormat/>
    <w:uiPriority w:val="0"/>
    <w:pPr>
      <w:autoSpaceDE w:val="0"/>
      <w:autoSpaceDN w:val="0"/>
      <w:snapToGrid/>
      <w:spacing w:line="240" w:lineRule="auto"/>
      <w:ind w:firstLine="0" w:firstLineChars="0"/>
    </w:pPr>
    <w:rPr>
      <w:rFonts w:ascii="五" w:eastAsia="五"/>
      <w:kern w:val="0"/>
      <w:sz w:val="20"/>
      <w:szCs w:val="24"/>
    </w:rPr>
  </w:style>
  <w:style w:type="paragraph" w:customStyle="1" w:styleId="789">
    <w:name w:val="text13"/>
    <w:basedOn w:val="1"/>
    <w:qFormat/>
    <w:uiPriority w:val="0"/>
    <w:pPr>
      <w:widowControl/>
      <w:adjustRightInd/>
      <w:snapToGrid/>
      <w:spacing w:before="100" w:beforeAutospacing="1" w:after="100" w:afterAutospacing="1" w:line="240" w:lineRule="auto"/>
      <w:ind w:firstLine="0" w:firstLineChars="0"/>
    </w:pPr>
    <w:rPr>
      <w:rFonts w:ascii="宋体" w:hAnsi="宋体"/>
      <w:kern w:val="0"/>
      <w:sz w:val="24"/>
      <w:szCs w:val="24"/>
    </w:rPr>
  </w:style>
  <w:style w:type="paragraph" w:customStyle="1" w:styleId="790">
    <w:name w:val="unnamed11"/>
    <w:basedOn w:val="1"/>
    <w:qFormat/>
    <w:uiPriority w:val="0"/>
    <w:pPr>
      <w:widowControl/>
      <w:adjustRightInd/>
      <w:snapToGrid/>
      <w:spacing w:before="100" w:beforeAutospacing="1" w:after="100" w:afterAutospacing="1" w:line="240" w:lineRule="auto"/>
      <w:ind w:firstLine="0" w:firstLineChars="0"/>
    </w:pPr>
    <w:rPr>
      <w:color w:val="000000"/>
      <w:kern w:val="0"/>
      <w:sz w:val="18"/>
      <w:szCs w:val="18"/>
    </w:rPr>
  </w:style>
  <w:style w:type="paragraph" w:customStyle="1" w:styleId="791">
    <w:name w:val="af0"/>
    <w:basedOn w:val="1"/>
    <w:qFormat/>
    <w:uiPriority w:val="0"/>
    <w:pPr>
      <w:widowControl/>
      <w:adjustRightInd/>
      <w:snapToGrid/>
      <w:spacing w:before="100" w:beforeAutospacing="1" w:after="100" w:afterAutospacing="1" w:line="240" w:lineRule="auto"/>
      <w:ind w:firstLine="0" w:firstLineChars="0"/>
    </w:pPr>
    <w:rPr>
      <w:rFonts w:ascii="宋体" w:hAnsi="宋体"/>
      <w:kern w:val="0"/>
      <w:sz w:val="24"/>
      <w:szCs w:val="24"/>
    </w:rPr>
  </w:style>
  <w:style w:type="paragraph" w:customStyle="1" w:styleId="792">
    <w:name w:val="表文字"/>
    <w:basedOn w:val="1"/>
    <w:link w:val="1025"/>
    <w:qFormat/>
    <w:uiPriority w:val="0"/>
    <w:pPr>
      <w:topLinePunct/>
      <w:snapToGrid/>
      <w:spacing w:line="240" w:lineRule="exact"/>
      <w:ind w:firstLine="0" w:firstLineChars="0"/>
      <w:jc w:val="both"/>
      <w:textAlignment w:val="baseline"/>
    </w:pPr>
    <w:rPr>
      <w:rFonts w:eastAsia="汉鼎简书宋"/>
      <w:sz w:val="21"/>
      <w:szCs w:val="21"/>
    </w:rPr>
  </w:style>
  <w:style w:type="character" w:customStyle="1" w:styleId="793">
    <w:name w:val="cont21"/>
    <w:qFormat/>
    <w:uiPriority w:val="0"/>
    <w:rPr>
      <w:sz w:val="21"/>
      <w:szCs w:val="21"/>
    </w:rPr>
  </w:style>
  <w:style w:type="paragraph" w:customStyle="1" w:styleId="794">
    <w:name w:val="注："/>
    <w:next w:val="6"/>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795">
    <w:name w:val="Char Char Char Char Char2 Char Char Char Char"/>
    <w:basedOn w:val="1"/>
    <w:semiHidden/>
    <w:qFormat/>
    <w:uiPriority w:val="0"/>
    <w:pPr>
      <w:spacing w:line="360" w:lineRule="auto"/>
      <w:jc w:val="both"/>
    </w:pPr>
    <w:rPr>
      <w:rFonts w:ascii="宋体" w:hAnsi="宋体" w:cs="宋体"/>
      <w:sz w:val="24"/>
      <w:szCs w:val="26"/>
    </w:rPr>
  </w:style>
  <w:style w:type="paragraph" w:customStyle="1" w:styleId="796">
    <w:name w:val="样式 表格内容 + (中文) 宋体 居中"/>
    <w:basedOn w:val="1"/>
    <w:qFormat/>
    <w:uiPriority w:val="0"/>
    <w:pPr>
      <w:overflowPunct w:val="0"/>
      <w:spacing w:after="120" w:line="440" w:lineRule="exact"/>
      <w:ind w:firstLine="0" w:firstLineChars="0"/>
      <w:jc w:val="center"/>
      <w:textAlignment w:val="baseline"/>
    </w:pPr>
    <w:rPr>
      <w:rFonts w:ascii="Arial" w:hAnsi="Arial"/>
      <w:kern w:val="0"/>
      <w:sz w:val="21"/>
      <w:szCs w:val="21"/>
    </w:rPr>
  </w:style>
  <w:style w:type="paragraph" w:customStyle="1" w:styleId="797">
    <w:name w:val="666666-标题2"/>
    <w:basedOn w:val="1"/>
    <w:qFormat/>
    <w:uiPriority w:val="0"/>
    <w:pPr>
      <w:adjustRightInd/>
      <w:snapToGrid/>
      <w:spacing w:beforeLines="50" w:afterLines="50" w:line="440" w:lineRule="exact"/>
      <w:ind w:firstLine="0" w:firstLineChars="0"/>
      <w:jc w:val="both"/>
      <w:outlineLvl w:val="1"/>
    </w:pPr>
    <w:rPr>
      <w:rFonts w:eastAsia="黑体"/>
      <w:kern w:val="44"/>
      <w:sz w:val="32"/>
      <w:szCs w:val="20"/>
    </w:rPr>
  </w:style>
  <w:style w:type="paragraph" w:customStyle="1" w:styleId="798">
    <w:name w:val="666666-标题3"/>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799">
    <w:name w:val="666666-正文"/>
    <w:basedOn w:val="1"/>
    <w:qFormat/>
    <w:uiPriority w:val="0"/>
    <w:pPr>
      <w:adjustRightInd/>
      <w:snapToGrid/>
      <w:spacing w:line="440" w:lineRule="exact"/>
      <w:jc w:val="both"/>
    </w:pPr>
    <w:rPr>
      <w:sz w:val="24"/>
      <w:szCs w:val="20"/>
      <w:lang w:val="zh-CN"/>
    </w:rPr>
  </w:style>
  <w:style w:type="paragraph" w:customStyle="1" w:styleId="800">
    <w:name w:val="666666-标题1"/>
    <w:basedOn w:val="1"/>
    <w:qFormat/>
    <w:uiPriority w:val="0"/>
    <w:pPr>
      <w:adjustRightInd/>
      <w:snapToGrid/>
      <w:spacing w:beforeLines="50" w:afterLines="50" w:line="440" w:lineRule="exact"/>
      <w:ind w:firstLine="0" w:firstLineChars="0"/>
      <w:jc w:val="both"/>
      <w:outlineLvl w:val="0"/>
    </w:pPr>
    <w:rPr>
      <w:rFonts w:eastAsia="黑体"/>
      <w:sz w:val="36"/>
      <w:szCs w:val="20"/>
    </w:rPr>
  </w:style>
  <w:style w:type="paragraph" w:customStyle="1" w:styleId="801">
    <w:name w:val="word"/>
    <w:basedOn w:val="1"/>
    <w:qFormat/>
    <w:uiPriority w:val="0"/>
    <w:pPr>
      <w:adjustRightInd/>
      <w:snapToGrid/>
      <w:spacing w:beforeLines="50" w:line="240" w:lineRule="auto"/>
      <w:ind w:firstLine="0" w:firstLineChars="0"/>
      <w:jc w:val="center"/>
    </w:pPr>
    <w:rPr>
      <w:rFonts w:ascii="黑体" w:eastAsia="黑体"/>
      <w:sz w:val="21"/>
      <w:szCs w:val="21"/>
    </w:rPr>
  </w:style>
  <w:style w:type="paragraph" w:customStyle="1" w:styleId="802">
    <w:name w:val="标题 3 + Arial 小四 非加粗 段前: 0 磅 段后: 6 磅 行距: 固定值 22 磅"/>
    <w:basedOn w:val="5"/>
    <w:next w:val="1"/>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803">
    <w:name w:val="样式 四号 黑色 首行缩进:  2 字符"/>
    <w:basedOn w:val="1"/>
    <w:qFormat/>
    <w:uiPriority w:val="0"/>
    <w:pPr>
      <w:adjustRightInd/>
      <w:snapToGrid/>
      <w:spacing w:line="480" w:lineRule="atLeast"/>
      <w:jc w:val="both"/>
    </w:pPr>
    <w:rPr>
      <w:color w:val="000000"/>
      <w:sz w:val="24"/>
      <w:szCs w:val="24"/>
    </w:rPr>
  </w:style>
  <w:style w:type="paragraph" w:customStyle="1" w:styleId="804">
    <w:name w:val="TEXT"/>
    <w:basedOn w:val="1"/>
    <w:qFormat/>
    <w:uiPriority w:val="0"/>
    <w:pPr>
      <w:adjustRightInd/>
      <w:snapToGrid/>
      <w:spacing w:line="360" w:lineRule="auto"/>
      <w:ind w:firstLine="0" w:firstLineChars="0"/>
      <w:jc w:val="both"/>
    </w:pPr>
    <w:rPr>
      <w:b/>
      <w:sz w:val="30"/>
      <w:szCs w:val="30"/>
    </w:rPr>
  </w:style>
  <w:style w:type="paragraph" w:customStyle="1" w:styleId="805">
    <w:name w:val="初设正文"/>
    <w:basedOn w:val="1"/>
    <w:qFormat/>
    <w:uiPriority w:val="0"/>
    <w:pPr>
      <w:adjustRightInd/>
      <w:snapToGrid/>
      <w:spacing w:after="120" w:line="440" w:lineRule="exact"/>
      <w:ind w:left="425" w:firstLine="425" w:firstLineChars="0"/>
      <w:jc w:val="both"/>
    </w:pPr>
    <w:rPr>
      <w:rFonts w:ascii="Arial" w:hAnsi="Arial"/>
      <w:kern w:val="0"/>
      <w:sz w:val="24"/>
      <w:szCs w:val="20"/>
    </w:rPr>
  </w:style>
  <w:style w:type="paragraph" w:customStyle="1" w:styleId="806">
    <w:name w:val="正文x"/>
    <w:basedOn w:val="1"/>
    <w:next w:val="1"/>
    <w:qFormat/>
    <w:uiPriority w:val="0"/>
    <w:pPr>
      <w:adjustRightInd/>
      <w:snapToGrid/>
      <w:spacing w:line="360" w:lineRule="auto"/>
      <w:ind w:firstLine="480"/>
      <w:jc w:val="both"/>
    </w:pPr>
    <w:rPr>
      <w:rFonts w:hAnsi="宋体"/>
      <w:sz w:val="24"/>
      <w:szCs w:val="24"/>
    </w:rPr>
  </w:style>
  <w:style w:type="paragraph" w:customStyle="1" w:styleId="807">
    <w:name w:val="正文样式3"/>
    <w:basedOn w:val="1"/>
    <w:qFormat/>
    <w:uiPriority w:val="0"/>
    <w:pPr>
      <w:keepLines/>
      <w:snapToGrid/>
      <w:spacing w:line="20" w:lineRule="atLeast"/>
      <w:ind w:firstLine="0" w:firstLineChars="0"/>
      <w:jc w:val="center"/>
      <w:textAlignment w:val="baseline"/>
    </w:pPr>
    <w:rPr>
      <w:kern w:val="0"/>
      <w:sz w:val="24"/>
      <w:szCs w:val="20"/>
    </w:rPr>
  </w:style>
  <w:style w:type="paragraph" w:customStyle="1" w:styleId="808">
    <w:name w:val="样式 列表 + 五号"/>
    <w:basedOn w:val="66"/>
    <w:qFormat/>
    <w:uiPriority w:val="0"/>
    <w:pPr>
      <w:keepNext/>
      <w:textAlignment w:val="auto"/>
    </w:pPr>
    <w:rPr>
      <w:szCs w:val="24"/>
    </w:rPr>
  </w:style>
  <w:style w:type="paragraph" w:customStyle="1" w:styleId="809">
    <w:name w:val="Char Char Char Char Char Char1"/>
    <w:basedOn w:val="1"/>
    <w:qFormat/>
    <w:uiPriority w:val="0"/>
    <w:pPr>
      <w:adjustRightInd/>
      <w:snapToGrid/>
      <w:spacing w:line="240" w:lineRule="auto"/>
      <w:ind w:firstLine="0" w:firstLineChars="0"/>
      <w:jc w:val="both"/>
    </w:pPr>
    <w:rPr>
      <w:sz w:val="21"/>
      <w:szCs w:val="24"/>
    </w:rPr>
  </w:style>
  <w:style w:type="paragraph" w:customStyle="1" w:styleId="810">
    <w:name w:val="666666-表头儿"/>
    <w:basedOn w:val="1"/>
    <w:link w:val="811"/>
    <w:qFormat/>
    <w:uiPriority w:val="0"/>
    <w:pPr>
      <w:adjustRightInd/>
      <w:snapToGrid/>
      <w:spacing w:line="440" w:lineRule="exact"/>
      <w:ind w:firstLine="0" w:firstLineChars="0"/>
      <w:jc w:val="center"/>
    </w:pPr>
    <w:rPr>
      <w:rFonts w:eastAsia="黑体"/>
      <w:sz w:val="21"/>
      <w:szCs w:val="20"/>
    </w:rPr>
  </w:style>
  <w:style w:type="character" w:customStyle="1" w:styleId="811">
    <w:name w:val="666666-表头儿 Char"/>
    <w:link w:val="810"/>
    <w:qFormat/>
    <w:uiPriority w:val="0"/>
    <w:rPr>
      <w:rFonts w:ascii="Times New Roman" w:hAnsi="Times New Roman" w:eastAsia="黑体"/>
      <w:kern w:val="2"/>
      <w:sz w:val="21"/>
    </w:rPr>
  </w:style>
  <w:style w:type="paragraph" w:customStyle="1" w:styleId="812">
    <w:name w:val="Char Char Char Char Char Char Char Char Char Char Char Char Char Char Char Char Char Char"/>
    <w:basedOn w:val="1"/>
    <w:qFormat/>
    <w:uiPriority w:val="0"/>
    <w:pPr>
      <w:adjustRightInd/>
      <w:snapToGrid/>
      <w:spacing w:line="240" w:lineRule="auto"/>
      <w:ind w:firstLine="0" w:firstLineChars="0"/>
      <w:jc w:val="both"/>
    </w:pPr>
    <w:rPr>
      <w:sz w:val="21"/>
      <w:szCs w:val="24"/>
    </w:rPr>
  </w:style>
  <w:style w:type="paragraph" w:customStyle="1" w:styleId="813">
    <w:name w:val="样式 标题 1 + 宋体"/>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814">
    <w:name w:val="样式 标题 2 + 宋体"/>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815">
    <w:name w:val="样式 标题 3 + 宋体"/>
    <w:basedOn w:val="5"/>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paragraph" w:customStyle="1" w:styleId="816">
    <w:name w:val="4 Char"/>
    <w:basedOn w:val="1"/>
    <w:qFormat/>
    <w:uiPriority w:val="0"/>
    <w:pPr>
      <w:adjustRightInd/>
      <w:snapToGrid/>
      <w:spacing w:line="240" w:lineRule="auto"/>
      <w:ind w:firstLine="0" w:firstLineChars="0"/>
      <w:jc w:val="both"/>
    </w:pPr>
    <w:rPr>
      <w:sz w:val="21"/>
      <w:szCs w:val="24"/>
    </w:rPr>
  </w:style>
  <w:style w:type="character" w:customStyle="1" w:styleId="817">
    <w:name w:val="style11"/>
    <w:qFormat/>
    <w:uiPriority w:val="0"/>
    <w:rPr>
      <w:color w:val="000000"/>
    </w:rPr>
  </w:style>
  <w:style w:type="character" w:customStyle="1" w:styleId="818">
    <w:name w:val="apple-style-span"/>
    <w:basedOn w:val="132"/>
    <w:qFormat/>
    <w:uiPriority w:val="0"/>
  </w:style>
  <w:style w:type="character" w:customStyle="1" w:styleId="819">
    <w:name w:val="Re Char1"/>
    <w:qFormat/>
    <w:uiPriority w:val="0"/>
    <w:rPr>
      <w:rFonts w:eastAsia="宋体"/>
      <w:b/>
      <w:bCs/>
      <w:kern w:val="2"/>
      <w:sz w:val="32"/>
      <w:szCs w:val="32"/>
      <w:lang w:val="en-US" w:eastAsia="zh-CN" w:bidi="ar-SA"/>
    </w:rPr>
  </w:style>
  <w:style w:type="paragraph" w:customStyle="1" w:styleId="820">
    <w:name w:val="中文报告书样式"/>
    <w:basedOn w:val="1"/>
    <w:qFormat/>
    <w:uiPriority w:val="0"/>
    <w:pPr>
      <w:snapToGrid/>
      <w:spacing w:line="480" w:lineRule="atLeast"/>
      <w:ind w:firstLine="482" w:firstLineChars="0"/>
      <w:jc w:val="both"/>
      <w:textAlignment w:val="baseline"/>
    </w:pPr>
    <w:rPr>
      <w:kern w:val="24"/>
      <w:sz w:val="24"/>
      <w:szCs w:val="20"/>
    </w:rPr>
  </w:style>
  <w:style w:type="character" w:customStyle="1" w:styleId="821">
    <w:name w:val="标题 3-ls Char"/>
    <w:qFormat/>
    <w:uiPriority w:val="0"/>
    <w:rPr>
      <w:rFonts w:eastAsia="黑体"/>
      <w:b/>
      <w:bCs/>
      <w:kern w:val="2"/>
      <w:sz w:val="28"/>
      <w:szCs w:val="32"/>
      <w:lang w:val="en-US" w:eastAsia="zh-CN" w:bidi="ar-SA"/>
    </w:rPr>
  </w:style>
  <w:style w:type="paragraph" w:customStyle="1" w:styleId="822">
    <w:name w:val="标题1-ls"/>
    <w:basedOn w:val="84"/>
    <w:qFormat/>
    <w:uiPriority w:val="0"/>
    <w:pPr>
      <w:spacing w:before="240" w:afterLines="100"/>
      <w:outlineLvl w:val="0"/>
    </w:pPr>
    <w:rPr>
      <w:rFonts w:eastAsia="黑体" w:cs="Arial"/>
      <w:bCs w:val="0"/>
      <w:snapToGrid/>
      <w:kern w:val="2"/>
      <w:sz w:val="36"/>
      <w:szCs w:val="32"/>
    </w:rPr>
  </w:style>
  <w:style w:type="paragraph" w:customStyle="1" w:styleId="823">
    <w:name w:val="表左"/>
    <w:basedOn w:val="1"/>
    <w:semiHidden/>
    <w:qFormat/>
    <w:uiPriority w:val="0"/>
    <w:pPr>
      <w:adjustRightInd/>
      <w:snapToGrid/>
      <w:spacing w:line="280" w:lineRule="exact"/>
      <w:ind w:firstLine="0" w:firstLineChars="0"/>
    </w:pPr>
    <w:rPr>
      <w:rFonts w:ascii="宋体"/>
      <w:color w:val="000000"/>
      <w:sz w:val="18"/>
      <w:szCs w:val="24"/>
    </w:rPr>
  </w:style>
  <w:style w:type="paragraph" w:customStyle="1" w:styleId="824">
    <w:name w:val="正文仿宋"/>
    <w:basedOn w:val="1"/>
    <w:qFormat/>
    <w:uiPriority w:val="0"/>
    <w:pPr>
      <w:spacing w:line="360" w:lineRule="auto"/>
      <w:ind w:firstLine="567" w:firstLineChars="0"/>
      <w:jc w:val="both"/>
    </w:pPr>
    <w:rPr>
      <w:rFonts w:eastAsia="仿宋_GB2312"/>
      <w:snapToGrid w:val="0"/>
      <w:kern w:val="0"/>
      <w:sz w:val="24"/>
      <w:szCs w:val="20"/>
    </w:rPr>
  </w:style>
  <w:style w:type="character" w:customStyle="1" w:styleId="825">
    <w:name w:val="标题 4宋旭峰 Char Char"/>
    <w:qFormat/>
    <w:uiPriority w:val="0"/>
    <w:rPr>
      <w:rFonts w:eastAsia="黑体"/>
      <w:b/>
      <w:bCs/>
      <w:kern w:val="2"/>
      <w:sz w:val="24"/>
      <w:szCs w:val="28"/>
      <w:lang w:val="en-US" w:eastAsia="zh-CN" w:bidi="ar-SA"/>
    </w:rPr>
  </w:style>
  <w:style w:type="paragraph" w:customStyle="1" w:styleId="826">
    <w:name w:val="依据文字"/>
    <w:basedOn w:val="87"/>
    <w:semiHidden/>
    <w:qFormat/>
    <w:uiPriority w:val="0"/>
    <w:pPr>
      <w:tabs>
        <w:tab w:val="left" w:pos="420"/>
        <w:tab w:val="left" w:pos="870"/>
        <w:tab w:val="left" w:pos="3150"/>
      </w:tabs>
      <w:autoSpaceDE w:val="0"/>
      <w:autoSpaceDN w:val="0"/>
      <w:spacing w:before="60" w:line="336" w:lineRule="auto"/>
      <w:ind w:firstLine="527"/>
      <w:textAlignment w:val="baseline"/>
    </w:pPr>
    <w:rPr>
      <w:rFonts w:ascii="宋体" w:hAnsi="Times New Roman" w:eastAsia="宋体"/>
      <w:szCs w:val="20"/>
    </w:rPr>
  </w:style>
  <w:style w:type="paragraph" w:customStyle="1" w:styleId="827">
    <w:name w:val="右侧"/>
    <w:qFormat/>
    <w:uiPriority w:val="0"/>
    <w:pPr>
      <w:spacing w:line="280" w:lineRule="exact"/>
      <w:jc w:val="right"/>
    </w:pPr>
    <w:rPr>
      <w:rFonts w:ascii="Batang" w:hAnsi="Batang" w:eastAsia="宋体" w:cs="Times New Roman"/>
      <w:color w:val="000000"/>
      <w:sz w:val="18"/>
      <w:lang w:val="en-US" w:eastAsia="zh-CN" w:bidi="ar-SA"/>
    </w:rPr>
  </w:style>
  <w:style w:type="paragraph" w:customStyle="1" w:styleId="828">
    <w:name w:val="左侧"/>
    <w:semiHidden/>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829">
    <w:name w:val="右五"/>
    <w:basedOn w:val="830"/>
    <w:next w:val="1"/>
    <w:semiHidden/>
    <w:qFormat/>
    <w:uiPriority w:val="0"/>
    <w:pPr>
      <w:jc w:val="right"/>
    </w:pPr>
  </w:style>
  <w:style w:type="paragraph" w:customStyle="1" w:styleId="830">
    <w:name w:val="左五"/>
    <w:basedOn w:val="1"/>
    <w:semiHidden/>
    <w:qFormat/>
    <w:uiPriority w:val="0"/>
    <w:pPr>
      <w:spacing w:line="280" w:lineRule="exact"/>
      <w:ind w:firstLine="0" w:firstLineChars="0"/>
    </w:pPr>
    <w:rPr>
      <w:rFonts w:ascii="宋体" w:hAnsi="Symusic"/>
      <w:color w:val="000000"/>
      <w:sz w:val="18"/>
      <w:szCs w:val="24"/>
    </w:rPr>
  </w:style>
  <w:style w:type="character" w:customStyle="1" w:styleId="831">
    <w:name w:val="样式5 Char"/>
    <w:link w:val="409"/>
    <w:qFormat/>
    <w:uiPriority w:val="0"/>
    <w:rPr>
      <w:rFonts w:ascii="Times New Roman" w:hAnsi="Times New Roman"/>
      <w:bCs/>
      <w:kern w:val="2"/>
      <w:sz w:val="26"/>
      <w:szCs w:val="26"/>
    </w:rPr>
  </w:style>
  <w:style w:type="paragraph" w:customStyle="1" w:styleId="832">
    <w:name w:val="样式 图表 + 首行缩进:  2 字符1"/>
    <w:basedOn w:val="1"/>
    <w:qFormat/>
    <w:uiPriority w:val="0"/>
    <w:pPr>
      <w:spacing w:beforeLines="20" w:afterLines="20" w:line="240" w:lineRule="auto"/>
      <w:ind w:left="-102" w:leftChars="-50" w:right="-105" w:rightChars="-50" w:hanging="3" w:firstLineChars="0"/>
      <w:jc w:val="center"/>
    </w:pPr>
    <w:rPr>
      <w:rFonts w:eastAsia="仿宋_GB2312"/>
      <w:color w:val="000000"/>
      <w:sz w:val="21"/>
      <w:szCs w:val="24"/>
    </w:rPr>
  </w:style>
  <w:style w:type="paragraph" w:customStyle="1" w:styleId="833">
    <w:name w:val="1正文段落"/>
    <w:basedOn w:val="1"/>
    <w:link w:val="940"/>
    <w:qFormat/>
    <w:uiPriority w:val="0"/>
    <w:pPr>
      <w:spacing w:line="360" w:lineRule="auto"/>
    </w:pPr>
    <w:rPr>
      <w:snapToGrid w:val="0"/>
      <w:kern w:val="0"/>
      <w:sz w:val="24"/>
      <w:szCs w:val="24"/>
    </w:rPr>
  </w:style>
  <w:style w:type="paragraph" w:customStyle="1" w:styleId="834">
    <w:name w:val="正文仿宋小四"/>
    <w:basedOn w:val="1"/>
    <w:semiHidden/>
    <w:qFormat/>
    <w:uiPriority w:val="0"/>
    <w:pPr>
      <w:spacing w:line="360" w:lineRule="auto"/>
      <w:ind w:firstLine="480"/>
      <w:jc w:val="both"/>
    </w:pPr>
    <w:rPr>
      <w:rFonts w:eastAsia="仿宋_GB2312"/>
      <w:sz w:val="24"/>
      <w:szCs w:val="24"/>
    </w:rPr>
  </w:style>
  <w:style w:type="character" w:customStyle="1" w:styleId="835">
    <w:name w:val="样式 仿宋_GB2312 小四2"/>
    <w:qFormat/>
    <w:uiPriority w:val="0"/>
    <w:rPr>
      <w:rFonts w:ascii="Times New Roman" w:hAnsi="Times New Roman" w:eastAsia="仿宋_GB2312" w:cs="Courier New"/>
      <w:kern w:val="2"/>
      <w:sz w:val="24"/>
      <w:szCs w:val="24"/>
      <w:lang w:val="en-US" w:eastAsia="zh-CN" w:bidi="ar-SA"/>
    </w:rPr>
  </w:style>
  <w:style w:type="paragraph" w:customStyle="1" w:styleId="836">
    <w:name w:val="正文单倍行距"/>
    <w:basedOn w:val="1"/>
    <w:qFormat/>
    <w:uiPriority w:val="0"/>
    <w:pPr>
      <w:tabs>
        <w:tab w:val="left" w:pos="8640"/>
      </w:tabs>
      <w:adjustRightInd/>
      <w:spacing w:line="240" w:lineRule="auto"/>
      <w:jc w:val="both"/>
    </w:pPr>
    <w:rPr>
      <w:rFonts w:eastAsia="仿宋_GB2312"/>
      <w:sz w:val="24"/>
      <w:szCs w:val="24"/>
    </w:rPr>
  </w:style>
  <w:style w:type="character" w:customStyle="1" w:styleId="837">
    <w:name w:val="样式 仿宋_GB2312 小四 黑色"/>
    <w:qFormat/>
    <w:uiPriority w:val="0"/>
    <w:rPr>
      <w:rFonts w:ascii="Times New Roman" w:hAnsi="Times New Roman" w:eastAsia="仿宋_GB2312" w:cs="Courier New"/>
      <w:color w:val="000000"/>
      <w:kern w:val="2"/>
      <w:sz w:val="24"/>
      <w:szCs w:val="24"/>
      <w:lang w:val="en-US" w:eastAsia="zh-CN" w:bidi="ar-SA"/>
    </w:rPr>
  </w:style>
  <w:style w:type="paragraph" w:customStyle="1" w:styleId="838">
    <w:name w:val="样式 仿宋_GB2312 小四1"/>
    <w:basedOn w:val="1"/>
    <w:semiHidden/>
    <w:qFormat/>
    <w:uiPriority w:val="0"/>
    <w:pPr>
      <w:snapToGrid/>
      <w:spacing w:line="360" w:lineRule="auto"/>
      <w:ind w:firstLine="480"/>
      <w:jc w:val="both"/>
      <w:textAlignment w:val="baseline"/>
    </w:pPr>
    <w:rPr>
      <w:rFonts w:eastAsia="仿宋_GB2312"/>
      <w:kern w:val="0"/>
      <w:sz w:val="24"/>
      <w:szCs w:val="24"/>
    </w:rPr>
  </w:style>
  <w:style w:type="paragraph" w:customStyle="1" w:styleId="839">
    <w:name w:val="湛江码头表"/>
    <w:basedOn w:val="1"/>
    <w:qFormat/>
    <w:uiPriority w:val="0"/>
    <w:pPr>
      <w:adjustRightInd/>
      <w:snapToGrid/>
      <w:spacing w:line="240" w:lineRule="auto"/>
      <w:ind w:firstLine="0" w:firstLineChars="0"/>
      <w:jc w:val="center"/>
    </w:pPr>
    <w:rPr>
      <w:rFonts w:eastAsia="仿宋_GB2312"/>
      <w:kern w:val="0"/>
      <w:sz w:val="21"/>
      <w:szCs w:val="24"/>
      <w:lang w:eastAsia="zh-TW"/>
    </w:rPr>
  </w:style>
  <w:style w:type="character" w:customStyle="1" w:styleId="840">
    <w:name w:val="样式 (西文) 宋体 (中文) 仿宋_GB2312 黑色"/>
    <w:semiHidden/>
    <w:qFormat/>
    <w:uiPriority w:val="0"/>
    <w:rPr>
      <w:rFonts w:ascii="Times New Roman" w:hAnsi="Times New Roman" w:eastAsia="仿宋_GB2312" w:cs="Courier New"/>
      <w:color w:val="000000"/>
      <w:kern w:val="2"/>
      <w:sz w:val="32"/>
      <w:szCs w:val="32"/>
      <w:lang w:val="en-US" w:eastAsia="zh-CN" w:bidi="ar-SA"/>
    </w:rPr>
  </w:style>
  <w:style w:type="paragraph" w:customStyle="1" w:styleId="841">
    <w:name w:val="样式 正文缩进正文（首行缩进两字）正文（首行缩进两字） Char Char Char Char Char Char Char..."/>
    <w:basedOn w:val="21"/>
    <w:qFormat/>
    <w:uiPriority w:val="0"/>
    <w:pPr>
      <w:tabs>
        <w:tab w:val="left" w:pos="3360"/>
      </w:tabs>
      <w:adjustRightInd w:val="0"/>
      <w:snapToGrid w:val="0"/>
      <w:spacing w:line="360" w:lineRule="auto"/>
      <w:ind w:firstLine="480" w:firstLineChars="200"/>
      <w:jc w:val="both"/>
      <w:textAlignment w:val="baseline"/>
    </w:pPr>
    <w:rPr>
      <w:rFonts w:ascii="楷体_GB2312" w:eastAsia="楷体_GB2312"/>
      <w:b w:val="0"/>
      <w:snapToGrid w:val="0"/>
      <w:color w:val="auto"/>
    </w:rPr>
  </w:style>
  <w:style w:type="paragraph" w:customStyle="1" w:styleId="842">
    <w:name w:val="样式2 Char"/>
    <w:basedOn w:val="21"/>
    <w:qFormat/>
    <w:uiPriority w:val="0"/>
    <w:pPr>
      <w:widowControl/>
      <w:adjustRightInd w:val="0"/>
      <w:snapToGrid w:val="0"/>
      <w:spacing w:line="360" w:lineRule="auto"/>
      <w:ind w:firstLine="567"/>
      <w:jc w:val="both"/>
      <w:textAlignment w:val="baseline"/>
    </w:pPr>
    <w:rPr>
      <w:b w:val="0"/>
      <w:snapToGrid w:val="0"/>
      <w:color w:val="auto"/>
    </w:rPr>
  </w:style>
  <w:style w:type="paragraph" w:customStyle="1" w:styleId="843">
    <w:name w:val="正文图小四"/>
    <w:basedOn w:val="1"/>
    <w:qFormat/>
    <w:uiPriority w:val="0"/>
    <w:pPr>
      <w:spacing w:line="240" w:lineRule="auto"/>
      <w:ind w:firstLine="0" w:firstLineChars="0"/>
      <w:jc w:val="center"/>
      <w:textAlignment w:val="baseline"/>
    </w:pPr>
    <w:rPr>
      <w:rFonts w:ascii="宋体"/>
      <w:kern w:val="0"/>
      <w:sz w:val="24"/>
      <w:szCs w:val="24"/>
    </w:rPr>
  </w:style>
  <w:style w:type="paragraph" w:customStyle="1" w:styleId="844">
    <w:name w:val="样式 标题 2 + 段后: 0.5 行"/>
    <w:basedOn w:val="4"/>
    <w:semiHidden/>
    <w:qFormat/>
    <w:uiPriority w:val="0"/>
    <w:pPr>
      <w:widowControl w:val="0"/>
      <w:tabs>
        <w:tab w:val="left" w:pos="630"/>
        <w:tab w:val="left" w:pos="840"/>
        <w:tab w:val="left" w:pos="1287"/>
        <w:tab w:val="left" w:pos="3920"/>
        <w:tab w:val="left" w:pos="5670"/>
        <w:tab w:val="clear" w:pos="0"/>
      </w:tabs>
      <w:spacing w:beforeLines="0" w:after="50" w:line="240" w:lineRule="auto"/>
      <w:ind w:firstLine="567"/>
      <w:contextualSpacing/>
      <w:jc w:val="both"/>
    </w:pPr>
    <w:rPr>
      <w:rFonts w:eastAsia="仿宋_GB2312"/>
      <w:b w:val="0"/>
      <w:bCs w:val="0"/>
      <w:snapToGrid/>
      <w:color w:val="000000"/>
    </w:rPr>
  </w:style>
  <w:style w:type="paragraph" w:customStyle="1" w:styleId="845">
    <w:name w:val="样式19"/>
    <w:basedOn w:val="4"/>
    <w:qFormat/>
    <w:uiPriority w:val="0"/>
    <w:pPr>
      <w:widowControl w:val="0"/>
      <w:tabs>
        <w:tab w:val="left" w:pos="630"/>
        <w:tab w:val="left" w:pos="840"/>
        <w:tab w:val="left" w:pos="1287"/>
        <w:tab w:val="left" w:pos="3920"/>
        <w:tab w:val="left" w:pos="5670"/>
        <w:tab w:val="clear" w:pos="0"/>
      </w:tabs>
      <w:spacing w:beforeLines="0" w:afterLines="0" w:line="520" w:lineRule="exact"/>
      <w:ind w:firstLine="567"/>
      <w:contextualSpacing/>
      <w:jc w:val="both"/>
    </w:pPr>
    <w:rPr>
      <w:rFonts w:eastAsia="华文行楷"/>
      <w:b w:val="0"/>
      <w:snapToGrid/>
      <w:color w:val="000000"/>
      <w:kern w:val="0"/>
      <w:szCs w:val="30"/>
    </w:rPr>
  </w:style>
  <w:style w:type="paragraph" w:customStyle="1" w:styleId="846">
    <w:name w:val="正文999"/>
    <w:basedOn w:val="1"/>
    <w:semiHidden/>
    <w:qFormat/>
    <w:uiPriority w:val="0"/>
    <w:pPr>
      <w:adjustRightInd/>
      <w:snapToGrid/>
      <w:spacing w:line="360" w:lineRule="auto"/>
      <w:ind w:firstLine="480"/>
      <w:jc w:val="both"/>
    </w:pPr>
    <w:rPr>
      <w:rFonts w:ascii="宋体" w:hAnsi="宋体"/>
      <w:sz w:val="24"/>
      <w:szCs w:val="24"/>
    </w:rPr>
  </w:style>
  <w:style w:type="character" w:customStyle="1" w:styleId="847">
    <w:name w:val="样式 样式 首行缩进:  0.85 厘米 + 段前: 0.5 行 Char1"/>
    <w:link w:val="848"/>
    <w:qFormat/>
    <w:uiPriority w:val="0"/>
    <w:rPr>
      <w:sz w:val="24"/>
      <w:szCs w:val="24"/>
    </w:rPr>
  </w:style>
  <w:style w:type="paragraph" w:customStyle="1" w:styleId="848">
    <w:name w:val="样式 样式 首行缩进:  0.85 厘米 + 段前: 0.5 行"/>
    <w:basedOn w:val="1"/>
    <w:link w:val="847"/>
    <w:qFormat/>
    <w:uiPriority w:val="0"/>
    <w:pPr>
      <w:adjustRightInd/>
      <w:snapToGrid/>
      <w:spacing w:before="50" w:line="360" w:lineRule="auto"/>
      <w:ind w:firstLine="482" w:firstLineChars="0"/>
      <w:jc w:val="both"/>
    </w:pPr>
    <w:rPr>
      <w:rFonts w:ascii="Calibri" w:hAnsi="Calibri"/>
      <w:kern w:val="0"/>
      <w:sz w:val="24"/>
      <w:szCs w:val="24"/>
    </w:rPr>
  </w:style>
  <w:style w:type="paragraph" w:customStyle="1" w:styleId="849">
    <w:name w:val="Char Char Char Char2"/>
    <w:basedOn w:val="1"/>
    <w:qFormat/>
    <w:uiPriority w:val="0"/>
    <w:pPr>
      <w:adjustRightInd/>
      <w:snapToGrid/>
      <w:spacing w:line="240" w:lineRule="auto"/>
      <w:ind w:firstLine="0" w:firstLineChars="0"/>
      <w:jc w:val="both"/>
    </w:pPr>
    <w:rPr>
      <w:sz w:val="21"/>
      <w:szCs w:val="21"/>
    </w:rPr>
  </w:style>
  <w:style w:type="paragraph" w:customStyle="1" w:styleId="850">
    <w:name w:val="默认段落字体 Para"/>
    <w:basedOn w:val="1"/>
    <w:qFormat/>
    <w:uiPriority w:val="0"/>
    <w:pPr>
      <w:adjustRightInd/>
      <w:snapToGrid/>
      <w:spacing w:line="240" w:lineRule="auto"/>
      <w:ind w:firstLine="0" w:firstLineChars="0"/>
      <w:jc w:val="both"/>
    </w:pPr>
    <w:rPr>
      <w:sz w:val="21"/>
      <w:szCs w:val="24"/>
    </w:rPr>
  </w:style>
  <w:style w:type="paragraph" w:customStyle="1" w:styleId="851">
    <w:name w:val="Char Char Char Char Char Char Char Char Char Char"/>
    <w:basedOn w:val="1"/>
    <w:next w:val="1"/>
    <w:qFormat/>
    <w:uiPriority w:val="0"/>
    <w:pPr>
      <w:adjustRightInd/>
      <w:snapToGrid/>
      <w:spacing w:line="360" w:lineRule="auto"/>
      <w:jc w:val="both"/>
    </w:pPr>
    <w:rPr>
      <w:rFonts w:ascii="宋体" w:hAnsi="宋体" w:cs="宋体"/>
      <w:sz w:val="24"/>
      <w:szCs w:val="24"/>
    </w:rPr>
  </w:style>
  <w:style w:type="character" w:customStyle="1" w:styleId="852">
    <w:name w:val="正文文本缩进 2 Char Char Char"/>
    <w:qFormat/>
    <w:uiPriority w:val="0"/>
    <w:rPr>
      <w:rFonts w:ascii="Arial" w:hAnsi="Arial" w:eastAsia="宋体"/>
      <w:kern w:val="2"/>
      <w:sz w:val="24"/>
      <w:szCs w:val="24"/>
      <w:lang w:val="en-US" w:eastAsia="zh-CN" w:bidi="ar-SA"/>
    </w:rPr>
  </w:style>
  <w:style w:type="paragraph" w:customStyle="1" w:styleId="853">
    <w:name w:val="样式 居中 首行缩进:  0 字符 Char Char Char"/>
    <w:basedOn w:val="1"/>
    <w:next w:val="1"/>
    <w:link w:val="854"/>
    <w:qFormat/>
    <w:uiPriority w:val="0"/>
    <w:pPr>
      <w:tabs>
        <w:tab w:val="left" w:pos="9128"/>
      </w:tabs>
      <w:adjustRightInd/>
      <w:spacing w:line="240" w:lineRule="auto"/>
      <w:ind w:firstLine="0" w:firstLineChars="0"/>
      <w:jc w:val="center"/>
    </w:pPr>
    <w:rPr>
      <w:rFonts w:ascii="宋体" w:hAnsi="宋体"/>
      <w:color w:val="FF0000"/>
      <w:sz w:val="18"/>
      <w:szCs w:val="18"/>
    </w:rPr>
  </w:style>
  <w:style w:type="character" w:customStyle="1" w:styleId="854">
    <w:name w:val="样式 居中 首行缩进:  0 字符 Char Char Char Char"/>
    <w:link w:val="853"/>
    <w:qFormat/>
    <w:uiPriority w:val="0"/>
    <w:rPr>
      <w:rFonts w:ascii="宋体" w:hAnsi="宋体"/>
      <w:color w:val="FF0000"/>
      <w:kern w:val="2"/>
      <w:sz w:val="18"/>
      <w:szCs w:val="18"/>
    </w:rPr>
  </w:style>
  <w:style w:type="paragraph" w:customStyle="1" w:styleId="855">
    <w:name w:val="样式 居中 首行缩进:  0 字符"/>
    <w:basedOn w:val="1"/>
    <w:next w:val="1"/>
    <w:link w:val="856"/>
    <w:qFormat/>
    <w:uiPriority w:val="0"/>
    <w:pPr>
      <w:tabs>
        <w:tab w:val="left" w:pos="9128"/>
      </w:tabs>
      <w:adjustRightInd/>
      <w:snapToGrid/>
      <w:spacing w:line="500" w:lineRule="exact"/>
      <w:ind w:firstLine="0" w:firstLineChars="0"/>
      <w:jc w:val="center"/>
    </w:pPr>
    <w:rPr>
      <w:rFonts w:eastAsia="仿宋_GB2312"/>
      <w:sz w:val="21"/>
      <w:szCs w:val="20"/>
    </w:rPr>
  </w:style>
  <w:style w:type="character" w:customStyle="1" w:styleId="856">
    <w:name w:val="样式 居中 首行缩进:  0 字符 Char"/>
    <w:link w:val="855"/>
    <w:qFormat/>
    <w:locked/>
    <w:uiPriority w:val="0"/>
    <w:rPr>
      <w:rFonts w:ascii="Times New Roman" w:hAnsi="Times New Roman" w:eastAsia="仿宋_GB2312"/>
      <w:kern w:val="2"/>
      <w:sz w:val="21"/>
    </w:rPr>
  </w:style>
  <w:style w:type="table" w:customStyle="1" w:styleId="857">
    <w:name w:val="自定义1"/>
    <w:basedOn w:val="124"/>
    <w:qFormat/>
    <w:uiPriority w:val="0"/>
    <w:pPr>
      <w:jc w:val="center"/>
    </w:pPr>
    <w:rPr>
      <w:sz w:val="21"/>
      <w:szCs w:val="21"/>
    </w:rPr>
    <w:tblPr>
      <w:tblBorders>
        <w:top w:val="thinThickSmallGap" w:color="auto" w:sz="12" w:space="0"/>
        <w:left w:val="thinThickSmallGap" w:color="auto" w:sz="12" w:space="0"/>
        <w:bottom w:val="thickThinSmallGap" w:color="auto" w:sz="12" w:space="0"/>
        <w:right w:val="thickThinSmallGap" w:color="auto" w:sz="12" w:space="0"/>
      </w:tblBorders>
      <w:tblCellMar>
        <w:left w:w="0" w:type="dxa"/>
        <w:right w:w="0" w:type="dxa"/>
      </w:tblCellMar>
    </w:tblPr>
    <w:tcPr>
      <w:shd w:val="clear" w:color="auto" w:fill="auto"/>
      <w:vAlign w:val="center"/>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paragraph" w:customStyle="1" w:styleId="858">
    <w:name w:val="样式 标题 1 + 加粗"/>
    <w:basedOn w:val="3"/>
    <w:qFormat/>
    <w:uiPriority w:val="0"/>
    <w:pPr>
      <w:keepNext/>
      <w:keepLines/>
      <w:widowControl w:val="0"/>
      <w:numPr>
        <w:numId w:val="0"/>
      </w:numPr>
      <w:tabs>
        <w:tab w:val="clear" w:pos="0"/>
      </w:tabs>
      <w:adjustRightInd/>
      <w:snapToGrid/>
      <w:spacing w:beforeLines="0" w:beforeAutospacing="1" w:afterLines="0" w:afterAutospacing="1" w:line="360" w:lineRule="auto"/>
      <w:jc w:val="both"/>
    </w:pPr>
    <w:rPr>
      <w:snapToGrid/>
      <w:sz w:val="32"/>
      <w:vertAlign w:val="superscript"/>
    </w:rPr>
  </w:style>
  <w:style w:type="character" w:customStyle="1" w:styleId="859">
    <w:name w:val="font14px"/>
    <w:qFormat/>
    <w:uiPriority w:val="0"/>
    <w:rPr>
      <w:rFonts w:eastAsia="宋体"/>
      <w:kern w:val="2"/>
      <w:sz w:val="21"/>
      <w:szCs w:val="24"/>
      <w:lang w:val="en-US" w:eastAsia="zh-CN" w:bidi="ar-SA"/>
    </w:rPr>
  </w:style>
  <w:style w:type="character" w:customStyle="1" w:styleId="860">
    <w:name w:val="s"/>
    <w:qFormat/>
    <w:uiPriority w:val="0"/>
    <w:rPr>
      <w:rFonts w:eastAsia="宋体"/>
      <w:kern w:val="2"/>
      <w:sz w:val="21"/>
      <w:szCs w:val="24"/>
      <w:lang w:val="en-US" w:eastAsia="zh-CN" w:bidi="ar-SA"/>
    </w:rPr>
  </w:style>
  <w:style w:type="paragraph" w:customStyle="1" w:styleId="861">
    <w:name w:val="样式 居中 首行缩进:  0 字符 Char Char"/>
    <w:basedOn w:val="1"/>
    <w:next w:val="1"/>
    <w:qFormat/>
    <w:uiPriority w:val="0"/>
    <w:pPr>
      <w:tabs>
        <w:tab w:val="left" w:pos="9128"/>
      </w:tabs>
      <w:adjustRightInd/>
      <w:spacing w:line="240" w:lineRule="auto"/>
      <w:ind w:firstLine="0" w:firstLineChars="0"/>
      <w:jc w:val="center"/>
    </w:pPr>
    <w:rPr>
      <w:rFonts w:ascii="宋体" w:hAnsi="宋体"/>
      <w:color w:val="FF0000"/>
      <w:sz w:val="18"/>
      <w:szCs w:val="18"/>
    </w:rPr>
  </w:style>
  <w:style w:type="table" w:customStyle="1" w:styleId="862">
    <w:name w:val="自定义"/>
    <w:basedOn w:val="93"/>
    <w:qFormat/>
    <w:uiPriority w:val="0"/>
    <w:pPr>
      <w:jc w:val="center"/>
    </w:pPr>
    <w:rPr>
      <w:sz w:val="21"/>
    </w:rPr>
    <w:tblPr>
      <w:tblBorders>
        <w:top w:val="thinThickSmallGap" w:color="auto" w:sz="12" w:space="0"/>
        <w:left w:val="thinThickSmallGap" w:color="auto" w:sz="12" w:space="0"/>
        <w:bottom w:val="thickThinSmallGap" w:color="auto" w:sz="12" w:space="0"/>
        <w:right w:val="thickThinSmallGap" w:color="auto" w:sz="12" w:space="0"/>
      </w:tblBorders>
      <w:tblCellMar>
        <w:left w:w="0" w:type="dxa"/>
        <w:right w:w="0" w:type="dxa"/>
      </w:tblCellMar>
    </w:tblPr>
    <w:tcPr>
      <w:shd w:val="clear" w:color="auto" w:fill="auto"/>
      <w:vAlign w:val="center"/>
    </w:tcPr>
    <w:tblStylePr w:type="firstRow">
      <w:rPr>
        <w:caps/>
        <w:color w:val="auto"/>
      </w:rPr>
      <w:tcPr>
        <w:tcBorders>
          <w:tl2br w:val="nil"/>
          <w:tr2bl w:val="nil"/>
        </w:tcBorders>
      </w:tcPr>
    </w:tblStylePr>
  </w:style>
  <w:style w:type="character" w:customStyle="1" w:styleId="863">
    <w:name w:val="个人答复风格"/>
    <w:qFormat/>
    <w:uiPriority w:val="0"/>
    <w:rPr>
      <w:rFonts w:ascii="Arial" w:hAnsi="Arial" w:eastAsia="宋体" w:cs="Arial"/>
      <w:color w:val="auto"/>
      <w:kern w:val="2"/>
      <w:sz w:val="20"/>
      <w:szCs w:val="24"/>
      <w:lang w:val="en-US" w:eastAsia="zh-CN" w:bidi="ar-SA"/>
    </w:rPr>
  </w:style>
  <w:style w:type="character" w:customStyle="1" w:styleId="864">
    <w:name w:val="个人撰写风格"/>
    <w:qFormat/>
    <w:uiPriority w:val="0"/>
    <w:rPr>
      <w:rFonts w:ascii="Arial" w:hAnsi="Arial" w:eastAsia="宋体" w:cs="Arial"/>
      <w:color w:val="auto"/>
      <w:kern w:val="2"/>
      <w:sz w:val="20"/>
      <w:szCs w:val="24"/>
      <w:lang w:val="en-US" w:eastAsia="zh-CN" w:bidi="ar-SA"/>
    </w:rPr>
  </w:style>
  <w:style w:type="paragraph" w:customStyle="1" w:styleId="865">
    <w:name w:val="居中正文"/>
    <w:basedOn w:val="21"/>
    <w:next w:val="21"/>
    <w:qFormat/>
    <w:uiPriority w:val="0"/>
    <w:pPr>
      <w:spacing w:line="540" w:lineRule="exact"/>
      <w:ind w:right="-13" w:rightChars="-6" w:firstLine="200" w:firstLineChars="200"/>
    </w:pPr>
    <w:rPr>
      <w:rFonts w:eastAsia="仿宋_GB2312"/>
      <w:b w:val="0"/>
      <w:color w:val="auto"/>
      <w:kern w:val="2"/>
      <w:sz w:val="28"/>
      <w:szCs w:val="20"/>
    </w:rPr>
  </w:style>
  <w:style w:type="table" w:customStyle="1" w:styleId="866">
    <w:name w:val="普通表格1"/>
    <w:semiHidden/>
    <w:qFormat/>
    <w:uiPriority w:val="0"/>
    <w:rPr>
      <w:rFonts w:eastAsia="Times New Roman"/>
    </w:rPr>
    <w:tblPr>
      <w:tblCellMar>
        <w:top w:w="0" w:type="dxa"/>
        <w:left w:w="108" w:type="dxa"/>
        <w:bottom w:w="0" w:type="dxa"/>
        <w:right w:w="108" w:type="dxa"/>
      </w:tblCellMar>
    </w:tblPr>
  </w:style>
  <w:style w:type="paragraph" w:customStyle="1" w:styleId="867">
    <w:name w:val="正文（首行式样2）"/>
    <w:basedOn w:val="21"/>
    <w:link w:val="868"/>
    <w:qFormat/>
    <w:uiPriority w:val="0"/>
    <w:pPr>
      <w:snapToGrid w:val="0"/>
      <w:spacing w:line="360" w:lineRule="auto"/>
      <w:ind w:right="-13" w:rightChars="-6" w:firstLine="526" w:firstLineChars="219"/>
      <w:jc w:val="both"/>
    </w:pPr>
    <w:rPr>
      <w:rFonts w:ascii="宋体" w:hAnsi="宋体"/>
      <w:b w:val="0"/>
      <w:kern w:val="2"/>
    </w:rPr>
  </w:style>
  <w:style w:type="character" w:customStyle="1" w:styleId="868">
    <w:name w:val="正文（首行式样2） Char"/>
    <w:link w:val="867"/>
    <w:qFormat/>
    <w:uiPriority w:val="0"/>
    <w:rPr>
      <w:rFonts w:ascii="宋体" w:hAnsi="宋体"/>
      <w:color w:val="000000"/>
      <w:kern w:val="2"/>
      <w:sz w:val="24"/>
      <w:szCs w:val="24"/>
    </w:rPr>
  </w:style>
  <w:style w:type="paragraph" w:customStyle="1" w:styleId="869">
    <w:name w:val="正文(首行缩进两字2)"/>
    <w:basedOn w:val="21"/>
    <w:qFormat/>
    <w:uiPriority w:val="0"/>
    <w:pPr>
      <w:ind w:right="-13" w:rightChars="-6" w:firstLine="560" w:firstLineChars="200"/>
      <w:jc w:val="both"/>
    </w:pPr>
    <w:rPr>
      <w:rFonts w:eastAsia="仿宋_GB2312"/>
      <w:b w:val="0"/>
      <w:color w:val="auto"/>
      <w:kern w:val="2"/>
      <w:sz w:val="28"/>
      <w:szCs w:val="20"/>
    </w:rPr>
  </w:style>
  <w:style w:type="paragraph" w:customStyle="1" w:styleId="870">
    <w:name w:val="正文表格"/>
    <w:basedOn w:val="1"/>
    <w:qFormat/>
    <w:uiPriority w:val="0"/>
    <w:pPr>
      <w:keepNext/>
      <w:keepLines/>
      <w:adjustRightInd/>
      <w:snapToGrid/>
      <w:spacing w:before="80" w:line="240" w:lineRule="auto"/>
      <w:ind w:firstLine="0" w:firstLineChars="0"/>
      <w:jc w:val="center"/>
      <w:textAlignment w:val="bottom"/>
    </w:pPr>
    <w:rPr>
      <w:sz w:val="21"/>
      <w:szCs w:val="24"/>
    </w:rPr>
  </w:style>
  <w:style w:type="paragraph" w:customStyle="1" w:styleId="871">
    <w:name w:val="样式 四号2"/>
    <w:basedOn w:val="1"/>
    <w:qFormat/>
    <w:uiPriority w:val="0"/>
    <w:pPr>
      <w:adjustRightInd/>
      <w:snapToGrid/>
      <w:spacing w:line="440" w:lineRule="exact"/>
      <w:jc w:val="both"/>
    </w:pPr>
    <w:rPr>
      <w:kern w:val="0"/>
      <w:sz w:val="28"/>
      <w:szCs w:val="24"/>
    </w:rPr>
  </w:style>
  <w:style w:type="paragraph" w:customStyle="1" w:styleId="872">
    <w:name w:val="Char Char Char Char Char Char Char Char Char Char Char Char"/>
    <w:basedOn w:val="1"/>
    <w:next w:val="1"/>
    <w:qFormat/>
    <w:uiPriority w:val="0"/>
    <w:pPr>
      <w:adjustRightInd/>
      <w:snapToGrid/>
      <w:spacing w:line="360" w:lineRule="auto"/>
      <w:jc w:val="both"/>
    </w:pPr>
    <w:rPr>
      <w:rFonts w:ascii="宋体" w:hAnsi="宋体" w:cs="宋体"/>
      <w:sz w:val="24"/>
      <w:szCs w:val="24"/>
    </w:rPr>
  </w:style>
  <w:style w:type="paragraph" w:customStyle="1" w:styleId="873">
    <w:name w:val="样式 标题 2 + 段前: 1 行 段后: 0.5 行"/>
    <w:basedOn w:val="4"/>
    <w:qFormat/>
    <w:uiPriority w:val="0"/>
    <w:pPr>
      <w:keepNext/>
      <w:keepLines/>
      <w:widowControl w:val="0"/>
      <w:tabs>
        <w:tab w:val="clear" w:pos="0"/>
      </w:tabs>
      <w:spacing w:beforeLines="100" w:after="50" w:line="500" w:lineRule="exact"/>
      <w:jc w:val="both"/>
    </w:pPr>
    <w:rPr>
      <w:rFonts w:ascii="Arial" w:hAnsi="Arial" w:cs="宋体"/>
      <w:b w:val="0"/>
      <w:bCs w:val="0"/>
      <w:snapToGrid/>
      <w:szCs w:val="20"/>
    </w:rPr>
  </w:style>
  <w:style w:type="paragraph" w:customStyle="1" w:styleId="874">
    <w:name w:val="Char Char Char Char Char Char Char Char Char Char Char Char1 Char"/>
    <w:basedOn w:val="1"/>
    <w:next w:val="1"/>
    <w:qFormat/>
    <w:uiPriority w:val="0"/>
    <w:pPr>
      <w:adjustRightInd/>
      <w:snapToGrid/>
      <w:spacing w:line="360" w:lineRule="auto"/>
      <w:jc w:val="both"/>
    </w:pPr>
    <w:rPr>
      <w:rFonts w:ascii="宋体" w:hAnsi="宋体" w:cs="宋体"/>
      <w:sz w:val="24"/>
      <w:szCs w:val="24"/>
    </w:rPr>
  </w:style>
  <w:style w:type="paragraph" w:customStyle="1" w:styleId="875">
    <w:name w:val="样式 正文首行缩进 2 + (符号) 宋体 + (符号) 宋体"/>
    <w:basedOn w:val="1"/>
    <w:link w:val="877"/>
    <w:qFormat/>
    <w:uiPriority w:val="0"/>
    <w:pPr>
      <w:adjustRightInd/>
      <w:snapToGrid/>
      <w:spacing w:line="360" w:lineRule="auto"/>
      <w:jc w:val="both"/>
    </w:pPr>
    <w:rPr>
      <w:rFonts w:ascii="宋体"/>
      <w:sz w:val="24"/>
      <w:szCs w:val="24"/>
    </w:rPr>
  </w:style>
  <w:style w:type="paragraph" w:customStyle="1" w:styleId="876">
    <w:name w:val="Char Char Char Char Char Char Char Char Char1 Char Char Char Char"/>
    <w:basedOn w:val="1"/>
    <w:semiHidden/>
    <w:qFormat/>
    <w:uiPriority w:val="0"/>
    <w:pPr>
      <w:adjustRightInd/>
      <w:snapToGrid/>
      <w:spacing w:line="360" w:lineRule="auto"/>
      <w:jc w:val="both"/>
    </w:pPr>
    <w:rPr>
      <w:rFonts w:ascii="宋体" w:hAnsi="宋体" w:cs="宋体"/>
      <w:sz w:val="24"/>
      <w:szCs w:val="26"/>
    </w:rPr>
  </w:style>
  <w:style w:type="character" w:customStyle="1" w:styleId="877">
    <w:name w:val="样式 正文首行缩进 2 + (符号) 宋体 + (符号) 宋体 Char Char"/>
    <w:link w:val="875"/>
    <w:qFormat/>
    <w:uiPriority w:val="0"/>
    <w:rPr>
      <w:rFonts w:ascii="宋体" w:hAnsi="Times New Roman"/>
      <w:kern w:val="2"/>
      <w:sz w:val="24"/>
      <w:szCs w:val="24"/>
    </w:rPr>
  </w:style>
  <w:style w:type="paragraph" w:customStyle="1" w:styleId="878">
    <w:name w:val="样式 5 + 首行缩进:  2 字符"/>
    <w:basedOn w:val="1"/>
    <w:link w:val="879"/>
    <w:qFormat/>
    <w:uiPriority w:val="0"/>
    <w:pPr>
      <w:adjustRightInd/>
      <w:snapToGrid/>
      <w:spacing w:line="240" w:lineRule="auto"/>
      <w:ind w:firstLine="592"/>
      <w:jc w:val="both"/>
    </w:pPr>
    <w:rPr>
      <w:rFonts w:ascii="楷体_GB2312" w:hAnsi="宋体" w:eastAsia="楷体_GB2312" w:cs="宋体"/>
      <w:color w:val="000000"/>
      <w:spacing w:val="-2"/>
      <w:sz w:val="30"/>
      <w:szCs w:val="30"/>
    </w:rPr>
  </w:style>
  <w:style w:type="character" w:customStyle="1" w:styleId="879">
    <w:name w:val="样式 5 + 首行缩进:  2 字符 Char"/>
    <w:link w:val="878"/>
    <w:qFormat/>
    <w:uiPriority w:val="0"/>
    <w:rPr>
      <w:rFonts w:ascii="楷体_GB2312" w:hAnsi="宋体" w:eastAsia="楷体_GB2312" w:cs="宋体"/>
      <w:color w:val="000000"/>
      <w:spacing w:val="-2"/>
      <w:kern w:val="2"/>
      <w:sz w:val="30"/>
      <w:szCs w:val="30"/>
    </w:rPr>
  </w:style>
  <w:style w:type="paragraph" w:customStyle="1" w:styleId="880">
    <w:name w:val="Char Char Char Char Char Char1 Char"/>
    <w:basedOn w:val="1"/>
    <w:qFormat/>
    <w:uiPriority w:val="0"/>
    <w:pPr>
      <w:adjustRightInd/>
      <w:snapToGrid/>
      <w:spacing w:line="240" w:lineRule="auto"/>
      <w:ind w:firstLine="0" w:firstLineChars="0"/>
      <w:jc w:val="both"/>
    </w:pPr>
    <w:rPr>
      <w:sz w:val="21"/>
      <w:szCs w:val="24"/>
    </w:rPr>
  </w:style>
  <w:style w:type="paragraph" w:customStyle="1" w:styleId="881">
    <w:name w:val="样式 标题 2 + 黑色"/>
    <w:basedOn w:val="4"/>
    <w:next w:val="87"/>
    <w:qFormat/>
    <w:uiPriority w:val="0"/>
    <w:pPr>
      <w:keepNext/>
      <w:keepLines/>
      <w:widowControl w:val="0"/>
      <w:tabs>
        <w:tab w:val="clear" w:pos="0"/>
      </w:tabs>
      <w:spacing w:beforeLines="0" w:beforeAutospacing="1" w:afterLines="0" w:line="360" w:lineRule="auto"/>
      <w:jc w:val="both"/>
    </w:pPr>
    <w:rPr>
      <w:rFonts w:ascii="黑体" w:hAnsi="Arial"/>
      <w:snapToGrid/>
      <w:color w:val="000000"/>
      <w:kern w:val="18"/>
      <w:szCs w:val="30"/>
    </w:rPr>
  </w:style>
  <w:style w:type="paragraph" w:customStyle="1" w:styleId="882">
    <w:name w:val="Char Char Char Char Char Char Char Char Char Char Char Char Char Char Char Char"/>
    <w:basedOn w:val="1"/>
    <w:qFormat/>
    <w:uiPriority w:val="0"/>
    <w:pPr>
      <w:adjustRightInd/>
      <w:snapToGrid/>
      <w:spacing w:line="240" w:lineRule="auto"/>
      <w:ind w:firstLine="0" w:firstLineChars="0"/>
      <w:jc w:val="both"/>
    </w:pPr>
    <w:rPr>
      <w:sz w:val="21"/>
      <w:szCs w:val="24"/>
    </w:rPr>
  </w:style>
  <w:style w:type="paragraph" w:customStyle="1" w:styleId="883">
    <w:name w:val="公式样式1"/>
    <w:basedOn w:val="1"/>
    <w:qFormat/>
    <w:uiPriority w:val="0"/>
    <w:pPr>
      <w:adjustRightInd/>
      <w:snapToGrid/>
      <w:spacing w:line="240" w:lineRule="auto"/>
      <w:ind w:firstLine="0" w:firstLineChars="0"/>
      <w:jc w:val="center"/>
    </w:pPr>
    <w:rPr>
      <w:rFonts w:ascii="宋体" w:hAnsi="宋体"/>
      <w:color w:val="FF0000"/>
      <w:sz w:val="21"/>
      <w:szCs w:val="24"/>
    </w:rPr>
  </w:style>
  <w:style w:type="paragraph" w:customStyle="1" w:styleId="884">
    <w:name w:val="设计文本"/>
    <w:basedOn w:val="1"/>
    <w:qFormat/>
    <w:uiPriority w:val="0"/>
    <w:pPr>
      <w:adjustRightInd/>
      <w:snapToGrid/>
      <w:spacing w:line="240" w:lineRule="auto"/>
      <w:ind w:firstLine="0" w:firstLineChars="0"/>
      <w:jc w:val="center"/>
    </w:pPr>
    <w:rPr>
      <w:sz w:val="24"/>
      <w:szCs w:val="20"/>
    </w:rPr>
  </w:style>
  <w:style w:type="paragraph" w:customStyle="1" w:styleId="885">
    <w:name w:val="a01"/>
    <w:basedOn w:val="1"/>
    <w:qFormat/>
    <w:uiPriority w:val="0"/>
    <w:pPr>
      <w:widowControl/>
      <w:adjustRightInd/>
      <w:snapToGrid/>
      <w:spacing w:before="100" w:beforeAutospacing="1" w:after="100" w:afterAutospacing="1" w:line="345" w:lineRule="atLeast"/>
      <w:ind w:firstLine="0" w:firstLineChars="0"/>
    </w:pPr>
    <w:rPr>
      <w:rFonts w:ascii="宋体" w:hAnsi="宋体" w:cs="宋体"/>
      <w:color w:val="000000"/>
      <w:kern w:val="0"/>
      <w:sz w:val="23"/>
      <w:szCs w:val="23"/>
    </w:rPr>
  </w:style>
  <w:style w:type="paragraph" w:customStyle="1" w:styleId="886">
    <w:name w:val="小四表文左齐"/>
    <w:basedOn w:val="1"/>
    <w:qFormat/>
    <w:uiPriority w:val="0"/>
    <w:pPr>
      <w:adjustRightInd/>
      <w:snapToGrid/>
      <w:spacing w:line="240" w:lineRule="auto"/>
      <w:ind w:firstLine="0" w:firstLineChars="0"/>
      <w:jc w:val="center"/>
    </w:pPr>
    <w:rPr>
      <w:rFonts w:ascii="宋体" w:hAnsi="宋体"/>
      <w:sz w:val="21"/>
      <w:szCs w:val="24"/>
    </w:rPr>
  </w:style>
  <w:style w:type="paragraph" w:customStyle="1" w:styleId="887">
    <w:name w:val="0"/>
    <w:basedOn w:val="1"/>
    <w:qFormat/>
    <w:uiPriority w:val="0"/>
    <w:pPr>
      <w:widowControl/>
      <w:adjustRightInd/>
      <w:spacing w:line="240" w:lineRule="auto"/>
      <w:ind w:firstLine="0" w:firstLineChars="0"/>
      <w:jc w:val="both"/>
    </w:pPr>
    <w:rPr>
      <w:kern w:val="0"/>
      <w:sz w:val="21"/>
      <w:szCs w:val="21"/>
    </w:rPr>
  </w:style>
  <w:style w:type="paragraph" w:customStyle="1" w:styleId="888">
    <w:name w:val="Char Char Char1 Char Char Char Char Char Char Char Char Char Char Char Char Char Char Char Char Char Char Char"/>
    <w:basedOn w:val="1"/>
    <w:qFormat/>
    <w:uiPriority w:val="0"/>
    <w:pPr>
      <w:adjustRightInd/>
      <w:snapToGrid/>
      <w:spacing w:line="240" w:lineRule="auto"/>
      <w:ind w:firstLine="0" w:firstLineChars="0"/>
      <w:jc w:val="both"/>
    </w:pPr>
    <w:rPr>
      <w:sz w:val="21"/>
      <w:szCs w:val="24"/>
    </w:rPr>
  </w:style>
  <w:style w:type="paragraph" w:customStyle="1" w:styleId="889">
    <w:name w:val="插图"/>
    <w:next w:val="1"/>
    <w:qFormat/>
    <w:uiPriority w:val="0"/>
    <w:pPr>
      <w:snapToGrid w:val="0"/>
      <w:spacing w:line="240" w:lineRule="exact"/>
      <w:jc w:val="center"/>
    </w:pPr>
    <w:rPr>
      <w:rFonts w:ascii="宋体" w:hAnsi="Times New Roman" w:eastAsia="宋体" w:cs="Times New Roman"/>
      <w:kern w:val="2"/>
      <w:sz w:val="21"/>
      <w:szCs w:val="21"/>
      <w:lang w:val="en-US" w:eastAsia="zh-CN" w:bidi="ar-SA"/>
    </w:rPr>
  </w:style>
  <w:style w:type="paragraph" w:customStyle="1" w:styleId="890">
    <w:name w:val="报告正文 Char"/>
    <w:basedOn w:val="1"/>
    <w:link w:val="891"/>
    <w:qFormat/>
    <w:uiPriority w:val="0"/>
    <w:pPr>
      <w:spacing w:line="360" w:lineRule="auto"/>
      <w:jc w:val="both"/>
    </w:pPr>
    <w:rPr>
      <w:sz w:val="28"/>
      <w:szCs w:val="28"/>
    </w:rPr>
  </w:style>
  <w:style w:type="character" w:customStyle="1" w:styleId="891">
    <w:name w:val="报告正文 Char Char"/>
    <w:link w:val="890"/>
    <w:qFormat/>
    <w:uiPriority w:val="0"/>
    <w:rPr>
      <w:rFonts w:ascii="Times New Roman" w:hAnsi="Times New Roman"/>
      <w:kern w:val="2"/>
      <w:sz w:val="28"/>
      <w:szCs w:val="28"/>
    </w:rPr>
  </w:style>
  <w:style w:type="paragraph" w:customStyle="1" w:styleId="892">
    <w:name w:val="密级编号"/>
    <w:basedOn w:val="1"/>
    <w:qFormat/>
    <w:uiPriority w:val="0"/>
    <w:pPr>
      <w:snapToGrid/>
      <w:spacing w:line="240" w:lineRule="auto"/>
      <w:ind w:firstLine="0" w:firstLineChars="0"/>
      <w:jc w:val="center"/>
      <w:textAlignment w:val="baseline"/>
    </w:pPr>
    <w:rPr>
      <w:rFonts w:ascii="仿宋_GB2312" w:eastAsia="仿宋_GB2312"/>
      <w:kern w:val="0"/>
      <w:sz w:val="24"/>
      <w:szCs w:val="20"/>
    </w:rPr>
  </w:style>
  <w:style w:type="paragraph" w:customStyle="1" w:styleId="893">
    <w:name w:val="样式 行距: 1.5 倍行距"/>
    <w:basedOn w:val="1"/>
    <w:qFormat/>
    <w:uiPriority w:val="0"/>
    <w:pPr>
      <w:tabs>
        <w:tab w:val="left" w:pos="630"/>
      </w:tabs>
      <w:adjustRightInd/>
      <w:snapToGrid/>
      <w:spacing w:line="360" w:lineRule="auto"/>
      <w:ind w:firstLine="0" w:firstLineChars="0"/>
      <w:jc w:val="both"/>
    </w:pPr>
    <w:rPr>
      <w:rFonts w:ascii="宋体" w:hAnsi="宋体"/>
      <w:color w:val="000000"/>
      <w:sz w:val="24"/>
      <w:szCs w:val="20"/>
    </w:rPr>
  </w:style>
  <w:style w:type="paragraph" w:customStyle="1" w:styleId="894">
    <w:name w:val="样式 表头 + 首行缩进:  2 字符"/>
    <w:basedOn w:val="1"/>
    <w:qFormat/>
    <w:uiPriority w:val="0"/>
    <w:pPr>
      <w:keepNext/>
      <w:tabs>
        <w:tab w:val="left" w:pos="3319"/>
        <w:tab w:val="left" w:pos="3600"/>
      </w:tabs>
      <w:adjustRightInd/>
      <w:snapToGrid/>
      <w:spacing w:line="240" w:lineRule="auto"/>
      <w:ind w:firstLine="0" w:firstLineChars="0"/>
      <w:jc w:val="center"/>
    </w:pPr>
    <w:rPr>
      <w:rFonts w:eastAsia="仿宋_GB2312"/>
      <w:b/>
      <w:bCs/>
      <w:color w:val="000000"/>
      <w:sz w:val="24"/>
      <w:szCs w:val="20"/>
    </w:rPr>
  </w:style>
  <w:style w:type="paragraph" w:customStyle="1" w:styleId="895">
    <w:name w:val="报告节"/>
    <w:basedOn w:val="890"/>
    <w:next w:val="1"/>
    <w:qFormat/>
    <w:uiPriority w:val="0"/>
    <w:pPr>
      <w:keepNext/>
      <w:widowControl/>
      <w:tabs>
        <w:tab w:val="left" w:pos="3319"/>
        <w:tab w:val="left" w:pos="3600"/>
      </w:tabs>
      <w:adjustRightInd/>
      <w:snapToGrid/>
      <w:spacing w:line="720" w:lineRule="auto"/>
      <w:ind w:firstLine="0" w:firstLineChars="0"/>
      <w:jc w:val="center"/>
      <w:outlineLvl w:val="1"/>
    </w:pPr>
    <w:rPr>
      <w:rFonts w:ascii="仿宋_GB2312" w:eastAsia="仿宋_GB2312"/>
      <w:b/>
      <w:snapToGrid w:val="0"/>
      <w:sz w:val="32"/>
      <w:szCs w:val="32"/>
    </w:rPr>
  </w:style>
  <w:style w:type="paragraph" w:customStyle="1" w:styleId="896">
    <w:name w:val="报告一"/>
    <w:basedOn w:val="890"/>
    <w:next w:val="890"/>
    <w:qFormat/>
    <w:uiPriority w:val="0"/>
    <w:pPr>
      <w:keepNext/>
      <w:widowControl/>
      <w:tabs>
        <w:tab w:val="left" w:pos="3319"/>
        <w:tab w:val="left" w:pos="3600"/>
      </w:tabs>
      <w:adjustRightInd/>
      <w:snapToGrid/>
      <w:spacing w:line="240" w:lineRule="auto"/>
      <w:ind w:left="560" w:firstLine="0" w:firstLineChars="0"/>
      <w:outlineLvl w:val="3"/>
    </w:pPr>
    <w:rPr>
      <w:rFonts w:ascii="仿宋_GB2312" w:hAnsi="宋体" w:eastAsia="仿宋_GB2312"/>
      <w:b/>
      <w:bCs/>
    </w:rPr>
  </w:style>
  <w:style w:type="paragraph" w:customStyle="1" w:styleId="897">
    <w:name w:val="表文字 Char"/>
    <w:basedOn w:val="1"/>
    <w:link w:val="898"/>
    <w:qFormat/>
    <w:uiPriority w:val="0"/>
    <w:pPr>
      <w:keepNext/>
      <w:widowControl/>
      <w:adjustRightInd/>
      <w:snapToGrid/>
      <w:spacing w:line="240" w:lineRule="exact"/>
      <w:ind w:firstLine="0" w:firstLineChars="0"/>
      <w:jc w:val="both"/>
    </w:pPr>
    <w:rPr>
      <w:rFonts w:ascii="仿宋_GB2312" w:hAnsi="宋体" w:eastAsia="仿宋_GB2312"/>
      <w:b/>
      <w:bCs/>
      <w:sz w:val="18"/>
      <w:szCs w:val="18"/>
    </w:rPr>
  </w:style>
  <w:style w:type="character" w:customStyle="1" w:styleId="898">
    <w:name w:val="表文字 Char Char"/>
    <w:link w:val="897"/>
    <w:qFormat/>
    <w:uiPriority w:val="0"/>
    <w:rPr>
      <w:rFonts w:ascii="仿宋_GB2312" w:hAnsi="宋体" w:eastAsia="仿宋_GB2312"/>
      <w:b/>
      <w:bCs/>
      <w:kern w:val="2"/>
      <w:sz w:val="18"/>
      <w:szCs w:val="18"/>
    </w:rPr>
  </w:style>
  <w:style w:type="paragraph" w:customStyle="1" w:styleId="899">
    <w:name w:val="正文(首行缩进)宋旭峰"/>
    <w:basedOn w:val="21"/>
    <w:link w:val="900"/>
    <w:qFormat/>
    <w:uiPriority w:val="0"/>
    <w:pPr>
      <w:spacing w:line="360" w:lineRule="auto"/>
      <w:ind w:firstLine="480" w:firstLineChars="200"/>
      <w:contextualSpacing/>
      <w:jc w:val="both"/>
    </w:pPr>
    <w:rPr>
      <w:rFonts w:cs="TimesNewRomanPSMT"/>
      <w:b w:val="0"/>
      <w:snapToGrid w:val="0"/>
      <w:color w:val="auto"/>
    </w:rPr>
  </w:style>
  <w:style w:type="character" w:customStyle="1" w:styleId="900">
    <w:name w:val="正文(首行缩进)宋旭峰 Char Char"/>
    <w:link w:val="899"/>
    <w:qFormat/>
    <w:uiPriority w:val="0"/>
    <w:rPr>
      <w:rFonts w:ascii="Times New Roman" w:hAnsi="Times New Roman" w:cs="TimesNewRomanPSMT"/>
      <w:snapToGrid w:val="0"/>
      <w:sz w:val="24"/>
      <w:szCs w:val="24"/>
    </w:rPr>
  </w:style>
  <w:style w:type="paragraph" w:customStyle="1" w:styleId="901">
    <w:name w:val="Char Char Char Char Char Char Char Char Char Char Char Char Char Char Char Char Char Char Char Char Char Char Char Char Char Char Char Char Char Char Char Char Char Char Char Char Char Char Char"/>
    <w:basedOn w:val="1"/>
    <w:qFormat/>
    <w:uiPriority w:val="0"/>
    <w:pPr>
      <w:adjustRightInd/>
      <w:snapToGrid/>
      <w:spacing w:line="240" w:lineRule="auto"/>
      <w:ind w:firstLine="0" w:firstLineChars="0"/>
      <w:jc w:val="both"/>
    </w:pPr>
    <w:rPr>
      <w:sz w:val="21"/>
      <w:szCs w:val="24"/>
    </w:rPr>
  </w:style>
  <w:style w:type="paragraph" w:customStyle="1" w:styleId="902">
    <w:name w:val="样式 样式 样式 设计正文 + 首行缩进:  2 字符 + 首行缩进:  2 字符 + 首行缩进:  2 字符"/>
    <w:basedOn w:val="1"/>
    <w:qFormat/>
    <w:uiPriority w:val="0"/>
    <w:pPr>
      <w:keepNext/>
      <w:adjustRightInd/>
      <w:snapToGrid/>
      <w:spacing w:line="360" w:lineRule="auto"/>
      <w:ind w:firstLine="538" w:firstLineChars="192"/>
      <w:jc w:val="both"/>
    </w:pPr>
    <w:rPr>
      <w:rFonts w:ascii="仿宋_GB2312" w:eastAsia="仿宋_GB2312" w:cs="宋体"/>
      <w:sz w:val="28"/>
      <w:szCs w:val="20"/>
    </w:rPr>
  </w:style>
  <w:style w:type="paragraph" w:customStyle="1" w:styleId="903">
    <w:name w:val="正文(首行缩进) Char Char Char"/>
    <w:basedOn w:val="1"/>
    <w:link w:val="912"/>
    <w:qFormat/>
    <w:uiPriority w:val="0"/>
    <w:pPr>
      <w:adjustRightInd/>
      <w:snapToGrid/>
      <w:spacing w:line="360" w:lineRule="auto"/>
      <w:ind w:firstLine="480"/>
      <w:jc w:val="both"/>
    </w:pPr>
    <w:rPr>
      <w:snapToGrid w:val="0"/>
      <w:sz w:val="24"/>
      <w:szCs w:val="24"/>
    </w:rPr>
  </w:style>
  <w:style w:type="paragraph" w:customStyle="1" w:styleId="904">
    <w:name w:val="Char Char Char Char Char Char Char Char Char1"/>
    <w:basedOn w:val="1"/>
    <w:qFormat/>
    <w:uiPriority w:val="0"/>
    <w:pPr>
      <w:adjustRightInd/>
      <w:snapToGrid/>
      <w:spacing w:line="240" w:lineRule="auto"/>
      <w:ind w:firstLine="0" w:firstLineChars="0"/>
      <w:jc w:val="both"/>
    </w:pPr>
    <w:rPr>
      <w:sz w:val="21"/>
      <w:szCs w:val="24"/>
    </w:rPr>
  </w:style>
  <w:style w:type="paragraph" w:customStyle="1" w:styleId="905">
    <w:name w:val="表底说明"/>
    <w:basedOn w:val="1"/>
    <w:link w:val="906"/>
    <w:qFormat/>
    <w:uiPriority w:val="0"/>
    <w:pPr>
      <w:adjustRightInd/>
      <w:snapToGrid/>
      <w:spacing w:line="240" w:lineRule="auto"/>
      <w:ind w:firstLine="0" w:firstLineChars="0"/>
      <w:jc w:val="both"/>
    </w:pPr>
    <w:rPr>
      <w:sz w:val="18"/>
      <w:szCs w:val="24"/>
    </w:rPr>
  </w:style>
  <w:style w:type="character" w:customStyle="1" w:styleId="906">
    <w:name w:val="表底说明 Char"/>
    <w:link w:val="905"/>
    <w:qFormat/>
    <w:uiPriority w:val="0"/>
    <w:rPr>
      <w:rFonts w:ascii="Times New Roman" w:hAnsi="Times New Roman"/>
      <w:kern w:val="2"/>
      <w:sz w:val="18"/>
      <w:szCs w:val="24"/>
    </w:rPr>
  </w:style>
  <w:style w:type="paragraph" w:customStyle="1" w:styleId="907">
    <w:name w:val="环保专篇"/>
    <w:link w:val="908"/>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908">
    <w:name w:val="环保专篇 Char"/>
    <w:link w:val="907"/>
    <w:qFormat/>
    <w:uiPriority w:val="0"/>
    <w:rPr>
      <w:rFonts w:ascii="Times New Roman" w:hAnsi="Times New Roman"/>
      <w:kern w:val="2"/>
      <w:sz w:val="24"/>
      <w:szCs w:val="24"/>
    </w:rPr>
  </w:style>
  <w:style w:type="paragraph" w:customStyle="1" w:styleId="909">
    <w:name w:val="表格后空行"/>
    <w:basedOn w:val="1"/>
    <w:qFormat/>
    <w:uiPriority w:val="0"/>
    <w:pPr>
      <w:widowControl/>
      <w:adjustRightInd/>
      <w:snapToGrid/>
      <w:spacing w:line="240" w:lineRule="exact"/>
      <w:ind w:firstLine="0" w:firstLineChars="0"/>
      <w:jc w:val="both"/>
      <w:textAlignment w:val="baseline"/>
    </w:pPr>
    <w:rPr>
      <w:rFonts w:cs="宋体"/>
      <w:color w:val="000000"/>
      <w:kern w:val="0"/>
      <w:sz w:val="21"/>
      <w:szCs w:val="20"/>
      <w:u w:color="000000"/>
    </w:rPr>
  </w:style>
  <w:style w:type="paragraph" w:customStyle="1" w:styleId="910">
    <w:name w:val="表头标题格式"/>
    <w:basedOn w:val="1"/>
    <w:link w:val="919"/>
    <w:qFormat/>
    <w:uiPriority w:val="0"/>
    <w:pPr>
      <w:tabs>
        <w:tab w:val="left" w:pos="360"/>
        <w:tab w:val="left" w:pos="1620"/>
      </w:tabs>
      <w:adjustRightInd/>
      <w:snapToGrid/>
      <w:spacing w:line="360" w:lineRule="auto"/>
      <w:ind w:firstLine="0" w:firstLineChars="0"/>
      <w:jc w:val="center"/>
    </w:pPr>
    <w:rPr>
      <w:rFonts w:ascii="黑体" w:hAnsi="宋体" w:eastAsia="黑体" w:cs="宋体"/>
      <w:b/>
      <w:bCs/>
      <w:sz w:val="24"/>
      <w:szCs w:val="20"/>
    </w:rPr>
  </w:style>
  <w:style w:type="character" w:customStyle="1" w:styleId="911">
    <w:name w:val="样式 首行缩进:  2 字符 Char"/>
    <w:link w:val="352"/>
    <w:qFormat/>
    <w:uiPriority w:val="0"/>
    <w:rPr>
      <w:rFonts w:ascii="Times New Roman" w:hAnsi="Times New Roman" w:cs="宋体"/>
      <w:kern w:val="2"/>
      <w:sz w:val="24"/>
    </w:rPr>
  </w:style>
  <w:style w:type="character" w:customStyle="1" w:styleId="912">
    <w:name w:val="正文(首行缩进) Char Char Char Char"/>
    <w:link w:val="903"/>
    <w:qFormat/>
    <w:uiPriority w:val="0"/>
    <w:rPr>
      <w:rFonts w:ascii="Times New Roman" w:hAnsi="Times New Roman"/>
      <w:snapToGrid w:val="0"/>
      <w:kern w:val="2"/>
      <w:sz w:val="24"/>
      <w:szCs w:val="24"/>
    </w:rPr>
  </w:style>
  <w:style w:type="paragraph" w:customStyle="1" w:styleId="913">
    <w:name w:val="样式 正文首行缩进 2 + (符号) 宋体"/>
    <w:basedOn w:val="87"/>
    <w:link w:val="914"/>
    <w:qFormat/>
    <w:uiPriority w:val="0"/>
    <w:pPr>
      <w:spacing w:line="360" w:lineRule="auto"/>
      <w:ind w:firstLine="200" w:firstLineChars="200"/>
    </w:pPr>
    <w:rPr>
      <w:rFonts w:ascii="宋体" w:hAnsi="Times New Roman" w:eastAsia="宋体"/>
    </w:rPr>
  </w:style>
  <w:style w:type="character" w:customStyle="1" w:styleId="914">
    <w:name w:val="样式 正文首行缩进 2 + (符号) 宋体 Char"/>
    <w:link w:val="913"/>
    <w:qFormat/>
    <w:uiPriority w:val="0"/>
    <w:rPr>
      <w:rFonts w:ascii="宋体" w:hAnsi="Times New Roman"/>
      <w:kern w:val="2"/>
      <w:sz w:val="24"/>
      <w:szCs w:val="24"/>
    </w:rPr>
  </w:style>
  <w:style w:type="paragraph" w:customStyle="1" w:styleId="915">
    <w:name w:val="正文标准样式"/>
    <w:basedOn w:val="1"/>
    <w:qFormat/>
    <w:uiPriority w:val="0"/>
    <w:pPr>
      <w:snapToGrid/>
      <w:spacing w:line="300" w:lineRule="auto"/>
      <w:ind w:firstLine="482" w:firstLineChars="0"/>
      <w:jc w:val="both"/>
      <w:textAlignment w:val="baseline"/>
    </w:pPr>
    <w:rPr>
      <w:kern w:val="0"/>
      <w:sz w:val="24"/>
      <w:szCs w:val="20"/>
    </w:rPr>
  </w:style>
  <w:style w:type="paragraph" w:customStyle="1" w:styleId="916">
    <w:name w:val="正文格式"/>
    <w:basedOn w:val="86"/>
    <w:link w:val="918"/>
    <w:qFormat/>
    <w:uiPriority w:val="0"/>
    <w:pPr>
      <w:spacing w:after="0" w:line="360" w:lineRule="auto"/>
      <w:ind w:firstLine="200" w:firstLineChars="200"/>
    </w:pPr>
    <w:rPr>
      <w:rFonts w:ascii="宋体"/>
      <w:color w:val="auto"/>
    </w:rPr>
  </w:style>
  <w:style w:type="paragraph" w:customStyle="1" w:styleId="917">
    <w:name w:val="表后空行格式"/>
    <w:basedOn w:val="916"/>
    <w:qFormat/>
    <w:uiPriority w:val="0"/>
    <w:pPr>
      <w:spacing w:line="240" w:lineRule="exact"/>
      <w:ind w:firstLine="0" w:firstLineChars="0"/>
    </w:pPr>
    <w:rPr>
      <w:sz w:val="18"/>
    </w:rPr>
  </w:style>
  <w:style w:type="character" w:customStyle="1" w:styleId="918">
    <w:name w:val="正文格式 Char"/>
    <w:link w:val="916"/>
    <w:qFormat/>
    <w:uiPriority w:val="0"/>
    <w:rPr>
      <w:rFonts w:ascii="宋体" w:hAnsi="Times New Roman"/>
      <w:kern w:val="2"/>
      <w:sz w:val="24"/>
      <w:szCs w:val="24"/>
    </w:rPr>
  </w:style>
  <w:style w:type="character" w:customStyle="1" w:styleId="919">
    <w:name w:val="表头标题格式 Char"/>
    <w:link w:val="910"/>
    <w:qFormat/>
    <w:uiPriority w:val="0"/>
    <w:rPr>
      <w:rFonts w:ascii="黑体" w:hAnsi="宋体" w:eastAsia="黑体" w:cs="宋体"/>
      <w:b/>
      <w:bCs/>
      <w:kern w:val="2"/>
      <w:sz w:val="24"/>
    </w:rPr>
  </w:style>
  <w:style w:type="paragraph" w:customStyle="1" w:styleId="920">
    <w:name w:val="正文 楷体"/>
    <w:basedOn w:val="1"/>
    <w:qFormat/>
    <w:uiPriority w:val="0"/>
    <w:pPr>
      <w:adjustRightInd/>
      <w:snapToGrid/>
      <w:spacing w:line="500" w:lineRule="exact"/>
      <w:jc w:val="both"/>
    </w:pPr>
    <w:rPr>
      <w:rFonts w:ascii="楷体_GB2312" w:hAnsi="楷体_GB2312" w:eastAsia="楷体_GB2312" w:cs="宋体"/>
      <w:sz w:val="24"/>
      <w:szCs w:val="24"/>
    </w:rPr>
  </w:style>
  <w:style w:type="paragraph" w:customStyle="1" w:styleId="921">
    <w:name w:val="正文（首行缩进两字） Char Char Char Char1 Char11"/>
    <w:basedOn w:val="1"/>
    <w:next w:val="21"/>
    <w:semiHidden/>
    <w:qFormat/>
    <w:uiPriority w:val="0"/>
    <w:pPr>
      <w:adjustRightInd/>
      <w:snapToGrid/>
      <w:spacing w:line="440" w:lineRule="exact"/>
      <w:jc w:val="both"/>
    </w:pPr>
    <w:rPr>
      <w:rFonts w:ascii="Arial" w:hAnsi="Arial"/>
      <w:sz w:val="24"/>
      <w:szCs w:val="24"/>
    </w:rPr>
  </w:style>
  <w:style w:type="paragraph" w:customStyle="1" w:styleId="922">
    <w:name w:val="Char Char Char Char Char2 Char Char Char Char1"/>
    <w:basedOn w:val="1"/>
    <w:semiHidden/>
    <w:qFormat/>
    <w:uiPriority w:val="0"/>
    <w:pPr>
      <w:spacing w:line="360" w:lineRule="auto"/>
      <w:jc w:val="both"/>
    </w:pPr>
    <w:rPr>
      <w:rFonts w:ascii="宋体" w:hAnsi="宋体" w:cs="宋体"/>
      <w:sz w:val="24"/>
      <w:szCs w:val="26"/>
    </w:rPr>
  </w:style>
  <w:style w:type="paragraph" w:customStyle="1" w:styleId="923">
    <w:name w:val="12 Char Char Char Char"/>
    <w:basedOn w:val="1"/>
    <w:qFormat/>
    <w:uiPriority w:val="0"/>
    <w:pPr>
      <w:adjustRightInd/>
      <w:snapToGrid/>
      <w:spacing w:line="360" w:lineRule="auto"/>
    </w:pPr>
    <w:rPr>
      <w:rFonts w:ascii="宋体" w:hAnsi="宋体"/>
      <w:position w:val="-6"/>
      <w:sz w:val="28"/>
      <w:szCs w:val="20"/>
      <w:u w:val="single"/>
    </w:rPr>
  </w:style>
  <w:style w:type="character" w:customStyle="1" w:styleId="924">
    <w:name w:val="正文（首行缩进两字）2 Char"/>
    <w:qFormat/>
    <w:uiPriority w:val="0"/>
    <w:rPr>
      <w:rFonts w:ascii="宋体" w:hAnsi="宋体" w:eastAsia="宋体" w:cs="宋体"/>
      <w:snapToGrid w:val="0"/>
      <w:kern w:val="24"/>
      <w:sz w:val="24"/>
      <w:szCs w:val="24"/>
      <w:lang w:val="en-US" w:eastAsia="zh-CN" w:bidi="ar-SA"/>
    </w:rPr>
  </w:style>
  <w:style w:type="paragraph" w:customStyle="1" w:styleId="925">
    <w:name w:val="Char Char Char Char Char Char Char Char Char Char Char"/>
    <w:basedOn w:val="1"/>
    <w:qFormat/>
    <w:uiPriority w:val="0"/>
    <w:pPr>
      <w:snapToGrid/>
      <w:spacing w:line="360" w:lineRule="auto"/>
      <w:ind w:firstLine="0" w:firstLineChars="0"/>
      <w:jc w:val="both"/>
    </w:pPr>
    <w:rPr>
      <w:kern w:val="0"/>
      <w:sz w:val="24"/>
      <w:szCs w:val="20"/>
    </w:rPr>
  </w:style>
  <w:style w:type="paragraph" w:customStyle="1" w:styleId="926">
    <w:name w:val="Char Char Char Char Char Char Char Char Char Char Char Char Char Char Char Char1"/>
    <w:basedOn w:val="1"/>
    <w:qFormat/>
    <w:uiPriority w:val="0"/>
    <w:pPr>
      <w:adjustRightInd/>
      <w:snapToGrid/>
      <w:spacing w:line="240" w:lineRule="auto"/>
      <w:ind w:firstLine="0" w:firstLineChars="0"/>
      <w:jc w:val="both"/>
    </w:pPr>
    <w:rPr>
      <w:sz w:val="21"/>
      <w:szCs w:val="24"/>
    </w:rPr>
  </w:style>
  <w:style w:type="character" w:customStyle="1" w:styleId="927">
    <w:name w:val="Char Char71"/>
    <w:qFormat/>
    <w:uiPriority w:val="0"/>
    <w:rPr>
      <w:rFonts w:ascii="宋体" w:hAnsi="宋体" w:eastAsia="宋体"/>
      <w:b/>
      <w:bCs/>
      <w:kern w:val="36"/>
      <w:sz w:val="48"/>
      <w:szCs w:val="48"/>
      <w:lang w:val="en-US" w:eastAsia="zh-CN" w:bidi="ar-SA"/>
    </w:rPr>
  </w:style>
  <w:style w:type="paragraph" w:customStyle="1" w:styleId="928">
    <w:name w:val="Char Char Char Char11"/>
    <w:basedOn w:val="1"/>
    <w:qFormat/>
    <w:uiPriority w:val="0"/>
    <w:pPr>
      <w:adjustRightInd/>
      <w:snapToGrid/>
      <w:spacing w:line="360" w:lineRule="auto"/>
      <w:jc w:val="both"/>
    </w:pPr>
    <w:rPr>
      <w:rFonts w:ascii="宋体" w:hAnsi="宋体" w:cs="宋体"/>
      <w:sz w:val="24"/>
      <w:szCs w:val="24"/>
    </w:rPr>
  </w:style>
  <w:style w:type="character" w:customStyle="1" w:styleId="929">
    <w:name w:val="正文1 Char"/>
    <w:link w:val="385"/>
    <w:qFormat/>
    <w:uiPriority w:val="0"/>
    <w:rPr>
      <w:rFonts w:ascii="宋体" w:hAnsi="Times New Roman"/>
      <w:color w:val="000000"/>
      <w:sz w:val="24"/>
    </w:rPr>
  </w:style>
  <w:style w:type="paragraph" w:customStyle="1" w:styleId="930">
    <w:name w:val="表内式样"/>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paragraph" w:customStyle="1" w:styleId="931">
    <w:name w:val="样式 宋体 小四 左 行距: 固定值 22 磅"/>
    <w:basedOn w:val="1"/>
    <w:qFormat/>
    <w:uiPriority w:val="0"/>
    <w:pPr>
      <w:adjustRightInd/>
      <w:snapToGrid/>
      <w:spacing w:line="440" w:lineRule="exact"/>
    </w:pPr>
    <w:rPr>
      <w:rFonts w:ascii="宋体" w:hAnsi="宋体" w:cs="宋体"/>
      <w:sz w:val="24"/>
      <w:szCs w:val="20"/>
    </w:rPr>
  </w:style>
  <w:style w:type="paragraph" w:customStyle="1" w:styleId="932">
    <w:name w:val="CM40"/>
    <w:basedOn w:val="201"/>
    <w:next w:val="201"/>
    <w:qFormat/>
    <w:uiPriority w:val="0"/>
    <w:pPr>
      <w:spacing w:after="138"/>
    </w:pPr>
    <w:rPr>
      <w:rFonts w:ascii="隶书" w:eastAsia="隶书" w:cs="Times New Roman"/>
      <w:color w:val="auto"/>
    </w:rPr>
  </w:style>
  <w:style w:type="paragraph" w:customStyle="1" w:styleId="933">
    <w:name w:val="CM101"/>
    <w:basedOn w:val="201"/>
    <w:next w:val="201"/>
    <w:qFormat/>
    <w:uiPriority w:val="0"/>
    <w:pPr>
      <w:spacing w:after="325"/>
    </w:pPr>
    <w:rPr>
      <w:rFonts w:cs="Times New Roman"/>
      <w:color w:val="auto"/>
    </w:rPr>
  </w:style>
  <w:style w:type="paragraph" w:customStyle="1" w:styleId="934">
    <w:name w:val="CM105"/>
    <w:basedOn w:val="201"/>
    <w:next w:val="201"/>
    <w:qFormat/>
    <w:uiPriority w:val="0"/>
    <w:pPr>
      <w:spacing w:after="225"/>
    </w:pPr>
    <w:rPr>
      <w:rFonts w:cs="Times New Roman"/>
      <w:color w:val="auto"/>
    </w:rPr>
  </w:style>
  <w:style w:type="paragraph" w:customStyle="1" w:styleId="935">
    <w:name w:val="CM18"/>
    <w:basedOn w:val="201"/>
    <w:next w:val="201"/>
    <w:qFormat/>
    <w:uiPriority w:val="0"/>
    <w:pPr>
      <w:spacing w:line="468" w:lineRule="atLeast"/>
    </w:pPr>
    <w:rPr>
      <w:rFonts w:ascii="隶书" w:eastAsia="隶书" w:cs="Times New Roman"/>
      <w:color w:val="auto"/>
    </w:rPr>
  </w:style>
  <w:style w:type="paragraph" w:customStyle="1" w:styleId="936">
    <w:name w:val="图表名称"/>
    <w:next w:val="1"/>
    <w:link w:val="937"/>
    <w:qFormat/>
    <w:uiPriority w:val="0"/>
    <w:pPr>
      <w:spacing w:before="25" w:after="25" w:line="360" w:lineRule="auto"/>
      <w:jc w:val="center"/>
    </w:pPr>
    <w:rPr>
      <w:rFonts w:ascii="Times New Roman" w:hAnsi="Times New Roman" w:eastAsia="黑体" w:cs="Times New Roman"/>
      <w:b/>
      <w:bCs/>
      <w:kern w:val="2"/>
      <w:sz w:val="24"/>
      <w:szCs w:val="21"/>
      <w:lang w:val="en-US" w:eastAsia="zh-CN" w:bidi="ar-SA"/>
    </w:rPr>
  </w:style>
  <w:style w:type="character" w:customStyle="1" w:styleId="937">
    <w:name w:val="图表名称 Char"/>
    <w:link w:val="936"/>
    <w:qFormat/>
    <w:uiPriority w:val="0"/>
    <w:rPr>
      <w:rFonts w:ascii="Times New Roman" w:hAnsi="Times New Roman" w:eastAsia="黑体"/>
      <w:b/>
      <w:bCs/>
      <w:kern w:val="2"/>
      <w:sz w:val="24"/>
      <w:szCs w:val="21"/>
    </w:rPr>
  </w:style>
  <w:style w:type="paragraph" w:customStyle="1" w:styleId="938">
    <w:name w:val="川维5"/>
    <w:basedOn w:val="1"/>
    <w:link w:val="939"/>
    <w:qFormat/>
    <w:uiPriority w:val="0"/>
    <w:pPr>
      <w:adjustRightInd/>
      <w:snapToGrid/>
      <w:spacing w:line="360" w:lineRule="auto"/>
      <w:jc w:val="both"/>
    </w:pPr>
    <w:rPr>
      <w:kern w:val="24"/>
      <w:sz w:val="24"/>
      <w:szCs w:val="24"/>
    </w:rPr>
  </w:style>
  <w:style w:type="character" w:customStyle="1" w:styleId="939">
    <w:name w:val="川维5 Char"/>
    <w:link w:val="938"/>
    <w:qFormat/>
    <w:uiPriority w:val="0"/>
    <w:rPr>
      <w:rFonts w:ascii="Times New Roman" w:hAnsi="Times New Roman"/>
      <w:kern w:val="24"/>
      <w:sz w:val="24"/>
      <w:szCs w:val="24"/>
    </w:rPr>
  </w:style>
  <w:style w:type="character" w:customStyle="1" w:styleId="940">
    <w:name w:val="1正文段落 Char"/>
    <w:link w:val="833"/>
    <w:qFormat/>
    <w:uiPriority w:val="0"/>
    <w:rPr>
      <w:rFonts w:ascii="Times New Roman" w:hAnsi="Times New Roman"/>
      <w:snapToGrid w:val="0"/>
      <w:sz w:val="24"/>
      <w:szCs w:val="24"/>
    </w:rPr>
  </w:style>
  <w:style w:type="paragraph" w:customStyle="1" w:styleId="941">
    <w:name w:val="标注"/>
    <w:basedOn w:val="52"/>
    <w:next w:val="1"/>
    <w:link w:val="942"/>
    <w:qFormat/>
    <w:uiPriority w:val="0"/>
    <w:pPr>
      <w:adjustRightInd/>
      <w:spacing w:line="200" w:lineRule="exact"/>
      <w:jc w:val="both"/>
    </w:pPr>
    <w:rPr>
      <w:color w:val="FF00FF"/>
      <w:sz w:val="18"/>
      <w:szCs w:val="24"/>
    </w:rPr>
  </w:style>
  <w:style w:type="character" w:customStyle="1" w:styleId="942">
    <w:name w:val="标注 Char"/>
    <w:link w:val="941"/>
    <w:qFormat/>
    <w:uiPriority w:val="0"/>
    <w:rPr>
      <w:rFonts w:ascii="Times New Roman" w:hAnsi="Times New Roman"/>
      <w:color w:val="FF00FF"/>
      <w:kern w:val="2"/>
      <w:sz w:val="18"/>
      <w:szCs w:val="24"/>
    </w:rPr>
  </w:style>
  <w:style w:type="paragraph" w:customStyle="1" w:styleId="943">
    <w:name w:val="楷体加粗"/>
    <w:basedOn w:val="1"/>
    <w:link w:val="944"/>
    <w:qFormat/>
    <w:uiPriority w:val="0"/>
    <w:pPr>
      <w:adjustRightInd/>
      <w:snapToGrid/>
      <w:spacing w:line="440" w:lineRule="exact"/>
      <w:ind w:firstLine="472" w:firstLineChars="196"/>
    </w:pPr>
    <w:rPr>
      <w:rFonts w:ascii="宋体" w:hAnsi="宋体"/>
      <w:b/>
      <w:sz w:val="24"/>
      <w:szCs w:val="24"/>
    </w:rPr>
  </w:style>
  <w:style w:type="character" w:customStyle="1" w:styleId="944">
    <w:name w:val="楷体加粗 Char"/>
    <w:link w:val="943"/>
    <w:qFormat/>
    <w:uiPriority w:val="0"/>
    <w:rPr>
      <w:rFonts w:ascii="宋体" w:hAnsi="宋体"/>
      <w:b/>
      <w:kern w:val="2"/>
      <w:sz w:val="24"/>
      <w:szCs w:val="24"/>
    </w:rPr>
  </w:style>
  <w:style w:type="paragraph" w:customStyle="1" w:styleId="945">
    <w:name w:val="单位"/>
    <w:basedOn w:val="941"/>
    <w:qFormat/>
    <w:uiPriority w:val="0"/>
  </w:style>
  <w:style w:type="character" w:customStyle="1" w:styleId="946">
    <w:name w:val="二级条标题 Char"/>
    <w:link w:val="404"/>
    <w:qFormat/>
    <w:uiPriority w:val="0"/>
    <w:rPr>
      <w:rFonts w:ascii="黑体" w:hAnsi="Times New Roman" w:eastAsia="黑体"/>
      <w:sz w:val="21"/>
    </w:rPr>
  </w:style>
  <w:style w:type="paragraph" w:customStyle="1" w:styleId="947">
    <w:name w:val="样式"/>
    <w:basedOn w:val="1"/>
    <w:next w:val="70"/>
    <w:qFormat/>
    <w:uiPriority w:val="0"/>
    <w:pPr>
      <w:tabs>
        <w:tab w:val="left" w:pos="6720"/>
      </w:tabs>
      <w:adjustRightInd/>
      <w:snapToGrid/>
      <w:spacing w:line="360" w:lineRule="auto"/>
      <w:ind w:firstLine="480"/>
      <w:jc w:val="both"/>
    </w:pPr>
    <w:rPr>
      <w:rFonts w:ascii="楷体_GB2312" w:eastAsia="楷体_GB2312"/>
      <w:sz w:val="24"/>
      <w:szCs w:val="24"/>
    </w:rPr>
  </w:style>
  <w:style w:type="character" w:customStyle="1" w:styleId="948">
    <w:name w:val="zhenwen14"/>
    <w:basedOn w:val="132"/>
    <w:qFormat/>
    <w:uiPriority w:val="0"/>
  </w:style>
  <w:style w:type="paragraph" w:customStyle="1" w:styleId="949">
    <w:name w:val="附录表标题"/>
    <w:next w:val="5"/>
    <w:qFormat/>
    <w:uiPriority w:val="0"/>
    <w:pPr>
      <w:tabs>
        <w:tab w:val="left" w:pos="360"/>
      </w:tabs>
      <w:jc w:val="center"/>
      <w:textAlignment w:val="baseline"/>
    </w:pPr>
    <w:rPr>
      <w:rFonts w:ascii="黑体" w:hAnsi="Times New Roman" w:eastAsia="黑体" w:cs="Times New Roman"/>
      <w:kern w:val="21"/>
      <w:sz w:val="21"/>
      <w:lang w:val="en-US" w:eastAsia="zh-CN" w:bidi="ar-SA"/>
    </w:rPr>
  </w:style>
  <w:style w:type="character" w:customStyle="1" w:styleId="950">
    <w:name w:val="样式 四号"/>
    <w:qFormat/>
    <w:uiPriority w:val="0"/>
    <w:rPr>
      <w:sz w:val="28"/>
    </w:rPr>
  </w:style>
  <w:style w:type="character" w:customStyle="1" w:styleId="951">
    <w:name w:val="title162"/>
    <w:qFormat/>
    <w:uiPriority w:val="0"/>
    <w:rPr>
      <w:b/>
      <w:bCs/>
      <w:color w:val="900000"/>
      <w:sz w:val="23"/>
      <w:szCs w:val="23"/>
    </w:rPr>
  </w:style>
  <w:style w:type="paragraph" w:customStyle="1" w:styleId="952">
    <w:name w:val="hcr3"/>
    <w:qFormat/>
    <w:uiPriority w:val="0"/>
    <w:pPr>
      <w:ind w:firstLine="200" w:firstLineChars="200"/>
    </w:pPr>
    <w:rPr>
      <w:rFonts w:ascii="仿宋_GB2312" w:hAnsi="Times New Roman" w:eastAsia="仿宋_GB2312" w:cs="Times New Roman"/>
      <w:bCs/>
      <w:sz w:val="28"/>
      <w:lang w:val="en-US" w:eastAsia="zh-CN" w:bidi="ar-SA"/>
    </w:rPr>
  </w:style>
  <w:style w:type="paragraph" w:customStyle="1" w:styleId="953">
    <w:name w:val="表格内文字"/>
    <w:basedOn w:val="1"/>
    <w:qFormat/>
    <w:uiPriority w:val="0"/>
    <w:pPr>
      <w:spacing w:before="80" w:line="240" w:lineRule="exact"/>
      <w:ind w:firstLine="0" w:firstLineChars="0"/>
      <w:jc w:val="center"/>
    </w:pPr>
    <w:rPr>
      <w:snapToGrid w:val="0"/>
      <w:spacing w:val="6"/>
      <w:kern w:val="0"/>
      <w:sz w:val="24"/>
      <w:szCs w:val="20"/>
    </w:rPr>
  </w:style>
  <w:style w:type="character" w:customStyle="1" w:styleId="954">
    <w:name w:val="样式1 Char1"/>
    <w:qFormat/>
    <w:uiPriority w:val="0"/>
    <w:rPr>
      <w:rFonts w:eastAsia="宋体"/>
      <w:kern w:val="2"/>
      <w:sz w:val="24"/>
      <w:szCs w:val="24"/>
      <w:lang w:val="en-US" w:eastAsia="zh-CN" w:bidi="ar-SA"/>
    </w:rPr>
  </w:style>
  <w:style w:type="paragraph" w:customStyle="1" w:styleId="955">
    <w:name w:val="Date2"/>
    <w:basedOn w:val="1"/>
    <w:next w:val="1"/>
    <w:qFormat/>
    <w:uiPriority w:val="0"/>
    <w:pPr>
      <w:snapToGrid/>
      <w:spacing w:line="240" w:lineRule="auto"/>
      <w:ind w:firstLine="0" w:firstLineChars="0"/>
      <w:textAlignment w:val="baseline"/>
    </w:pPr>
    <w:rPr>
      <w:rFonts w:ascii="宋体"/>
      <w:spacing w:val="24"/>
      <w:kern w:val="24"/>
      <w:sz w:val="24"/>
      <w:szCs w:val="20"/>
    </w:rPr>
  </w:style>
  <w:style w:type="character" w:customStyle="1" w:styleId="956">
    <w:name w:val="Char Char5"/>
    <w:semiHidden/>
    <w:qFormat/>
    <w:uiPriority w:val="0"/>
    <w:rPr>
      <w:rFonts w:eastAsia="宋体"/>
      <w:kern w:val="2"/>
      <w:sz w:val="18"/>
      <w:szCs w:val="18"/>
      <w:lang w:val="en-US" w:eastAsia="zh-CN" w:bidi="ar-SA"/>
    </w:rPr>
  </w:style>
  <w:style w:type="paragraph" w:customStyle="1" w:styleId="957">
    <w:name w:val="Char Char Char Char Char Char Char1"/>
    <w:basedOn w:val="1"/>
    <w:qFormat/>
    <w:uiPriority w:val="0"/>
    <w:pPr>
      <w:snapToGrid/>
      <w:spacing w:line="360" w:lineRule="auto"/>
      <w:ind w:firstLine="0" w:firstLineChars="0"/>
      <w:jc w:val="both"/>
    </w:pPr>
    <w:rPr>
      <w:kern w:val="0"/>
      <w:sz w:val="24"/>
      <w:szCs w:val="20"/>
    </w:rPr>
  </w:style>
  <w:style w:type="paragraph" w:customStyle="1" w:styleId="958">
    <w:name w:val="节以下序号1"/>
    <w:basedOn w:val="1"/>
    <w:next w:val="1"/>
    <w:link w:val="959"/>
    <w:qFormat/>
    <w:uiPriority w:val="0"/>
    <w:pPr>
      <w:tabs>
        <w:tab w:val="right" w:pos="18"/>
        <w:tab w:val="left" w:pos="3615"/>
        <w:tab w:val="right" w:pos="4804"/>
      </w:tabs>
      <w:spacing w:line="440" w:lineRule="exact"/>
      <w:ind w:firstLine="480"/>
      <w:jc w:val="both"/>
    </w:pPr>
    <w:rPr>
      <w:rFonts w:hAnsi="宋体"/>
      <w:sz w:val="24"/>
      <w:szCs w:val="28"/>
    </w:rPr>
  </w:style>
  <w:style w:type="character" w:customStyle="1" w:styleId="959">
    <w:name w:val="节以下序号1 Char"/>
    <w:link w:val="958"/>
    <w:qFormat/>
    <w:uiPriority w:val="0"/>
    <w:rPr>
      <w:rFonts w:ascii="Times New Roman" w:hAnsi="宋体"/>
      <w:kern w:val="2"/>
      <w:sz w:val="24"/>
      <w:szCs w:val="28"/>
    </w:rPr>
  </w:style>
  <w:style w:type="paragraph" w:customStyle="1" w:styleId="960">
    <w:name w:val="pvc1.1"/>
    <w:basedOn w:val="4"/>
    <w:next w:val="4"/>
    <w:semiHidden/>
    <w:qFormat/>
    <w:uiPriority w:val="0"/>
    <w:pPr>
      <w:keepNext/>
      <w:keepLines/>
      <w:widowControl w:val="0"/>
      <w:tabs>
        <w:tab w:val="left" w:pos="576"/>
        <w:tab w:val="left" w:pos="768"/>
        <w:tab w:val="clear" w:pos="0"/>
      </w:tabs>
      <w:spacing w:beforeLines="100" w:afterLines="100" w:line="324" w:lineRule="auto"/>
      <w:ind w:left="576" w:hanging="576"/>
      <w:jc w:val="both"/>
    </w:pPr>
    <w:rPr>
      <w:rFonts w:ascii="黑体" w:hAnsi="Arial" w:eastAsia="华文中宋" w:cs="宋体"/>
      <w:b w:val="0"/>
      <w:bCs w:val="0"/>
      <w:snapToGrid/>
      <w:sz w:val="44"/>
      <w:szCs w:val="44"/>
    </w:rPr>
  </w:style>
  <w:style w:type="character" w:customStyle="1" w:styleId="961">
    <w:name w:val="zw1"/>
    <w:qFormat/>
    <w:uiPriority w:val="0"/>
    <w:rPr>
      <w:rFonts w:hint="eastAsia" w:ascii="宋体" w:hAnsi="宋体" w:eastAsia="宋体"/>
      <w:sz w:val="22"/>
      <w:szCs w:val="22"/>
    </w:rPr>
  </w:style>
  <w:style w:type="paragraph" w:customStyle="1" w:styleId="962">
    <w:name w:val="TOC 标题111"/>
    <w:basedOn w:val="3"/>
    <w:next w:val="1"/>
    <w:qFormat/>
    <w:uiPriority w:val="39"/>
    <w:pPr>
      <w:keepNext/>
      <w:keepLines/>
      <w:numPr>
        <w:numId w:val="0"/>
      </w:numPr>
      <w:tabs>
        <w:tab w:val="clear" w:pos="0"/>
      </w:tabs>
      <w:adjustRightInd/>
      <w:snapToGrid/>
      <w:spacing w:beforeLines="0" w:afterLines="0" w:line="276" w:lineRule="auto"/>
      <w:jc w:val="left"/>
      <w:outlineLvl w:val="9"/>
    </w:pPr>
    <w:rPr>
      <w:rFonts w:ascii="Cambria" w:hAnsi="Cambria"/>
      <w:snapToGrid/>
      <w:color w:val="365F91"/>
      <w:kern w:val="0"/>
      <w:sz w:val="28"/>
      <w:szCs w:val="28"/>
    </w:rPr>
  </w:style>
  <w:style w:type="character" w:customStyle="1" w:styleId="963">
    <w:name w:val="标题1.1.1.1.1 Char Char1"/>
    <w:qFormat/>
    <w:uiPriority w:val="0"/>
    <w:rPr>
      <w:rFonts w:ascii="宋体" w:eastAsia="宋体"/>
      <w:b/>
      <w:spacing w:val="6"/>
      <w:kern w:val="2"/>
      <w:sz w:val="26"/>
      <w:szCs w:val="26"/>
      <w:lang w:val="en-US" w:eastAsia="zh-CN" w:bidi="ar-SA"/>
    </w:rPr>
  </w:style>
  <w:style w:type="character" w:customStyle="1" w:styleId="964">
    <w:name w:val="标题 6 Char1"/>
    <w:qFormat/>
    <w:uiPriority w:val="0"/>
    <w:rPr>
      <w:rFonts w:ascii="Arial" w:hAnsi="Arial" w:eastAsia="黑体"/>
      <w:b/>
      <w:spacing w:val="6"/>
      <w:kern w:val="2"/>
      <w:sz w:val="24"/>
      <w:szCs w:val="26"/>
    </w:rPr>
  </w:style>
  <w:style w:type="character" w:customStyle="1" w:styleId="965">
    <w:name w:val="项标题(1) Char Char1"/>
    <w:qFormat/>
    <w:uiPriority w:val="0"/>
    <w:rPr>
      <w:rFonts w:ascii="宋体" w:eastAsia="宋体"/>
      <w:b/>
      <w:spacing w:val="6"/>
      <w:kern w:val="2"/>
      <w:sz w:val="24"/>
      <w:szCs w:val="26"/>
      <w:lang w:val="en-US" w:eastAsia="zh-CN" w:bidi="ar-SA"/>
    </w:rPr>
  </w:style>
  <w:style w:type="character" w:customStyle="1" w:styleId="966">
    <w:name w:val="目标题 1) Char Char1"/>
    <w:qFormat/>
    <w:uiPriority w:val="0"/>
    <w:rPr>
      <w:rFonts w:ascii="Arial" w:hAnsi="Arial" w:eastAsia="黑体"/>
      <w:spacing w:val="6"/>
      <w:kern w:val="2"/>
      <w:sz w:val="24"/>
      <w:szCs w:val="26"/>
      <w:lang w:val="en-US" w:eastAsia="zh-CN" w:bidi="ar-SA"/>
    </w:rPr>
  </w:style>
  <w:style w:type="character" w:customStyle="1" w:styleId="967">
    <w:name w:val="干标题(a) Char Char1"/>
    <w:qFormat/>
    <w:uiPriority w:val="0"/>
    <w:rPr>
      <w:rFonts w:ascii="Arial" w:hAnsi="Arial" w:eastAsia="黑体"/>
      <w:spacing w:val="6"/>
      <w:kern w:val="2"/>
      <w:sz w:val="21"/>
      <w:szCs w:val="26"/>
      <w:lang w:val="en-US" w:eastAsia="zh-CN" w:bidi="ar-SA"/>
    </w:rPr>
  </w:style>
  <w:style w:type="character" w:customStyle="1" w:styleId="968">
    <w:name w:val="环评正文 Char"/>
    <w:link w:val="280"/>
    <w:qFormat/>
    <w:uiPriority w:val="0"/>
    <w:rPr>
      <w:rFonts w:ascii="Times New Roman" w:hAnsi="Times New Roman" w:eastAsia="仿宋_GB2312"/>
      <w:kern w:val="2"/>
      <w:sz w:val="24"/>
      <w:szCs w:val="24"/>
    </w:rPr>
  </w:style>
  <w:style w:type="character" w:customStyle="1" w:styleId="969">
    <w:name w:val="Char Char Char Char Char Char Char Char"/>
    <w:link w:val="266"/>
    <w:qFormat/>
    <w:uiPriority w:val="0"/>
    <w:rPr>
      <w:rFonts w:ascii="Times New Roman" w:hAnsi="Times New Roman"/>
      <w:kern w:val="2"/>
      <w:sz w:val="21"/>
      <w:szCs w:val="24"/>
    </w:rPr>
  </w:style>
  <w:style w:type="paragraph" w:customStyle="1" w:styleId="970">
    <w:name w:val="【图片】"/>
    <w:next w:val="86"/>
    <w:link w:val="971"/>
    <w:qFormat/>
    <w:uiPriority w:val="0"/>
    <w:pPr>
      <w:jc w:val="center"/>
    </w:pPr>
    <w:rPr>
      <w:rFonts w:ascii="宋体" w:hAnsi="宋体" w:eastAsia="宋体" w:cs="Times New Roman"/>
      <w:sz w:val="24"/>
      <w:szCs w:val="22"/>
      <w:lang w:val="en-US" w:eastAsia="zh-CN" w:bidi="ar-SA"/>
    </w:rPr>
  </w:style>
  <w:style w:type="character" w:customStyle="1" w:styleId="971">
    <w:name w:val="【图片】 Char"/>
    <w:link w:val="970"/>
    <w:qFormat/>
    <w:uiPriority w:val="0"/>
    <w:rPr>
      <w:rFonts w:ascii="宋体" w:hAnsi="宋体"/>
      <w:sz w:val="24"/>
      <w:szCs w:val="22"/>
    </w:rPr>
  </w:style>
  <w:style w:type="paragraph" w:customStyle="1" w:styleId="972">
    <w:name w:val="Char Char Char Char Char2 Char"/>
    <w:basedOn w:val="1"/>
    <w:qFormat/>
    <w:uiPriority w:val="0"/>
    <w:pPr>
      <w:spacing w:line="360" w:lineRule="auto"/>
      <w:jc w:val="both"/>
    </w:pPr>
    <w:rPr>
      <w:sz w:val="21"/>
      <w:szCs w:val="20"/>
    </w:rPr>
  </w:style>
  <w:style w:type="paragraph" w:customStyle="1" w:styleId="973">
    <w:name w:val="样式 报告正文 + 首行缩进:  2 字符"/>
    <w:basedOn w:val="1"/>
    <w:link w:val="974"/>
    <w:semiHidden/>
    <w:qFormat/>
    <w:uiPriority w:val="0"/>
    <w:pPr>
      <w:autoSpaceDE w:val="0"/>
      <w:autoSpaceDN w:val="0"/>
      <w:adjustRightInd/>
      <w:snapToGrid/>
      <w:spacing w:line="360" w:lineRule="auto"/>
      <w:jc w:val="both"/>
    </w:pPr>
    <w:rPr>
      <w:rFonts w:cs="宋体"/>
      <w:sz w:val="24"/>
      <w:szCs w:val="20"/>
    </w:rPr>
  </w:style>
  <w:style w:type="character" w:customStyle="1" w:styleId="974">
    <w:name w:val="样式 报告正文 + 首行缩进:  2 字符 Char"/>
    <w:link w:val="973"/>
    <w:semiHidden/>
    <w:qFormat/>
    <w:uiPriority w:val="0"/>
    <w:rPr>
      <w:rFonts w:ascii="Times New Roman" w:hAnsi="Times New Roman" w:cs="宋体"/>
      <w:kern w:val="2"/>
      <w:sz w:val="24"/>
    </w:rPr>
  </w:style>
  <w:style w:type="character" w:customStyle="1" w:styleId="975">
    <w:name w:val="题注 Char Char Char Char2"/>
    <w:qFormat/>
    <w:uiPriority w:val="0"/>
    <w:rPr>
      <w:rFonts w:ascii="Arial" w:hAnsi="Arial" w:eastAsia="黑体" w:cs="Arial"/>
      <w:kern w:val="2"/>
      <w:sz w:val="21"/>
      <w:lang w:val="en-US" w:eastAsia="zh-CN" w:bidi="ar-SA"/>
    </w:rPr>
  </w:style>
  <w:style w:type="paragraph" w:customStyle="1" w:styleId="976">
    <w:name w:val="标题22"/>
    <w:basedOn w:val="4"/>
    <w:next w:val="4"/>
    <w:link w:val="2317"/>
    <w:qFormat/>
    <w:uiPriority w:val="0"/>
    <w:pPr>
      <w:widowControl w:val="0"/>
      <w:tabs>
        <w:tab w:val="clear" w:pos="0"/>
      </w:tabs>
      <w:spacing w:beforeLines="0" w:afterLines="0" w:line="240" w:lineRule="auto"/>
      <w:ind w:firstLine="357"/>
      <w:jc w:val="both"/>
    </w:pPr>
    <w:rPr>
      <w:rFonts w:ascii="黑体" w:hAnsi="宋体"/>
      <w:bCs w:val="0"/>
      <w:snapToGrid/>
      <w:kern w:val="0"/>
      <w:szCs w:val="20"/>
    </w:rPr>
  </w:style>
  <w:style w:type="character" w:customStyle="1" w:styleId="977">
    <w:name w:val="文本条款 Char5"/>
    <w:qFormat/>
    <w:uiPriority w:val="0"/>
    <w:rPr>
      <w:rFonts w:eastAsia="宋体"/>
      <w:kern w:val="2"/>
      <w:sz w:val="21"/>
      <w:lang w:val="en-US" w:eastAsia="zh-CN"/>
    </w:rPr>
  </w:style>
  <w:style w:type="character" w:customStyle="1" w:styleId="978">
    <w:name w:val="content1"/>
    <w:qFormat/>
    <w:uiPriority w:val="0"/>
    <w:rPr>
      <w:sz w:val="22"/>
      <w:szCs w:val="22"/>
    </w:rPr>
  </w:style>
  <w:style w:type="character" w:customStyle="1" w:styleId="979">
    <w:name w:val="Char Char17"/>
    <w:qFormat/>
    <w:uiPriority w:val="0"/>
    <w:rPr>
      <w:rFonts w:eastAsia="宋体"/>
      <w:color w:val="000000"/>
      <w:kern w:val="2"/>
      <w:sz w:val="18"/>
      <w:szCs w:val="18"/>
      <w:lang w:val="en-US" w:eastAsia="zh-CN" w:bidi="ar-SA"/>
    </w:rPr>
  </w:style>
  <w:style w:type="character" w:customStyle="1" w:styleId="980">
    <w:name w:val="todaynews_14pxtitlered1"/>
    <w:qFormat/>
    <w:uiPriority w:val="0"/>
    <w:rPr>
      <w:color w:val="D56453"/>
      <w:sz w:val="21"/>
      <w:szCs w:val="21"/>
      <w:u w:val="none"/>
    </w:rPr>
  </w:style>
  <w:style w:type="paragraph" w:customStyle="1" w:styleId="981">
    <w:name w:val="直接正文"/>
    <w:qFormat/>
    <w:uiPriority w:val="0"/>
    <w:pPr>
      <w:spacing w:afterLines="50" w:line="480" w:lineRule="exact"/>
      <w:ind w:firstLine="459"/>
    </w:pPr>
    <w:rPr>
      <w:rFonts w:ascii="宋体" w:hAnsi="宋体" w:eastAsia="宋体" w:cs="Times New Roman"/>
      <w:bCs/>
      <w:spacing w:val="-5"/>
      <w:kern w:val="10"/>
      <w:sz w:val="24"/>
      <w:lang w:val="en-US" w:eastAsia="zh-CN" w:bidi="he-IL"/>
    </w:rPr>
  </w:style>
  <w:style w:type="character" w:customStyle="1" w:styleId="982">
    <w:name w:val="large"/>
    <w:basedOn w:val="132"/>
    <w:qFormat/>
    <w:uiPriority w:val="0"/>
  </w:style>
  <w:style w:type="paragraph" w:customStyle="1" w:styleId="983">
    <w:name w:val="hcr4"/>
    <w:qFormat/>
    <w:uiPriority w:val="0"/>
    <w:pPr>
      <w:ind w:firstLine="200" w:firstLineChars="200"/>
    </w:pPr>
    <w:rPr>
      <w:rFonts w:ascii="仿宋_GB2312" w:hAnsi="Times New Roman" w:eastAsia="仿宋_GB2312" w:cs="Times New Roman"/>
      <w:bCs/>
      <w:sz w:val="28"/>
      <w:lang w:val="en-US" w:eastAsia="zh-CN" w:bidi="ar-SA"/>
    </w:rPr>
  </w:style>
  <w:style w:type="character" w:customStyle="1" w:styleId="984">
    <w:name w:val="f14b1"/>
    <w:qFormat/>
    <w:uiPriority w:val="0"/>
    <w:rPr>
      <w:b/>
      <w:bCs/>
      <w:sz w:val="21"/>
      <w:szCs w:val="21"/>
    </w:rPr>
  </w:style>
  <w:style w:type="paragraph" w:customStyle="1" w:styleId="985">
    <w:name w:val="正文前面有点"/>
    <w:basedOn w:val="31"/>
    <w:qFormat/>
    <w:uiPriority w:val="0"/>
    <w:pPr>
      <w:widowControl/>
      <w:tabs>
        <w:tab w:val="left" w:pos="3409"/>
      </w:tabs>
      <w:adjustRightInd w:val="0"/>
      <w:snapToGrid w:val="0"/>
      <w:spacing w:beforeLines="0" w:afterLines="0"/>
      <w:ind w:left="3409" w:hanging="420" w:firstLineChars="0"/>
      <w:jc w:val="left"/>
    </w:pPr>
    <w:rPr>
      <w:rFonts w:ascii="宋体" w:hAnsi="Arial"/>
      <w:snapToGrid w:val="0"/>
      <w:kern w:val="10"/>
      <w:sz w:val="24"/>
      <w:szCs w:val="20"/>
      <w:lang w:bidi="he-IL"/>
    </w:rPr>
  </w:style>
  <w:style w:type="paragraph" w:customStyle="1" w:styleId="986">
    <w:name w:val="条条"/>
    <w:basedOn w:val="21"/>
    <w:qFormat/>
    <w:uiPriority w:val="0"/>
    <w:pPr>
      <w:tabs>
        <w:tab w:val="left" w:pos="620"/>
      </w:tabs>
      <w:spacing w:beforeLines="30" w:afterLines="30" w:line="240" w:lineRule="auto"/>
      <w:ind w:left="620" w:hanging="420"/>
      <w:jc w:val="both"/>
    </w:pPr>
    <w:rPr>
      <w:rFonts w:ascii="新宋体" w:eastAsia="新宋体"/>
      <w:b w:val="0"/>
      <w:color w:val="auto"/>
      <w:w w:val="90"/>
      <w:kern w:val="2"/>
      <w:sz w:val="22"/>
      <w:szCs w:val="20"/>
    </w:rPr>
  </w:style>
  <w:style w:type="paragraph" w:customStyle="1" w:styleId="987">
    <w:name w:val="样式 标题 3 + 黑色"/>
    <w:basedOn w:val="5"/>
    <w:qFormat/>
    <w:uiPriority w:val="0"/>
    <w:pPr>
      <w:widowControl w:val="0"/>
      <w:tabs>
        <w:tab w:val="left" w:pos="1260"/>
        <w:tab w:val="clear" w:pos="0"/>
      </w:tabs>
      <w:spacing w:line="440" w:lineRule="atLeast"/>
      <w:ind w:firstLine="469"/>
      <w:outlineLvl w:val="9"/>
    </w:pPr>
    <w:rPr>
      <w:b w:val="0"/>
      <w:snapToGrid/>
      <w:szCs w:val="24"/>
    </w:rPr>
  </w:style>
  <w:style w:type="paragraph" w:customStyle="1" w:styleId="988">
    <w:name w:val="ygs正文"/>
    <w:basedOn w:val="1"/>
    <w:qFormat/>
    <w:uiPriority w:val="0"/>
    <w:pPr>
      <w:adjustRightInd/>
      <w:snapToGrid/>
      <w:spacing w:line="440" w:lineRule="exact"/>
      <w:ind w:firstLine="480"/>
      <w:jc w:val="both"/>
    </w:pPr>
    <w:rPr>
      <w:rFonts w:ascii="宋体" w:hAnsi="宋体"/>
      <w:bCs/>
      <w:sz w:val="24"/>
      <w:szCs w:val="24"/>
    </w:rPr>
  </w:style>
  <w:style w:type="paragraph" w:customStyle="1" w:styleId="989">
    <w:name w:val="文本框"/>
    <w:basedOn w:val="1"/>
    <w:qFormat/>
    <w:uiPriority w:val="0"/>
    <w:pPr>
      <w:spacing w:after="6" w:line="240" w:lineRule="auto"/>
      <w:ind w:firstLine="0" w:firstLineChars="0"/>
      <w:jc w:val="center"/>
    </w:pPr>
    <w:rPr>
      <w:rFonts w:eastAsia="仿宋_GB2312"/>
      <w:sz w:val="21"/>
      <w:szCs w:val="24"/>
    </w:rPr>
  </w:style>
  <w:style w:type="paragraph" w:customStyle="1" w:styleId="990">
    <w:name w:val="样式 标题 3 + 加粗"/>
    <w:basedOn w:val="5"/>
    <w:qFormat/>
    <w:uiPriority w:val="0"/>
    <w:pPr>
      <w:keepNext/>
      <w:keepLines/>
      <w:widowControl w:val="0"/>
      <w:tabs>
        <w:tab w:val="left" w:pos="1260"/>
        <w:tab w:val="left" w:pos="1440"/>
        <w:tab w:val="clear" w:pos="0"/>
      </w:tabs>
      <w:adjustRightInd/>
      <w:snapToGrid/>
      <w:spacing w:beforeLines="50" w:afterLines="50" w:line="360" w:lineRule="exact"/>
      <w:ind w:firstLine="200"/>
    </w:pPr>
    <w:rPr>
      <w:rFonts w:eastAsia="黑体"/>
      <w:b w:val="0"/>
      <w:snapToGrid/>
      <w:szCs w:val="24"/>
    </w:rPr>
  </w:style>
  <w:style w:type="paragraph" w:customStyle="1" w:styleId="991">
    <w:name w:val="6表格"/>
    <w:basedOn w:val="1"/>
    <w:qFormat/>
    <w:uiPriority w:val="0"/>
    <w:pPr>
      <w:spacing w:before="60" w:line="240" w:lineRule="atLeast"/>
      <w:ind w:firstLine="0" w:firstLineChars="0"/>
      <w:jc w:val="center"/>
    </w:pPr>
    <w:rPr>
      <w:snapToGrid w:val="0"/>
      <w:kern w:val="0"/>
      <w:sz w:val="21"/>
      <w:szCs w:val="20"/>
    </w:rPr>
  </w:style>
  <w:style w:type="paragraph" w:customStyle="1" w:styleId="992">
    <w:name w:val="大纲正文"/>
    <w:basedOn w:val="1"/>
    <w:link w:val="993"/>
    <w:qFormat/>
    <w:uiPriority w:val="0"/>
    <w:pPr>
      <w:widowControl/>
      <w:spacing w:afterLines="50" w:line="300" w:lineRule="auto"/>
      <w:ind w:firstLine="480"/>
      <w:jc w:val="both"/>
    </w:pPr>
    <w:rPr>
      <w:rFonts w:cs="宋体"/>
      <w:sz w:val="24"/>
      <w:szCs w:val="20"/>
    </w:rPr>
  </w:style>
  <w:style w:type="character" w:customStyle="1" w:styleId="993">
    <w:name w:val="大纲正文 Char1"/>
    <w:link w:val="992"/>
    <w:qFormat/>
    <w:uiPriority w:val="0"/>
    <w:rPr>
      <w:rFonts w:ascii="Times New Roman" w:hAnsi="Times New Roman" w:cs="宋体"/>
      <w:kern w:val="2"/>
      <w:sz w:val="24"/>
    </w:rPr>
  </w:style>
  <w:style w:type="character" w:customStyle="1" w:styleId="994">
    <w:name w:val="ht1"/>
    <w:qFormat/>
    <w:uiPriority w:val="0"/>
    <w:rPr>
      <w:rFonts w:ascii="黑体" w:eastAsia="黑体"/>
      <w:b/>
      <w:bCs/>
    </w:rPr>
  </w:style>
  <w:style w:type="character" w:customStyle="1" w:styleId="995">
    <w:name w:val="9points1"/>
    <w:qFormat/>
    <w:uiPriority w:val="0"/>
    <w:rPr>
      <w:rFonts w:hint="default"/>
      <w:color w:val="003366"/>
      <w:sz w:val="18"/>
      <w:szCs w:val="18"/>
      <w:u w:val="none"/>
    </w:rPr>
  </w:style>
  <w:style w:type="character" w:customStyle="1" w:styleId="996">
    <w:name w:val="txt1"/>
    <w:qFormat/>
    <w:uiPriority w:val="0"/>
    <w:rPr>
      <w:spacing w:val="60"/>
      <w:sz w:val="14"/>
      <w:szCs w:val="14"/>
    </w:rPr>
  </w:style>
  <w:style w:type="character" w:customStyle="1" w:styleId="997">
    <w:name w:val="f91"/>
    <w:qFormat/>
    <w:uiPriority w:val="0"/>
    <w:rPr>
      <w:rFonts w:hint="default"/>
      <w:sz w:val="18"/>
      <w:szCs w:val="18"/>
    </w:rPr>
  </w:style>
  <w:style w:type="paragraph" w:customStyle="1" w:styleId="998">
    <w:name w:val="标书标题1"/>
    <w:basedOn w:val="3"/>
    <w:qFormat/>
    <w:uiPriority w:val="0"/>
    <w:pPr>
      <w:widowControl w:val="0"/>
      <w:numPr>
        <w:numId w:val="0"/>
      </w:numPr>
      <w:tabs>
        <w:tab w:val="left" w:pos="1280"/>
        <w:tab w:val="clear" w:pos="0"/>
      </w:tabs>
      <w:spacing w:beforeLines="0" w:afterLines="0" w:line="360" w:lineRule="auto"/>
      <w:ind w:left="1280" w:hanging="720"/>
    </w:pPr>
    <w:rPr>
      <w:rFonts w:ascii="Arial Narrow" w:hAnsi="Arial Narrow"/>
      <w:b w:val="0"/>
      <w:bCs w:val="0"/>
      <w:kern w:val="0"/>
      <w:sz w:val="30"/>
      <w:szCs w:val="20"/>
    </w:rPr>
  </w:style>
  <w:style w:type="paragraph" w:customStyle="1" w:styleId="999">
    <w:name w:val="标书标题2"/>
    <w:basedOn w:val="4"/>
    <w:qFormat/>
    <w:uiPriority w:val="0"/>
    <w:pPr>
      <w:widowControl w:val="0"/>
      <w:tabs>
        <w:tab w:val="left" w:pos="574"/>
        <w:tab w:val="left" w:pos="1400"/>
        <w:tab w:val="clear" w:pos="0"/>
      </w:tabs>
      <w:spacing w:beforeLines="0" w:afterLines="0" w:line="300" w:lineRule="auto"/>
      <w:ind w:left="1400" w:hanging="420"/>
    </w:pPr>
    <w:rPr>
      <w:rFonts w:ascii="Arial Narrow" w:hAnsi="Arial Narrow"/>
      <w:bCs w:val="0"/>
      <w:snapToGrid/>
      <w:kern w:val="0"/>
      <w:szCs w:val="20"/>
    </w:rPr>
  </w:style>
  <w:style w:type="paragraph" w:customStyle="1" w:styleId="1000">
    <w:name w:val="标书标题3"/>
    <w:basedOn w:val="5"/>
    <w:qFormat/>
    <w:uiPriority w:val="0"/>
    <w:pPr>
      <w:widowControl w:val="0"/>
      <w:tabs>
        <w:tab w:val="left" w:pos="1260"/>
        <w:tab w:val="left" w:pos="1820"/>
        <w:tab w:val="clear" w:pos="0"/>
      </w:tabs>
      <w:spacing w:after="60" w:line="300" w:lineRule="auto"/>
      <w:ind w:left="1820" w:hanging="420"/>
    </w:pPr>
    <w:rPr>
      <w:rFonts w:ascii="Arial Narrow" w:hAnsi="Arial Narrow" w:eastAsia="仿宋_GB2312"/>
      <w:bCs/>
      <w:snapToGrid/>
      <w:kern w:val="0"/>
      <w:szCs w:val="20"/>
    </w:rPr>
  </w:style>
  <w:style w:type="paragraph" w:customStyle="1" w:styleId="1001">
    <w:name w:val="标书标题4"/>
    <w:basedOn w:val="6"/>
    <w:qFormat/>
    <w:uiPriority w:val="0"/>
    <w:pPr>
      <w:widowControl w:val="0"/>
      <w:numPr>
        <w:numId w:val="0"/>
      </w:numPr>
      <w:tabs>
        <w:tab w:val="left" w:pos="1680"/>
        <w:tab w:val="left" w:pos="2240"/>
        <w:tab w:val="clear" w:pos="0"/>
      </w:tabs>
      <w:spacing w:line="300" w:lineRule="auto"/>
      <w:ind w:left="2240" w:hanging="420" w:firstLineChars="200"/>
      <w:jc w:val="both"/>
    </w:pPr>
    <w:rPr>
      <w:rFonts w:ascii="Arial Narrow" w:hAnsi="Arial Narrow" w:eastAsia="仿宋_GB2312"/>
      <w:bCs w:val="0"/>
      <w:snapToGrid/>
      <w:kern w:val="0"/>
      <w:sz w:val="28"/>
      <w:szCs w:val="20"/>
    </w:rPr>
  </w:style>
  <w:style w:type="paragraph" w:customStyle="1" w:styleId="1002">
    <w:name w:val="标题03"/>
    <w:basedOn w:val="1"/>
    <w:next w:val="1"/>
    <w:qFormat/>
    <w:uiPriority w:val="0"/>
    <w:pPr>
      <w:adjustRightInd/>
      <w:snapToGrid/>
      <w:spacing w:line="480" w:lineRule="atLeast"/>
      <w:ind w:firstLine="480" w:firstLineChars="0"/>
      <w:jc w:val="both"/>
    </w:pPr>
    <w:rPr>
      <w:b/>
      <w:sz w:val="24"/>
      <w:szCs w:val="20"/>
    </w:rPr>
  </w:style>
  <w:style w:type="paragraph" w:customStyle="1" w:styleId="1003">
    <w:name w:val="样式 正文（首行缩进两字） + 宋体"/>
    <w:basedOn w:val="21"/>
    <w:qFormat/>
    <w:uiPriority w:val="0"/>
    <w:pPr>
      <w:adjustRightInd w:val="0"/>
      <w:spacing w:line="240" w:lineRule="auto"/>
      <w:jc w:val="both"/>
    </w:pPr>
    <w:rPr>
      <w:rFonts w:ascii="宋体" w:hAnsi="宋体"/>
      <w:b w:val="0"/>
      <w:color w:val="auto"/>
      <w:kern w:val="2"/>
      <w:sz w:val="28"/>
      <w:szCs w:val="20"/>
    </w:rPr>
  </w:style>
  <w:style w:type="paragraph" w:customStyle="1" w:styleId="1004">
    <w:name w:val="wg"/>
    <w:basedOn w:val="1"/>
    <w:qFormat/>
    <w:uiPriority w:val="0"/>
    <w:pPr>
      <w:adjustRightInd/>
      <w:snapToGrid/>
      <w:spacing w:line="240" w:lineRule="auto"/>
      <w:ind w:firstLine="0" w:firstLineChars="0"/>
      <w:jc w:val="both"/>
    </w:pPr>
    <w:rPr>
      <w:sz w:val="28"/>
      <w:szCs w:val="20"/>
    </w:rPr>
  </w:style>
  <w:style w:type="character" w:customStyle="1" w:styleId="1005">
    <w:name w:val="css-text3"/>
    <w:basedOn w:val="132"/>
    <w:qFormat/>
    <w:uiPriority w:val="0"/>
  </w:style>
  <w:style w:type="character" w:customStyle="1" w:styleId="1006">
    <w:name w:val="fontcsszw"/>
    <w:basedOn w:val="132"/>
    <w:qFormat/>
    <w:uiPriority w:val="0"/>
  </w:style>
  <w:style w:type="character" w:customStyle="1" w:styleId="1007">
    <w:name w:val="hei121"/>
    <w:qFormat/>
    <w:uiPriority w:val="0"/>
    <w:rPr>
      <w:sz w:val="18"/>
      <w:szCs w:val="18"/>
      <w:u w:val="none"/>
    </w:rPr>
  </w:style>
  <w:style w:type="paragraph" w:customStyle="1" w:styleId="1008">
    <w:name w:val="序号（1）"/>
    <w:basedOn w:val="1"/>
    <w:qFormat/>
    <w:uiPriority w:val="0"/>
    <w:pPr>
      <w:tabs>
        <w:tab w:val="left" w:pos="0"/>
        <w:tab w:val="left" w:pos="927"/>
      </w:tabs>
      <w:spacing w:line="360" w:lineRule="auto"/>
      <w:ind w:firstLine="567" w:firstLineChars="0"/>
      <w:jc w:val="both"/>
    </w:pPr>
    <w:rPr>
      <w:sz w:val="28"/>
      <w:szCs w:val="24"/>
    </w:rPr>
  </w:style>
  <w:style w:type="paragraph" w:customStyle="1" w:styleId="1009">
    <w:name w:val="新标题样式"/>
    <w:basedOn w:val="1"/>
    <w:qFormat/>
    <w:uiPriority w:val="0"/>
    <w:pPr>
      <w:tabs>
        <w:tab w:val="left" w:pos="567"/>
      </w:tabs>
      <w:adjustRightInd/>
      <w:snapToGrid/>
      <w:spacing w:line="360" w:lineRule="auto"/>
      <w:ind w:firstLine="0" w:firstLineChars="0"/>
      <w:jc w:val="both"/>
    </w:pPr>
    <w:rPr>
      <w:rFonts w:ascii="黑体" w:eastAsia="黑体"/>
      <w:b/>
      <w:spacing w:val="20"/>
      <w:sz w:val="24"/>
      <w:szCs w:val="20"/>
    </w:rPr>
  </w:style>
  <w:style w:type="paragraph" w:customStyle="1" w:styleId="1010">
    <w:name w:val="列项——"/>
    <w:qFormat/>
    <w:uiPriority w:val="0"/>
    <w:pPr>
      <w:widowControl w:val="0"/>
      <w:tabs>
        <w:tab w:val="left" w:pos="854"/>
      </w:tabs>
      <w:ind w:left="840" w:leftChars="200" w:hanging="420" w:hangingChars="200"/>
      <w:jc w:val="both"/>
    </w:pPr>
    <w:rPr>
      <w:rFonts w:ascii="宋体" w:hAnsi="Times New Roman" w:eastAsia="宋体" w:cs="Times New Roman"/>
      <w:sz w:val="21"/>
      <w:lang w:val="en-US" w:eastAsia="zh-CN" w:bidi="ar-SA"/>
    </w:rPr>
  </w:style>
  <w:style w:type="character" w:customStyle="1" w:styleId="1011">
    <w:name w:val="k1"/>
    <w:qFormat/>
    <w:uiPriority w:val="0"/>
    <w:rPr>
      <w:rFonts w:hint="eastAsia" w:ascii="宋体" w:hAnsi="宋体" w:eastAsia="宋体"/>
      <w:b/>
      <w:bCs/>
      <w:color w:val="FF0000"/>
      <w:sz w:val="30"/>
      <w:szCs w:val="30"/>
      <w:u w:val="none"/>
    </w:rPr>
  </w:style>
  <w:style w:type="paragraph" w:customStyle="1" w:styleId="1012">
    <w:name w:val="样式 表 + 加粗"/>
    <w:basedOn w:val="1"/>
    <w:qFormat/>
    <w:uiPriority w:val="0"/>
    <w:pPr>
      <w:autoSpaceDE w:val="0"/>
      <w:autoSpaceDN w:val="0"/>
      <w:adjustRightInd/>
      <w:snapToGrid/>
      <w:spacing w:before="120" w:line="360" w:lineRule="exact"/>
      <w:ind w:firstLine="539" w:firstLineChars="0"/>
      <w:jc w:val="center"/>
      <w:textAlignment w:val="bottom"/>
      <w:outlineLvl w:val="6"/>
    </w:pPr>
    <w:rPr>
      <w:rFonts w:eastAsia="仿宋_GB2312"/>
      <w:b/>
      <w:bCs/>
      <w:sz w:val="24"/>
      <w:szCs w:val="20"/>
    </w:rPr>
  </w:style>
  <w:style w:type="paragraph" w:customStyle="1" w:styleId="1013">
    <w:name w:val="样式 正文缩进 + 宋体 小四"/>
    <w:basedOn w:val="21"/>
    <w:qFormat/>
    <w:uiPriority w:val="0"/>
    <w:pPr>
      <w:spacing w:beforeLines="50" w:afterLines="50" w:line="360" w:lineRule="exact"/>
      <w:ind w:firstLine="200" w:firstLineChars="200"/>
      <w:jc w:val="both"/>
    </w:pPr>
    <w:rPr>
      <w:rFonts w:eastAsia="仿宋_GB2312"/>
      <w:b w:val="0"/>
      <w:color w:val="auto"/>
      <w:kern w:val="2"/>
      <w:szCs w:val="20"/>
    </w:rPr>
  </w:style>
  <w:style w:type="paragraph" w:customStyle="1" w:styleId="1014">
    <w:name w:val="图表名"/>
    <w:basedOn w:val="1"/>
    <w:link w:val="1504"/>
    <w:qFormat/>
    <w:uiPriority w:val="0"/>
    <w:pPr>
      <w:adjustRightInd/>
      <w:snapToGrid/>
      <w:spacing w:before="120" w:line="360" w:lineRule="exact"/>
      <w:ind w:firstLine="482" w:firstLineChars="0"/>
      <w:jc w:val="center"/>
    </w:pPr>
    <w:rPr>
      <w:rFonts w:eastAsia="仿宋_GB2312"/>
      <w:b/>
      <w:sz w:val="24"/>
      <w:szCs w:val="20"/>
    </w:rPr>
  </w:style>
  <w:style w:type="paragraph" w:customStyle="1" w:styleId="1015">
    <w:name w:val="样式 标题 4 + 左侧:  1.48 厘米 首行缩进:  0 厘米"/>
    <w:basedOn w:val="6"/>
    <w:qFormat/>
    <w:uiPriority w:val="0"/>
    <w:pPr>
      <w:keepNext/>
      <w:keepLines/>
      <w:widowControl w:val="0"/>
      <w:numPr>
        <w:numId w:val="0"/>
      </w:numPr>
      <w:tabs>
        <w:tab w:val="left" w:pos="1680"/>
        <w:tab w:val="clear" w:pos="0"/>
      </w:tabs>
      <w:adjustRightInd/>
      <w:snapToGrid/>
      <w:spacing w:beforeLines="50" w:after="50" w:line="360" w:lineRule="exact"/>
      <w:ind w:firstLine="200" w:firstLineChars="200"/>
    </w:pPr>
    <w:rPr>
      <w:rFonts w:eastAsia="仿宋_GB2312" w:cs="宋体"/>
      <w:b w:val="0"/>
      <w:snapToGrid/>
      <w:sz w:val="24"/>
      <w:szCs w:val="20"/>
    </w:rPr>
  </w:style>
  <w:style w:type="paragraph" w:customStyle="1" w:styleId="1016">
    <w:name w:val="样式 标题 2 + 首行缩进:  2 字符"/>
    <w:basedOn w:val="4"/>
    <w:link w:val="1543"/>
    <w:qFormat/>
    <w:uiPriority w:val="0"/>
    <w:pPr>
      <w:keepNext/>
      <w:keepLines/>
      <w:widowControl w:val="0"/>
      <w:tabs>
        <w:tab w:val="clear" w:pos="0"/>
      </w:tabs>
      <w:spacing w:beforeLines="0" w:afterLines="0" w:line="360" w:lineRule="exact"/>
    </w:pPr>
    <w:rPr>
      <w:rFonts w:cs="宋体"/>
      <w:bCs w:val="0"/>
      <w:snapToGrid/>
      <w:sz w:val="24"/>
      <w:szCs w:val="20"/>
    </w:rPr>
  </w:style>
  <w:style w:type="paragraph" w:customStyle="1" w:styleId="1017">
    <w:name w:val="样式 标题 3 +"/>
    <w:basedOn w:val="5"/>
    <w:qFormat/>
    <w:uiPriority w:val="0"/>
    <w:pPr>
      <w:keepNext/>
      <w:keepLines/>
      <w:widowControl w:val="0"/>
      <w:tabs>
        <w:tab w:val="left" w:pos="1260"/>
        <w:tab w:val="left" w:pos="2160"/>
        <w:tab w:val="clear" w:pos="0"/>
      </w:tabs>
      <w:adjustRightInd/>
      <w:snapToGrid/>
      <w:spacing w:line="360" w:lineRule="exact"/>
      <w:ind w:firstLine="200"/>
    </w:pPr>
    <w:rPr>
      <w:rFonts w:eastAsia="黑体"/>
      <w:bCs/>
      <w:snapToGrid/>
      <w:szCs w:val="20"/>
    </w:rPr>
  </w:style>
  <w:style w:type="paragraph" w:customStyle="1" w:styleId="1018">
    <w:name w:val="样式 右侧:  0.2 厘米 段前: 2.5 磅"/>
    <w:basedOn w:val="1"/>
    <w:qFormat/>
    <w:uiPriority w:val="0"/>
    <w:pPr>
      <w:adjustRightInd/>
      <w:snapToGrid/>
      <w:spacing w:before="120" w:line="360" w:lineRule="exact"/>
      <w:ind w:firstLine="225" w:firstLineChars="0"/>
      <w:jc w:val="both"/>
    </w:pPr>
    <w:rPr>
      <w:rFonts w:eastAsia="仿宋_GB2312" w:cs="宋体"/>
      <w:sz w:val="24"/>
      <w:szCs w:val="20"/>
    </w:rPr>
  </w:style>
  <w:style w:type="character" w:customStyle="1" w:styleId="1019">
    <w:name w:val="author"/>
    <w:basedOn w:val="132"/>
    <w:qFormat/>
    <w:uiPriority w:val="0"/>
  </w:style>
  <w:style w:type="character" w:customStyle="1" w:styleId="1020">
    <w:name w:val="newcontentcss1"/>
    <w:qFormat/>
    <w:uiPriority w:val="0"/>
    <w:rPr>
      <w:sz w:val="18"/>
      <w:szCs w:val="18"/>
    </w:rPr>
  </w:style>
  <w:style w:type="paragraph" w:customStyle="1" w:styleId="1021">
    <w:name w:val="样式 表文 + 首行缩进:  2 字符"/>
    <w:basedOn w:val="1"/>
    <w:qFormat/>
    <w:uiPriority w:val="0"/>
    <w:pPr>
      <w:tabs>
        <w:tab w:val="left" w:pos="662"/>
      </w:tabs>
      <w:overflowPunct w:val="0"/>
      <w:adjustRightInd/>
      <w:snapToGrid/>
      <w:spacing w:line="240" w:lineRule="auto"/>
      <w:ind w:firstLine="0" w:firstLineChars="0"/>
      <w:jc w:val="center"/>
      <w:textAlignment w:val="baseline"/>
    </w:pPr>
    <w:rPr>
      <w:color w:val="000000"/>
      <w:sz w:val="21"/>
      <w:szCs w:val="20"/>
    </w:rPr>
  </w:style>
  <w:style w:type="paragraph" w:customStyle="1" w:styleId="1022">
    <w:name w:val="空行"/>
    <w:basedOn w:val="1"/>
    <w:qFormat/>
    <w:uiPriority w:val="0"/>
    <w:pPr>
      <w:adjustRightInd/>
      <w:snapToGrid/>
      <w:spacing w:line="300" w:lineRule="exact"/>
      <w:ind w:firstLine="482" w:firstLineChars="0"/>
      <w:jc w:val="both"/>
    </w:pPr>
    <w:rPr>
      <w:rFonts w:eastAsia="仿宋_GB2312"/>
      <w:sz w:val="24"/>
      <w:szCs w:val="20"/>
    </w:rPr>
  </w:style>
  <w:style w:type="character" w:customStyle="1" w:styleId="1023">
    <w:name w:val="textblack1"/>
    <w:qFormat/>
    <w:uiPriority w:val="0"/>
    <w:rPr>
      <w:color w:val="000000"/>
      <w:sz w:val="15"/>
      <w:szCs w:val="15"/>
      <w:u w:val="none"/>
    </w:rPr>
  </w:style>
  <w:style w:type="paragraph" w:customStyle="1" w:styleId="1024">
    <w:name w:val="样式 样式4 + 段前: 0.5 行"/>
    <w:basedOn w:val="224"/>
    <w:qFormat/>
    <w:uiPriority w:val="0"/>
    <w:pPr>
      <w:numPr>
        <w:ilvl w:val="0"/>
        <w:numId w:val="0"/>
      </w:numPr>
      <w:adjustRightInd w:val="0"/>
      <w:snapToGrid w:val="0"/>
      <w:spacing w:beforeLines="50" w:line="480" w:lineRule="exact"/>
      <w:jc w:val="center"/>
      <w:outlineLvl w:val="4"/>
    </w:pPr>
    <w:rPr>
      <w:b w:val="0"/>
      <w:snapToGrid w:val="0"/>
      <w:color w:val="auto"/>
      <w:kern w:val="2"/>
      <w:szCs w:val="20"/>
    </w:rPr>
  </w:style>
  <w:style w:type="character" w:customStyle="1" w:styleId="1025">
    <w:name w:val="表文字 Char1"/>
    <w:link w:val="792"/>
    <w:qFormat/>
    <w:uiPriority w:val="0"/>
    <w:rPr>
      <w:rFonts w:ascii="Times New Roman" w:hAnsi="Times New Roman" w:eastAsia="汉鼎简书宋"/>
      <w:kern w:val="2"/>
      <w:sz w:val="21"/>
      <w:szCs w:val="21"/>
    </w:rPr>
  </w:style>
  <w:style w:type="paragraph" w:customStyle="1" w:styleId="1026">
    <w:name w:val="样式 宋体 四号 行距: 1.5 倍行距"/>
    <w:basedOn w:val="1"/>
    <w:link w:val="1027"/>
    <w:qFormat/>
    <w:uiPriority w:val="0"/>
    <w:pPr>
      <w:adjustRightInd/>
      <w:snapToGrid/>
      <w:spacing w:afterLines="50" w:line="360" w:lineRule="auto"/>
      <w:ind w:firstLine="560"/>
      <w:jc w:val="both"/>
    </w:pPr>
    <w:rPr>
      <w:rFonts w:ascii="宋体" w:hAnsi="宋体" w:cs="宋体"/>
      <w:sz w:val="28"/>
      <w:szCs w:val="24"/>
    </w:rPr>
  </w:style>
  <w:style w:type="character" w:customStyle="1" w:styleId="1027">
    <w:name w:val="样式 宋体 四号 行距: 1.5 倍行距 Char"/>
    <w:link w:val="1026"/>
    <w:qFormat/>
    <w:uiPriority w:val="0"/>
    <w:rPr>
      <w:rFonts w:ascii="宋体" w:hAnsi="宋体" w:cs="宋体"/>
      <w:kern w:val="2"/>
      <w:sz w:val="28"/>
      <w:szCs w:val="24"/>
    </w:rPr>
  </w:style>
  <w:style w:type="paragraph" w:customStyle="1" w:styleId="1028">
    <w:name w:val="样式 左"/>
    <w:basedOn w:val="1"/>
    <w:link w:val="1029"/>
    <w:qFormat/>
    <w:uiPriority w:val="0"/>
    <w:pPr>
      <w:adjustRightInd/>
      <w:snapToGrid/>
      <w:spacing w:line="240" w:lineRule="auto"/>
      <w:ind w:firstLine="420"/>
    </w:pPr>
    <w:rPr>
      <w:rFonts w:cs="宋体"/>
      <w:sz w:val="21"/>
      <w:szCs w:val="24"/>
    </w:rPr>
  </w:style>
  <w:style w:type="character" w:customStyle="1" w:styleId="1029">
    <w:name w:val="样式 左 Char"/>
    <w:link w:val="1028"/>
    <w:qFormat/>
    <w:uiPriority w:val="0"/>
    <w:rPr>
      <w:rFonts w:ascii="Times New Roman" w:hAnsi="Times New Roman" w:cs="宋体"/>
      <w:kern w:val="2"/>
      <w:sz w:val="21"/>
      <w:szCs w:val="24"/>
    </w:rPr>
  </w:style>
  <w:style w:type="paragraph" w:customStyle="1" w:styleId="1030">
    <w:name w:val="表格文字居中"/>
    <w:basedOn w:val="1"/>
    <w:next w:val="1"/>
    <w:qFormat/>
    <w:uiPriority w:val="0"/>
    <w:pPr>
      <w:spacing w:line="460" w:lineRule="exact"/>
      <w:jc w:val="center"/>
    </w:pPr>
    <w:rPr>
      <w:snapToGrid w:val="0"/>
      <w:color w:val="000000"/>
      <w:sz w:val="22"/>
    </w:rPr>
  </w:style>
  <w:style w:type="character" w:customStyle="1" w:styleId="1031">
    <w:name w:val="样式6 Char"/>
    <w:link w:val="577"/>
    <w:qFormat/>
    <w:uiPriority w:val="0"/>
    <w:rPr>
      <w:rFonts w:ascii="Arial Narrow" w:hAnsi="Arial Narrow" w:eastAsia="仿宋_GB2312"/>
      <w:kern w:val="2"/>
      <w:sz w:val="24"/>
      <w:szCs w:val="24"/>
    </w:rPr>
  </w:style>
  <w:style w:type="paragraph" w:customStyle="1" w:styleId="1032">
    <w:name w:val="Char Char Char1"/>
    <w:basedOn w:val="1"/>
    <w:qFormat/>
    <w:uiPriority w:val="0"/>
    <w:pPr>
      <w:adjustRightInd/>
      <w:snapToGrid/>
      <w:spacing w:line="240" w:lineRule="auto"/>
      <w:ind w:firstLine="0" w:firstLineChars="0"/>
      <w:jc w:val="both"/>
    </w:pPr>
    <w:rPr>
      <w:sz w:val="24"/>
      <w:szCs w:val="24"/>
    </w:rPr>
  </w:style>
  <w:style w:type="paragraph" w:customStyle="1" w:styleId="1033">
    <w:name w:val="缺省文本_宋体"/>
    <w:basedOn w:val="1"/>
    <w:qFormat/>
    <w:uiPriority w:val="0"/>
    <w:pPr>
      <w:tabs>
        <w:tab w:val="left" w:pos="525"/>
        <w:tab w:val="center" w:pos="5670"/>
        <w:tab w:val="right" w:pos="7655"/>
      </w:tabs>
      <w:adjustRightInd/>
      <w:snapToGrid/>
      <w:spacing w:before="80" w:after="120" w:line="360" w:lineRule="auto"/>
      <w:ind w:firstLine="0" w:firstLineChars="0"/>
      <w:jc w:val="both"/>
      <w:outlineLvl w:val="7"/>
    </w:pPr>
    <w:rPr>
      <w:spacing w:val="16"/>
      <w:kern w:val="28"/>
      <w:sz w:val="24"/>
      <w:szCs w:val="20"/>
    </w:rPr>
  </w:style>
  <w:style w:type="character" w:customStyle="1" w:styleId="1034">
    <w:name w:val="款标题1.1.1.1 Char Char1"/>
    <w:qFormat/>
    <w:uiPriority w:val="0"/>
    <w:rPr>
      <w:rFonts w:ascii="Cambria" w:hAnsi="Cambria"/>
      <w:iCs/>
      <w:color w:val="000000"/>
      <w:sz w:val="24"/>
      <w:szCs w:val="24"/>
      <w:lang w:eastAsia="en-US" w:bidi="en-US"/>
    </w:rPr>
  </w:style>
  <w:style w:type="paragraph" w:customStyle="1" w:styleId="1035">
    <w:name w:val="Char21"/>
    <w:basedOn w:val="1"/>
    <w:qFormat/>
    <w:uiPriority w:val="0"/>
    <w:pPr>
      <w:widowControl/>
      <w:adjustRightInd/>
      <w:snapToGrid/>
      <w:spacing w:after="160" w:line="240" w:lineRule="exact"/>
      <w:ind w:firstLine="360" w:firstLineChars="0"/>
    </w:pPr>
    <w:rPr>
      <w:rFonts w:ascii="Verdana" w:hAnsi="Verdana" w:eastAsia="仿宋_GB2312"/>
      <w:kern w:val="0"/>
      <w:sz w:val="24"/>
      <w:szCs w:val="30"/>
      <w:lang w:eastAsia="en-US" w:bidi="en-US"/>
    </w:rPr>
  </w:style>
  <w:style w:type="paragraph" w:customStyle="1" w:styleId="1036">
    <w:name w:val="标题11"/>
    <w:basedOn w:val="1"/>
    <w:link w:val="2315"/>
    <w:qFormat/>
    <w:uiPriority w:val="0"/>
    <w:pPr>
      <w:widowControl/>
      <w:spacing w:beforeLines="50" w:afterLines="50" w:line="360" w:lineRule="auto"/>
      <w:ind w:firstLine="360" w:firstLineChars="0"/>
      <w:outlineLvl w:val="0"/>
    </w:pPr>
    <w:rPr>
      <w:rFonts w:ascii="Calibri" w:hAnsi="Calibri"/>
      <w:b/>
      <w:kern w:val="0"/>
      <w:sz w:val="36"/>
      <w:szCs w:val="36"/>
      <w:lang w:eastAsia="en-US" w:bidi="en-US"/>
    </w:rPr>
  </w:style>
  <w:style w:type="paragraph" w:customStyle="1" w:styleId="1037">
    <w:name w:val="样式 标题 1 + 段后: 7.8 磅"/>
    <w:basedOn w:val="3"/>
    <w:qFormat/>
    <w:uiPriority w:val="0"/>
    <w:pPr>
      <w:numPr>
        <w:numId w:val="0"/>
      </w:numPr>
      <w:pBdr>
        <w:bottom w:val="single" w:color="365F91" w:sz="12" w:space="1"/>
      </w:pBdr>
      <w:tabs>
        <w:tab w:val="clear" w:pos="0"/>
      </w:tabs>
      <w:adjustRightInd/>
      <w:snapToGrid/>
      <w:spacing w:beforeLines="0" w:afterLines="0" w:line="240" w:lineRule="auto"/>
      <w:jc w:val="left"/>
    </w:pPr>
    <w:rPr>
      <w:rFonts w:ascii="Cambria" w:hAnsi="Cambria" w:cs="宋体"/>
      <w:snapToGrid/>
      <w:color w:val="365F91"/>
      <w:kern w:val="0"/>
      <w:sz w:val="24"/>
      <w:szCs w:val="20"/>
      <w:lang w:val="zh-CN"/>
    </w:rPr>
  </w:style>
  <w:style w:type="paragraph" w:customStyle="1" w:styleId="1038">
    <w:name w:val="居中"/>
    <w:basedOn w:val="1"/>
    <w:qFormat/>
    <w:uiPriority w:val="0"/>
    <w:pPr>
      <w:widowControl/>
      <w:adjustRightInd/>
      <w:snapToGrid/>
      <w:spacing w:line="240" w:lineRule="auto"/>
      <w:ind w:firstLine="360" w:firstLineChars="0"/>
      <w:jc w:val="center"/>
    </w:pPr>
    <w:rPr>
      <w:rFonts w:ascii="Calibri" w:hAnsi="Calibri"/>
      <w:color w:val="000000"/>
      <w:kern w:val="0"/>
      <w:sz w:val="22"/>
      <w:szCs w:val="20"/>
      <w:lang w:eastAsia="en-US" w:bidi="en-US"/>
    </w:rPr>
  </w:style>
  <w:style w:type="paragraph" w:customStyle="1" w:styleId="1039">
    <w:name w:val="我的正文"/>
    <w:basedOn w:val="1"/>
    <w:link w:val="1040"/>
    <w:qFormat/>
    <w:uiPriority w:val="0"/>
    <w:pPr>
      <w:widowControl/>
      <w:adjustRightInd/>
      <w:snapToGrid/>
      <w:spacing w:line="240" w:lineRule="auto"/>
      <w:ind w:firstLine="538" w:firstLineChars="192"/>
    </w:pPr>
    <w:rPr>
      <w:rFonts w:ascii="Calibri" w:hAnsi="Calibri"/>
      <w:color w:val="000000"/>
      <w:sz w:val="28"/>
      <w:szCs w:val="24"/>
    </w:rPr>
  </w:style>
  <w:style w:type="character" w:customStyle="1" w:styleId="1040">
    <w:name w:val="我的正文 Char"/>
    <w:link w:val="1039"/>
    <w:qFormat/>
    <w:uiPriority w:val="0"/>
    <w:rPr>
      <w:color w:val="000000"/>
      <w:kern w:val="2"/>
      <w:sz w:val="28"/>
      <w:szCs w:val="24"/>
    </w:rPr>
  </w:style>
  <w:style w:type="paragraph" w:customStyle="1" w:styleId="1041">
    <w:name w:val="样式 标题 3小节名小节小节标题段头SottoparagrafoReh33heading 3- bodyh..."/>
    <w:basedOn w:val="5"/>
    <w:link w:val="1042"/>
    <w:qFormat/>
    <w:uiPriority w:val="0"/>
    <w:pPr>
      <w:tabs>
        <w:tab w:val="left" w:pos="1260"/>
        <w:tab w:val="clear" w:pos="0"/>
      </w:tabs>
      <w:adjustRightInd/>
      <w:snapToGrid/>
      <w:spacing w:before="200" w:after="80"/>
      <w:ind w:firstLine="200"/>
    </w:pPr>
    <w:rPr>
      <w:rFonts w:ascii="Calibri" w:hAnsi="Calibri" w:cs="宋体"/>
      <w:bCs/>
      <w:snapToGrid/>
      <w:color w:val="000000"/>
      <w:sz w:val="30"/>
      <w:szCs w:val="20"/>
    </w:rPr>
  </w:style>
  <w:style w:type="character" w:customStyle="1" w:styleId="1042">
    <w:name w:val="样式 标题 3小节名小节小节标题段头SottoparagrafoReh33heading 3- bodyh... Char"/>
    <w:link w:val="1041"/>
    <w:qFormat/>
    <w:uiPriority w:val="0"/>
    <w:rPr>
      <w:rFonts w:cs="宋体"/>
      <w:b/>
      <w:color w:val="000000"/>
      <w:kern w:val="2"/>
      <w:sz w:val="30"/>
    </w:rPr>
  </w:style>
  <w:style w:type="paragraph" w:customStyle="1" w:styleId="1043">
    <w:name w:val="样式 样式 标题 4项 + 非加粗 段前: 0.5 行 段后: 0.5 行 + 段前: 0.5 行 段后: 0.5 行"/>
    <w:basedOn w:val="1"/>
    <w:qFormat/>
    <w:uiPriority w:val="0"/>
    <w:pPr>
      <w:keepLines/>
      <w:widowControl/>
      <w:spacing w:line="360" w:lineRule="auto"/>
      <w:ind w:firstLine="480"/>
      <w:jc w:val="center"/>
    </w:pPr>
    <w:rPr>
      <w:rFonts w:ascii="Calibri" w:hAnsi="Calibri"/>
      <w:bCs/>
      <w:color w:val="000000"/>
      <w:kern w:val="0"/>
      <w:sz w:val="24"/>
      <w:lang w:eastAsia="en-US" w:bidi="en-US"/>
    </w:rPr>
  </w:style>
  <w:style w:type="paragraph" w:customStyle="1" w:styleId="1044">
    <w:name w:val="表名 Char Char Char Char"/>
    <w:basedOn w:val="1"/>
    <w:qFormat/>
    <w:uiPriority w:val="0"/>
    <w:pPr>
      <w:widowControl/>
      <w:autoSpaceDE w:val="0"/>
      <w:autoSpaceDN w:val="0"/>
      <w:spacing w:before="163" w:line="240" w:lineRule="auto"/>
      <w:ind w:firstLine="360" w:firstLineChars="0"/>
      <w:jc w:val="center"/>
      <w:textAlignment w:val="baseline"/>
    </w:pPr>
    <w:rPr>
      <w:rFonts w:ascii="Arial" w:hAnsi="Arial" w:eastAsia="黑体"/>
      <w:color w:val="000000"/>
      <w:kern w:val="0"/>
      <w:sz w:val="24"/>
      <w:szCs w:val="21"/>
      <w:lang w:eastAsia="en-US" w:bidi="en-US"/>
    </w:rPr>
  </w:style>
  <w:style w:type="paragraph" w:customStyle="1" w:styleId="1045">
    <w:name w:val="样式 样式 样式 样式 标题 3段 + + 段前: 1.5 行 段后: 1.5 行 + 段前: 1.5 行 段后: 1.5 行 ..."/>
    <w:basedOn w:val="1"/>
    <w:qFormat/>
    <w:uiPriority w:val="0"/>
    <w:pPr>
      <w:keepLines/>
      <w:widowControl/>
      <w:adjustRightInd/>
      <w:snapToGrid/>
      <w:spacing w:beforeLines="100" w:afterLines="100" w:line="240" w:lineRule="auto"/>
      <w:ind w:firstLine="360" w:firstLineChars="0"/>
      <w:outlineLvl w:val="2"/>
    </w:pPr>
    <w:rPr>
      <w:rFonts w:ascii="Calibri" w:hAnsi="Calibri" w:eastAsia="黑体" w:cs="宋体"/>
      <w:b/>
      <w:bCs/>
      <w:color w:val="000000"/>
      <w:kern w:val="0"/>
      <w:sz w:val="24"/>
      <w:szCs w:val="20"/>
      <w:lang w:eastAsia="en-US" w:bidi="en-US"/>
    </w:rPr>
  </w:style>
  <w:style w:type="paragraph" w:customStyle="1" w:styleId="1046">
    <w:name w:val="样式 标题 1章 + Times New Roman 二号 非加粗"/>
    <w:basedOn w:val="3"/>
    <w:qFormat/>
    <w:uiPriority w:val="0"/>
    <w:pPr>
      <w:numPr>
        <w:numId w:val="0"/>
      </w:numPr>
      <w:pBdr>
        <w:bottom w:val="single" w:color="365F91" w:sz="12" w:space="1"/>
      </w:pBdr>
      <w:tabs>
        <w:tab w:val="clear" w:pos="0"/>
      </w:tabs>
      <w:adjustRightInd/>
      <w:snapToGrid/>
      <w:spacing w:beforeLines="0" w:afterLines="0" w:line="240" w:lineRule="auto"/>
      <w:jc w:val="left"/>
    </w:pPr>
    <w:rPr>
      <w:rFonts w:ascii="Cambria" w:hAnsi="Cambria"/>
      <w:bCs w:val="0"/>
      <w:snapToGrid/>
      <w:color w:val="000000"/>
      <w:kern w:val="0"/>
      <w:sz w:val="24"/>
      <w:szCs w:val="20"/>
      <w:lang w:val="zh-CN"/>
    </w:rPr>
  </w:style>
  <w:style w:type="paragraph" w:customStyle="1" w:styleId="1047">
    <w:name w:val="样式 标题 2节 + 段前: 0.5 行 段后: 0.5 行"/>
    <w:basedOn w:val="4"/>
    <w:qFormat/>
    <w:uiPriority w:val="0"/>
    <w:pPr>
      <w:tabs>
        <w:tab w:val="clear" w:pos="0"/>
      </w:tabs>
      <w:spacing w:beforeLines="0" w:afterLines="0" w:line="360" w:lineRule="auto"/>
    </w:pPr>
    <w:rPr>
      <w:rFonts w:cs="宋体"/>
      <w:b w:val="0"/>
      <w:bCs w:val="0"/>
      <w:snapToGrid/>
      <w:color w:val="000000"/>
      <w:kern w:val="0"/>
      <w:sz w:val="24"/>
      <w:szCs w:val="24"/>
      <w:lang w:val="zh-CN" w:eastAsia="en-US" w:bidi="en-US"/>
    </w:rPr>
  </w:style>
  <w:style w:type="paragraph" w:customStyle="1" w:styleId="1048">
    <w:name w:val="样式 标题 4项 + 非加粗 段前: 0.5 行 段后: 0.5 行"/>
    <w:basedOn w:val="6"/>
    <w:qFormat/>
    <w:uiPriority w:val="0"/>
    <w:pPr>
      <w:numPr>
        <w:numId w:val="0"/>
      </w:numPr>
      <w:tabs>
        <w:tab w:val="left" w:pos="1680"/>
        <w:tab w:val="clear" w:pos="0"/>
      </w:tabs>
      <w:adjustRightInd/>
      <w:snapToGrid/>
      <w:spacing w:before="200" w:after="80" w:line="240" w:lineRule="auto"/>
      <w:ind w:firstLine="200" w:firstLineChars="200"/>
      <w:jc w:val="center"/>
    </w:pPr>
    <w:rPr>
      <w:rFonts w:ascii="Cambria" w:hAnsi="Cambria" w:cs="宋体"/>
      <w:bCs w:val="0"/>
      <w:iCs/>
      <w:snapToGrid/>
      <w:color w:val="000000"/>
      <w:kern w:val="0"/>
      <w:sz w:val="24"/>
      <w:szCs w:val="24"/>
      <w:lang w:val="zh-CN" w:eastAsia="en-US" w:bidi="en-US"/>
    </w:rPr>
  </w:style>
  <w:style w:type="paragraph" w:customStyle="1" w:styleId="1049">
    <w:name w:val="Char Char Char Char Char Char Char Char Char Char Char Char Char Char Char Char Char Char Char Char Char Char Char Char Char Char Char Char Char Char Char"/>
    <w:basedOn w:val="1"/>
    <w:qFormat/>
    <w:uiPriority w:val="0"/>
    <w:pPr>
      <w:widowControl/>
      <w:adjustRightInd/>
      <w:snapToGrid/>
      <w:spacing w:line="240" w:lineRule="auto"/>
      <w:ind w:firstLine="360" w:firstLineChars="0"/>
    </w:pPr>
    <w:rPr>
      <w:rFonts w:ascii="Calibri" w:hAnsi="Calibri"/>
      <w:kern w:val="0"/>
      <w:sz w:val="22"/>
      <w:lang w:eastAsia="en-US" w:bidi="en-US"/>
    </w:rPr>
  </w:style>
  <w:style w:type="paragraph" w:customStyle="1" w:styleId="1050">
    <w:name w:val="样式 样式3 + 黑色"/>
    <w:basedOn w:val="1"/>
    <w:qFormat/>
    <w:uiPriority w:val="0"/>
    <w:pPr>
      <w:widowControl/>
      <w:adjustRightInd/>
      <w:snapToGrid/>
      <w:spacing w:line="240" w:lineRule="auto"/>
      <w:ind w:firstLine="480"/>
    </w:pPr>
    <w:rPr>
      <w:rFonts w:ascii="Calibri" w:hAnsi="Calibri" w:eastAsia="华文中宋"/>
      <w:color w:val="000000"/>
      <w:kern w:val="0"/>
      <w:sz w:val="24"/>
      <w:lang w:eastAsia="en-US" w:bidi="en-US"/>
    </w:rPr>
  </w:style>
  <w:style w:type="paragraph" w:customStyle="1" w:styleId="1051">
    <w:name w:val="表单位"/>
    <w:basedOn w:val="1"/>
    <w:link w:val="1309"/>
    <w:qFormat/>
    <w:uiPriority w:val="0"/>
    <w:pPr>
      <w:widowControl/>
      <w:adjustRightInd/>
      <w:snapToGrid/>
      <w:spacing w:line="360" w:lineRule="auto"/>
      <w:jc w:val="center"/>
    </w:pPr>
    <w:rPr>
      <w:rFonts w:ascii="宋体" w:hAnsi="Calibri"/>
      <w:kern w:val="0"/>
      <w:sz w:val="24"/>
      <w:lang w:eastAsia="en-US" w:bidi="en-US"/>
    </w:rPr>
  </w:style>
  <w:style w:type="character" w:customStyle="1" w:styleId="1052">
    <w:name w:val="style71"/>
    <w:qFormat/>
    <w:uiPriority w:val="0"/>
    <w:rPr>
      <w:color w:val="990000"/>
    </w:rPr>
  </w:style>
  <w:style w:type="paragraph" w:customStyle="1" w:styleId="1053">
    <w:name w:val="样式 正文文字 + 首行缩进:  2 字符"/>
    <w:basedOn w:val="1"/>
    <w:qFormat/>
    <w:uiPriority w:val="0"/>
    <w:pPr>
      <w:widowControl/>
      <w:spacing w:line="360" w:lineRule="auto"/>
      <w:ind w:firstLine="0" w:firstLineChars="0"/>
      <w:jc w:val="center"/>
    </w:pPr>
    <w:rPr>
      <w:rFonts w:ascii="Times" w:hAnsi="Times" w:cs="宋体"/>
      <w:b/>
      <w:color w:val="000000"/>
      <w:kern w:val="0"/>
      <w:sz w:val="21"/>
      <w:szCs w:val="21"/>
      <w:lang w:bidi="en-US"/>
    </w:rPr>
  </w:style>
  <w:style w:type="paragraph" w:customStyle="1" w:styleId="1054">
    <w:name w:val="表名"/>
    <w:basedOn w:val="1"/>
    <w:link w:val="1872"/>
    <w:qFormat/>
    <w:uiPriority w:val="0"/>
    <w:pPr>
      <w:widowControl/>
      <w:wordWrap w:val="0"/>
      <w:spacing w:line="360" w:lineRule="auto"/>
      <w:ind w:firstLine="480"/>
      <w:jc w:val="center"/>
    </w:pPr>
    <w:rPr>
      <w:rFonts w:ascii="Calibri" w:hAnsi="Calibri"/>
      <w:bCs/>
      <w:kern w:val="0"/>
      <w:sz w:val="24"/>
      <w:lang w:eastAsia="en-US" w:bidi="en-US"/>
    </w:rPr>
  </w:style>
  <w:style w:type="character" w:customStyle="1" w:styleId="1055">
    <w:name w:val="question-title"/>
    <w:basedOn w:val="132"/>
    <w:qFormat/>
    <w:uiPriority w:val="0"/>
  </w:style>
  <w:style w:type="paragraph" w:customStyle="1" w:styleId="1056">
    <w:name w:val="无间隔1"/>
    <w:basedOn w:val="1"/>
    <w:qFormat/>
    <w:uiPriority w:val="0"/>
    <w:pPr>
      <w:widowControl/>
      <w:adjustRightInd/>
      <w:snapToGrid/>
      <w:spacing w:line="240" w:lineRule="auto"/>
      <w:ind w:firstLine="0" w:firstLineChars="0"/>
    </w:pPr>
    <w:rPr>
      <w:rFonts w:ascii="Calibri" w:hAnsi="Calibri"/>
      <w:kern w:val="0"/>
      <w:sz w:val="22"/>
      <w:lang w:eastAsia="en-US" w:bidi="en-US"/>
    </w:rPr>
  </w:style>
  <w:style w:type="paragraph" w:customStyle="1" w:styleId="1057">
    <w:name w:val="引用1"/>
    <w:basedOn w:val="1"/>
    <w:next w:val="1"/>
    <w:qFormat/>
    <w:uiPriority w:val="0"/>
    <w:pPr>
      <w:widowControl/>
      <w:adjustRightInd/>
      <w:snapToGrid/>
      <w:spacing w:line="240" w:lineRule="auto"/>
      <w:ind w:firstLine="360" w:firstLineChars="0"/>
    </w:pPr>
    <w:rPr>
      <w:rFonts w:ascii="Cambria" w:hAnsi="Cambria"/>
      <w:i/>
      <w:iCs/>
      <w:color w:val="5A5A5A"/>
      <w:kern w:val="0"/>
      <w:sz w:val="20"/>
      <w:szCs w:val="20"/>
      <w:lang w:val="zh-CN"/>
    </w:rPr>
  </w:style>
  <w:style w:type="paragraph" w:customStyle="1" w:styleId="1058">
    <w:name w:val="明显引用1"/>
    <w:basedOn w:val="1"/>
    <w:next w:val="1"/>
    <w:qFormat/>
    <w:uiPriority w:val="0"/>
    <w:pPr>
      <w:widowControl/>
      <w:pBdr>
        <w:top w:val="single" w:color="B8CCE4" w:sz="12" w:space="10"/>
        <w:left w:val="single" w:color="4F81BD" w:sz="36" w:space="4"/>
        <w:bottom w:val="single" w:color="9BBB59" w:sz="24" w:space="10"/>
        <w:right w:val="single" w:color="4F81BD" w:sz="36" w:space="4"/>
      </w:pBdr>
      <w:shd w:val="clear" w:color="auto" w:fill="4F81BD"/>
      <w:adjustRightInd/>
      <w:snapToGrid/>
      <w:spacing w:before="320" w:after="320" w:line="300" w:lineRule="auto"/>
      <w:ind w:left="1440" w:right="1440" w:firstLine="360" w:firstLineChars="0"/>
    </w:pPr>
    <w:rPr>
      <w:rFonts w:ascii="Cambria" w:hAnsi="Cambria"/>
      <w:i/>
      <w:iCs/>
      <w:color w:val="FFFFFF"/>
      <w:kern w:val="0"/>
      <w:sz w:val="24"/>
      <w:szCs w:val="24"/>
      <w:lang w:val="zh-CN"/>
    </w:rPr>
  </w:style>
  <w:style w:type="character" w:customStyle="1" w:styleId="1059">
    <w:name w:val="不明显强调11"/>
    <w:qFormat/>
    <w:uiPriority w:val="0"/>
    <w:rPr>
      <w:i/>
      <w:iCs/>
      <w:color w:val="5A5A5A"/>
    </w:rPr>
  </w:style>
  <w:style w:type="character" w:customStyle="1" w:styleId="1060">
    <w:name w:val="明显强调11"/>
    <w:qFormat/>
    <w:uiPriority w:val="0"/>
    <w:rPr>
      <w:b/>
      <w:bCs/>
      <w:i/>
      <w:iCs/>
      <w:color w:val="4F81BD"/>
      <w:sz w:val="22"/>
      <w:szCs w:val="22"/>
    </w:rPr>
  </w:style>
  <w:style w:type="character" w:customStyle="1" w:styleId="1061">
    <w:name w:val="不明显参考11"/>
    <w:qFormat/>
    <w:uiPriority w:val="0"/>
    <w:rPr>
      <w:color w:val="auto"/>
      <w:u w:val="single" w:color="9BBB59"/>
    </w:rPr>
  </w:style>
  <w:style w:type="character" w:customStyle="1" w:styleId="1062">
    <w:name w:val="明显参考111"/>
    <w:qFormat/>
    <w:uiPriority w:val="0"/>
    <w:rPr>
      <w:b/>
      <w:bCs/>
      <w:color w:val="76923C"/>
      <w:u w:val="single" w:color="9BBB59"/>
    </w:rPr>
  </w:style>
  <w:style w:type="character" w:customStyle="1" w:styleId="1063">
    <w:name w:val="书籍标题11"/>
    <w:qFormat/>
    <w:uiPriority w:val="33"/>
    <w:rPr>
      <w:rFonts w:ascii="Cambria" w:hAnsi="Cambria" w:eastAsia="宋体" w:cs="Times New Roman"/>
      <w:b/>
      <w:bCs/>
      <w:i/>
      <w:iCs/>
      <w:color w:val="auto"/>
    </w:rPr>
  </w:style>
  <w:style w:type="character" w:customStyle="1" w:styleId="1064">
    <w:name w:val="正文粗 Char"/>
    <w:qFormat/>
    <w:uiPriority w:val="0"/>
    <w:rPr>
      <w:rFonts w:eastAsia="宋体"/>
      <w:b/>
      <w:sz w:val="24"/>
      <w:lang w:val="en-US" w:eastAsia="zh-CN"/>
    </w:rPr>
  </w:style>
  <w:style w:type="character" w:customStyle="1" w:styleId="1065">
    <w:name w:val="Char Char22"/>
    <w:qFormat/>
    <w:uiPriority w:val="0"/>
    <w:rPr>
      <w:sz w:val="18"/>
      <w:lang w:eastAsia="en-US" w:bidi="en-US"/>
    </w:rPr>
  </w:style>
  <w:style w:type="character" w:customStyle="1" w:styleId="1066">
    <w:name w:val="C样式 Char"/>
    <w:link w:val="1067"/>
    <w:qFormat/>
    <w:uiPriority w:val="0"/>
    <w:rPr>
      <w:rFonts w:ascii="宋体" w:hAnsi="宋体"/>
      <w:snapToGrid w:val="0"/>
      <w:kern w:val="24"/>
      <w:sz w:val="24"/>
    </w:rPr>
  </w:style>
  <w:style w:type="paragraph" w:customStyle="1" w:styleId="1067">
    <w:name w:val="C样式"/>
    <w:basedOn w:val="21"/>
    <w:link w:val="1066"/>
    <w:qFormat/>
    <w:uiPriority w:val="0"/>
    <w:pPr>
      <w:spacing w:line="440" w:lineRule="exact"/>
      <w:ind w:firstLine="424" w:firstLineChars="200"/>
      <w:jc w:val="both"/>
    </w:pPr>
    <w:rPr>
      <w:rFonts w:ascii="宋体" w:hAnsi="宋体"/>
      <w:b w:val="0"/>
      <w:snapToGrid w:val="0"/>
      <w:color w:val="auto"/>
      <w:kern w:val="24"/>
      <w:szCs w:val="20"/>
    </w:rPr>
  </w:style>
  <w:style w:type="paragraph" w:customStyle="1" w:styleId="1068">
    <w:name w:val="报告正文"/>
    <w:qFormat/>
    <w:uiPriority w:val="0"/>
    <w:pPr>
      <w:spacing w:line="500" w:lineRule="atLeast"/>
      <w:ind w:firstLine="200" w:firstLineChars="200"/>
      <w:jc w:val="both"/>
    </w:pPr>
    <w:rPr>
      <w:rFonts w:ascii="Times New Roman" w:hAnsi="Times New Roman" w:eastAsia="Times New Roman" w:cs="Times New Roman"/>
      <w:kern w:val="2"/>
      <w:sz w:val="28"/>
      <w:lang w:val="en-US" w:eastAsia="zh-CN" w:bidi="ar-SA"/>
    </w:rPr>
  </w:style>
  <w:style w:type="paragraph" w:customStyle="1" w:styleId="1069">
    <w:name w:val="标准正文格式"/>
    <w:basedOn w:val="1"/>
    <w:qFormat/>
    <w:uiPriority w:val="0"/>
    <w:pPr>
      <w:adjustRightInd/>
      <w:snapToGrid/>
      <w:spacing w:line="360" w:lineRule="auto"/>
      <w:ind w:firstLine="480"/>
    </w:pPr>
    <w:rPr>
      <w:rFonts w:ascii="宋体" w:hAnsi="宋体"/>
      <w:color w:val="000000"/>
      <w:kern w:val="0"/>
      <w:sz w:val="24"/>
      <w:szCs w:val="20"/>
    </w:rPr>
  </w:style>
  <w:style w:type="paragraph" w:customStyle="1" w:styleId="1070">
    <w:name w:val="样式 样式 样式 样式 样式4 + 首行缩进:  0.75 字符 + 首行缩进:  2 字符 + 首行缩进:  2 字符 + 首..."/>
    <w:basedOn w:val="1"/>
    <w:qFormat/>
    <w:uiPriority w:val="0"/>
    <w:pPr>
      <w:ind w:firstLine="560"/>
      <w:jc w:val="both"/>
    </w:pPr>
    <w:rPr>
      <w:rFonts w:ascii="仿宋_GB2312" w:hAnsi="宋体" w:eastAsia="仿宋_GB2312"/>
      <w:kern w:val="0"/>
      <w:sz w:val="28"/>
      <w:szCs w:val="20"/>
    </w:rPr>
  </w:style>
  <w:style w:type="paragraph" w:customStyle="1" w:styleId="1071">
    <w:name w:val="地告正文"/>
    <w:basedOn w:val="1"/>
    <w:qFormat/>
    <w:uiPriority w:val="0"/>
    <w:pPr>
      <w:spacing w:line="620" w:lineRule="atLeast"/>
      <w:jc w:val="both"/>
    </w:pPr>
    <w:rPr>
      <w:sz w:val="28"/>
      <w:szCs w:val="24"/>
    </w:rPr>
  </w:style>
  <w:style w:type="paragraph" w:customStyle="1" w:styleId="1072">
    <w:name w:val="CM2"/>
    <w:basedOn w:val="1"/>
    <w:next w:val="1"/>
    <w:qFormat/>
    <w:uiPriority w:val="0"/>
    <w:pPr>
      <w:autoSpaceDE w:val="0"/>
      <w:autoSpaceDN w:val="0"/>
      <w:snapToGrid/>
      <w:spacing w:line="468" w:lineRule="atLeast"/>
      <w:ind w:firstLine="0" w:firstLineChars="0"/>
    </w:pPr>
    <w:rPr>
      <w:kern w:val="0"/>
      <w:sz w:val="24"/>
      <w:szCs w:val="24"/>
    </w:rPr>
  </w:style>
  <w:style w:type="paragraph" w:customStyle="1" w:styleId="1073">
    <w:name w:val="CM3"/>
    <w:basedOn w:val="1"/>
    <w:next w:val="1"/>
    <w:qFormat/>
    <w:uiPriority w:val="0"/>
    <w:pPr>
      <w:autoSpaceDE w:val="0"/>
      <w:autoSpaceDN w:val="0"/>
      <w:snapToGrid/>
      <w:spacing w:line="468" w:lineRule="atLeast"/>
      <w:ind w:firstLine="0" w:firstLineChars="0"/>
    </w:pPr>
    <w:rPr>
      <w:kern w:val="0"/>
      <w:sz w:val="24"/>
      <w:szCs w:val="24"/>
    </w:rPr>
  </w:style>
  <w:style w:type="paragraph" w:customStyle="1" w:styleId="1074">
    <w:name w:val="CM82"/>
    <w:basedOn w:val="1"/>
    <w:next w:val="1"/>
    <w:qFormat/>
    <w:uiPriority w:val="0"/>
    <w:pPr>
      <w:autoSpaceDE w:val="0"/>
      <w:autoSpaceDN w:val="0"/>
      <w:snapToGrid/>
      <w:spacing w:after="83" w:line="240" w:lineRule="auto"/>
      <w:ind w:firstLine="0" w:firstLineChars="0"/>
    </w:pPr>
    <w:rPr>
      <w:kern w:val="0"/>
      <w:sz w:val="24"/>
      <w:szCs w:val="24"/>
    </w:rPr>
  </w:style>
  <w:style w:type="paragraph" w:customStyle="1" w:styleId="1075">
    <w:name w:val="CM11"/>
    <w:basedOn w:val="201"/>
    <w:next w:val="201"/>
    <w:qFormat/>
    <w:uiPriority w:val="0"/>
    <w:pPr>
      <w:spacing w:line="468" w:lineRule="atLeast"/>
    </w:pPr>
    <w:rPr>
      <w:rFonts w:ascii="Times New Roman" w:cs="Times New Roman"/>
      <w:color w:val="auto"/>
    </w:rPr>
  </w:style>
  <w:style w:type="paragraph" w:customStyle="1" w:styleId="1076">
    <w:name w:val="CM81"/>
    <w:basedOn w:val="201"/>
    <w:next w:val="201"/>
    <w:qFormat/>
    <w:uiPriority w:val="0"/>
    <w:pPr>
      <w:spacing w:after="290"/>
    </w:pPr>
    <w:rPr>
      <w:rFonts w:ascii="Times New Roman" w:cs="Times New Roman"/>
      <w:color w:val="auto"/>
    </w:rPr>
  </w:style>
  <w:style w:type="paragraph" w:customStyle="1" w:styleId="1077">
    <w:name w:val="CM28"/>
    <w:basedOn w:val="201"/>
    <w:next w:val="201"/>
    <w:qFormat/>
    <w:uiPriority w:val="0"/>
    <w:rPr>
      <w:rFonts w:ascii="Times New Roman" w:cs="Times New Roman"/>
      <w:color w:val="auto"/>
    </w:rPr>
  </w:style>
  <w:style w:type="paragraph" w:customStyle="1" w:styleId="1078">
    <w:name w:val="CM14"/>
    <w:basedOn w:val="201"/>
    <w:next w:val="201"/>
    <w:qFormat/>
    <w:uiPriority w:val="0"/>
    <w:pPr>
      <w:spacing w:line="468" w:lineRule="atLeast"/>
    </w:pPr>
    <w:rPr>
      <w:rFonts w:ascii="Times New Roman" w:cs="Times New Roman"/>
      <w:color w:val="auto"/>
    </w:rPr>
  </w:style>
  <w:style w:type="paragraph" w:customStyle="1" w:styleId="1079">
    <w:name w:val="CM85"/>
    <w:basedOn w:val="201"/>
    <w:next w:val="201"/>
    <w:qFormat/>
    <w:uiPriority w:val="0"/>
    <w:pPr>
      <w:spacing w:after="165"/>
    </w:pPr>
    <w:rPr>
      <w:rFonts w:ascii="Times New Roman" w:cs="Times New Roman"/>
      <w:color w:val="auto"/>
    </w:rPr>
  </w:style>
  <w:style w:type="paragraph" w:customStyle="1" w:styleId="1080">
    <w:name w:val="CM86"/>
    <w:basedOn w:val="201"/>
    <w:next w:val="201"/>
    <w:qFormat/>
    <w:uiPriority w:val="0"/>
    <w:pPr>
      <w:spacing w:after="403"/>
    </w:pPr>
    <w:rPr>
      <w:rFonts w:ascii="Times New Roman" w:cs="Times New Roman"/>
      <w:color w:val="auto"/>
    </w:rPr>
  </w:style>
  <w:style w:type="paragraph" w:customStyle="1" w:styleId="1081">
    <w:name w:val="CM12"/>
    <w:basedOn w:val="201"/>
    <w:next w:val="201"/>
    <w:qFormat/>
    <w:uiPriority w:val="0"/>
    <w:pPr>
      <w:spacing w:line="468" w:lineRule="atLeast"/>
    </w:pPr>
    <w:rPr>
      <w:rFonts w:ascii="Times New Roman" w:cs="Times New Roman"/>
      <w:color w:val="auto"/>
    </w:rPr>
  </w:style>
  <w:style w:type="paragraph" w:customStyle="1" w:styleId="1082">
    <w:name w:val="CM29"/>
    <w:basedOn w:val="201"/>
    <w:next w:val="201"/>
    <w:qFormat/>
    <w:uiPriority w:val="0"/>
    <w:pPr>
      <w:spacing w:line="468" w:lineRule="atLeast"/>
    </w:pPr>
    <w:rPr>
      <w:rFonts w:ascii="Times New Roman" w:cs="Times New Roman"/>
      <w:color w:val="auto"/>
    </w:rPr>
  </w:style>
  <w:style w:type="paragraph" w:customStyle="1" w:styleId="1083">
    <w:name w:val="CM4"/>
    <w:basedOn w:val="201"/>
    <w:next w:val="201"/>
    <w:qFormat/>
    <w:uiPriority w:val="0"/>
    <w:pPr>
      <w:spacing w:line="468" w:lineRule="atLeast"/>
    </w:pPr>
    <w:rPr>
      <w:rFonts w:ascii="Times New Roman" w:cs="Times New Roman"/>
      <w:color w:val="auto"/>
    </w:rPr>
  </w:style>
  <w:style w:type="paragraph" w:customStyle="1" w:styleId="1084">
    <w:name w:val="CM93"/>
    <w:basedOn w:val="201"/>
    <w:next w:val="201"/>
    <w:qFormat/>
    <w:uiPriority w:val="0"/>
    <w:pPr>
      <w:spacing w:after="238"/>
    </w:pPr>
    <w:rPr>
      <w:rFonts w:ascii="Times New Roman" w:cs="Times New Roman"/>
      <w:color w:val="auto"/>
    </w:rPr>
  </w:style>
  <w:style w:type="paragraph" w:customStyle="1" w:styleId="1085">
    <w:name w:val="CM95"/>
    <w:basedOn w:val="201"/>
    <w:next w:val="201"/>
    <w:qFormat/>
    <w:uiPriority w:val="0"/>
    <w:pPr>
      <w:spacing w:after="528"/>
    </w:pPr>
    <w:rPr>
      <w:rFonts w:ascii="Times New Roman" w:cs="Times New Roman"/>
      <w:color w:val="auto"/>
    </w:rPr>
  </w:style>
  <w:style w:type="paragraph" w:customStyle="1" w:styleId="1086">
    <w:name w:val="CM45"/>
    <w:basedOn w:val="201"/>
    <w:next w:val="201"/>
    <w:qFormat/>
    <w:uiPriority w:val="0"/>
    <w:pPr>
      <w:spacing w:line="428" w:lineRule="atLeast"/>
    </w:pPr>
    <w:rPr>
      <w:rFonts w:ascii="Times New Roman" w:cs="Times New Roman"/>
      <w:color w:val="auto"/>
    </w:rPr>
  </w:style>
  <w:style w:type="paragraph" w:customStyle="1" w:styleId="1087">
    <w:name w:val="CM67"/>
    <w:basedOn w:val="201"/>
    <w:next w:val="201"/>
    <w:qFormat/>
    <w:uiPriority w:val="0"/>
    <w:pPr>
      <w:spacing w:line="531" w:lineRule="atLeast"/>
    </w:pPr>
    <w:rPr>
      <w:rFonts w:ascii="Times New Roman" w:cs="Times New Roman"/>
      <w:color w:val="auto"/>
    </w:rPr>
  </w:style>
  <w:style w:type="paragraph" w:customStyle="1" w:styleId="1088">
    <w:name w:val="CM68"/>
    <w:basedOn w:val="201"/>
    <w:next w:val="201"/>
    <w:qFormat/>
    <w:uiPriority w:val="0"/>
    <w:pPr>
      <w:spacing w:line="533" w:lineRule="atLeast"/>
    </w:pPr>
    <w:rPr>
      <w:rFonts w:ascii="Times New Roman" w:cs="Times New Roman"/>
      <w:color w:val="auto"/>
    </w:rPr>
  </w:style>
  <w:style w:type="paragraph" w:customStyle="1" w:styleId="1089">
    <w:name w:val="CM69"/>
    <w:basedOn w:val="201"/>
    <w:next w:val="201"/>
    <w:qFormat/>
    <w:uiPriority w:val="0"/>
    <w:pPr>
      <w:spacing w:line="538" w:lineRule="atLeast"/>
    </w:pPr>
    <w:rPr>
      <w:rFonts w:ascii="Times New Roman" w:cs="Times New Roman"/>
      <w:color w:val="auto"/>
    </w:rPr>
  </w:style>
  <w:style w:type="paragraph" w:customStyle="1" w:styleId="1090">
    <w:name w:val="CM15"/>
    <w:basedOn w:val="201"/>
    <w:next w:val="201"/>
    <w:qFormat/>
    <w:uiPriority w:val="0"/>
    <w:pPr>
      <w:spacing w:line="468" w:lineRule="atLeast"/>
    </w:pPr>
    <w:rPr>
      <w:rFonts w:ascii="Times New Roman" w:cs="Times New Roman"/>
      <w:color w:val="auto"/>
    </w:rPr>
  </w:style>
  <w:style w:type="character" w:customStyle="1" w:styleId="1091">
    <w:name w:val="款标题1.1.1.1 Char Char"/>
    <w:qFormat/>
    <w:uiPriority w:val="0"/>
    <w:rPr>
      <w:rFonts w:ascii="仿宋_GB2312" w:eastAsia="仿宋_GB2312"/>
      <w:kern w:val="2"/>
      <w:sz w:val="28"/>
      <w:lang w:val="en-US" w:eastAsia="zh-CN" w:bidi="ar-SA"/>
    </w:rPr>
  </w:style>
  <w:style w:type="character" w:customStyle="1" w:styleId="1092">
    <w:name w:val="标题1.1.1.1.1 Char Char"/>
    <w:qFormat/>
    <w:uiPriority w:val="0"/>
    <w:rPr>
      <w:rFonts w:ascii="仿宋_GB2312" w:eastAsia="仿宋_GB2312"/>
      <w:b/>
      <w:kern w:val="2"/>
      <w:sz w:val="28"/>
      <w:lang w:val="en-US" w:eastAsia="zh-CN" w:bidi="ar-SA"/>
    </w:rPr>
  </w:style>
  <w:style w:type="character" w:customStyle="1" w:styleId="1093">
    <w:name w:val="目标题 1) Char Char"/>
    <w:qFormat/>
    <w:uiPriority w:val="0"/>
    <w:rPr>
      <w:rFonts w:ascii="Arial" w:hAnsi="Arial" w:eastAsia="黑体"/>
      <w:kern w:val="2"/>
      <w:sz w:val="24"/>
      <w:lang w:val="en-US" w:eastAsia="zh-CN" w:bidi="ar-SA"/>
    </w:rPr>
  </w:style>
  <w:style w:type="character" w:customStyle="1" w:styleId="1094">
    <w:name w:val="干标题(a) Char Char"/>
    <w:qFormat/>
    <w:uiPriority w:val="0"/>
    <w:rPr>
      <w:rFonts w:ascii="Arial" w:hAnsi="Arial" w:eastAsia="黑体"/>
      <w:kern w:val="2"/>
      <w:sz w:val="28"/>
      <w:lang w:val="en-US" w:eastAsia="zh-CN" w:bidi="ar-SA"/>
    </w:rPr>
  </w:style>
  <w:style w:type="character" w:customStyle="1" w:styleId="1095">
    <w:name w:val="仿宋体正文 Char Char"/>
    <w:qFormat/>
    <w:uiPriority w:val="0"/>
    <w:rPr>
      <w:rFonts w:eastAsia="宋体"/>
      <w:kern w:val="2"/>
      <w:sz w:val="28"/>
      <w:lang w:val="en-US" w:eastAsia="zh-CN" w:bidi="ar-SA"/>
    </w:rPr>
  </w:style>
  <w:style w:type="paragraph" w:customStyle="1" w:styleId="1096">
    <w:name w:val="样式 普通(网站) + 段前: 自动 段后: 自动 行距: 最小值 24 磅"/>
    <w:basedOn w:val="81"/>
    <w:qFormat/>
    <w:uiPriority w:val="0"/>
    <w:pPr>
      <w:spacing w:beforeAutospacing="0" w:after="0" w:afterAutospacing="0" w:line="480" w:lineRule="exact"/>
      <w:ind w:firstLine="200" w:firstLineChars="200"/>
    </w:pPr>
    <w:rPr>
      <w:rFonts w:ascii="Times New Roman" w:hAnsi="Times New Roman"/>
      <w:sz w:val="28"/>
      <w:szCs w:val="20"/>
    </w:rPr>
  </w:style>
  <w:style w:type="paragraph" w:customStyle="1" w:styleId="1097">
    <w:name w:val="公司名"/>
    <w:basedOn w:val="1"/>
    <w:qFormat/>
    <w:uiPriority w:val="0"/>
    <w:pPr>
      <w:framePr w:w="3840" w:h="1366" w:wrap="notBeside" w:vAnchor="page" w:hAnchor="margin" w:y="889" w:anchorLock="1"/>
      <w:widowControl/>
      <w:tabs>
        <w:tab w:val="left" w:pos="-145"/>
        <w:tab w:val="left" w:pos="0"/>
        <w:tab w:val="left" w:pos="37"/>
        <w:tab w:val="left" w:pos="580"/>
        <w:tab w:val="left" w:pos="4500"/>
        <w:tab w:val="left" w:pos="5160"/>
      </w:tabs>
      <w:adjustRightInd/>
      <w:snapToGrid/>
      <w:spacing w:line="280" w:lineRule="atLeast"/>
      <w:ind w:firstLine="0" w:firstLineChars="0"/>
    </w:pPr>
    <w:rPr>
      <w:rFonts w:ascii="宋体" w:hAnsi="宋体"/>
      <w:spacing w:val="-25"/>
      <w:kern w:val="0"/>
      <w:sz w:val="18"/>
      <w:szCs w:val="18"/>
    </w:rPr>
  </w:style>
  <w:style w:type="paragraph" w:customStyle="1" w:styleId="1098">
    <w:name w:val="主题行"/>
    <w:basedOn w:val="1"/>
    <w:next w:val="34"/>
    <w:qFormat/>
    <w:uiPriority w:val="0"/>
    <w:pPr>
      <w:widowControl/>
      <w:tabs>
        <w:tab w:val="left" w:pos="-145"/>
        <w:tab w:val="left" w:pos="0"/>
        <w:tab w:val="left" w:pos="37"/>
        <w:tab w:val="left" w:pos="580"/>
        <w:tab w:val="left" w:pos="4500"/>
        <w:tab w:val="left" w:pos="5160"/>
      </w:tabs>
      <w:adjustRightInd/>
      <w:snapToGrid/>
      <w:spacing w:after="220" w:line="220" w:lineRule="atLeast"/>
      <w:ind w:firstLine="0" w:firstLineChars="0"/>
    </w:pPr>
    <w:rPr>
      <w:rFonts w:ascii="Arial Black" w:hAnsi="Arial Black"/>
      <w:spacing w:val="-10"/>
      <w:kern w:val="0"/>
      <w:sz w:val="20"/>
      <w:szCs w:val="20"/>
    </w:rPr>
  </w:style>
  <w:style w:type="paragraph" w:customStyle="1" w:styleId="1099">
    <w:name w:val="默认段落字体 Para Char Char Char Char Char Char Char Char Char Char"/>
    <w:basedOn w:val="1"/>
    <w:qFormat/>
    <w:uiPriority w:val="0"/>
    <w:pPr>
      <w:adjustRightInd/>
      <w:snapToGrid/>
      <w:spacing w:line="240" w:lineRule="auto"/>
      <w:ind w:firstLine="0" w:firstLineChars="0"/>
      <w:jc w:val="both"/>
    </w:pPr>
    <w:rPr>
      <w:rFonts w:ascii="Arial" w:hAnsi="Arial" w:cs="Arial"/>
      <w:sz w:val="20"/>
      <w:szCs w:val="20"/>
    </w:rPr>
  </w:style>
  <w:style w:type="paragraph" w:customStyle="1" w:styleId="1100">
    <w:name w:val="样式 样式 (西文) ˎ̥ 四号 左 行距: 最小值 16.75 磅 首行缩进:  2 字符 + 首行缩进:  2 字符1"/>
    <w:basedOn w:val="1"/>
    <w:qFormat/>
    <w:uiPriority w:val="0"/>
    <w:pPr>
      <w:adjustRightInd/>
      <w:snapToGrid/>
      <w:spacing w:line="360" w:lineRule="auto"/>
      <w:ind w:firstLine="480"/>
    </w:pPr>
    <w:rPr>
      <w:rFonts w:ascii="ˎ̥" w:hAnsi="ˎ̥" w:cs="宋体"/>
      <w:kern w:val="0"/>
      <w:sz w:val="24"/>
      <w:szCs w:val="20"/>
    </w:rPr>
  </w:style>
  <w:style w:type="paragraph" w:customStyle="1" w:styleId="1101">
    <w:name w:val="Paragraphy"/>
    <w:basedOn w:val="1"/>
    <w:qFormat/>
    <w:uiPriority w:val="0"/>
    <w:pPr>
      <w:adjustRightInd/>
      <w:snapToGrid/>
      <w:spacing w:beforeLines="50" w:line="312" w:lineRule="auto"/>
      <w:ind w:firstLine="250" w:firstLineChars="250"/>
      <w:jc w:val="both"/>
    </w:pPr>
    <w:rPr>
      <w:spacing w:val="6"/>
      <w:sz w:val="28"/>
      <w:szCs w:val="24"/>
    </w:rPr>
  </w:style>
  <w:style w:type="character" w:customStyle="1" w:styleId="1102">
    <w:name w:val="文本条款 Char2"/>
    <w:qFormat/>
    <w:uiPriority w:val="0"/>
    <w:rPr>
      <w:rFonts w:eastAsia="宋体"/>
      <w:kern w:val="2"/>
      <w:sz w:val="21"/>
      <w:lang w:val="en-US" w:eastAsia="zh-CN"/>
    </w:rPr>
  </w:style>
  <w:style w:type="character" w:customStyle="1" w:styleId="1103">
    <w:name w:val="普通文字 Char Char3"/>
    <w:qFormat/>
    <w:uiPriority w:val="0"/>
    <w:rPr>
      <w:rFonts w:ascii="宋体" w:hAnsi="Courier New" w:eastAsia="宋体"/>
      <w:kern w:val="28"/>
      <w:sz w:val="28"/>
      <w:lang w:val="en-US" w:eastAsia="zh-CN"/>
    </w:rPr>
  </w:style>
  <w:style w:type="character" w:customStyle="1" w:styleId="1104">
    <w:name w:val="文本条款 Char3"/>
    <w:qFormat/>
    <w:uiPriority w:val="0"/>
    <w:rPr>
      <w:rFonts w:eastAsia="宋体"/>
      <w:kern w:val="2"/>
      <w:sz w:val="21"/>
      <w:lang w:val="en-US" w:eastAsia="zh-CN"/>
    </w:rPr>
  </w:style>
  <w:style w:type="character" w:customStyle="1" w:styleId="1105">
    <w:name w:val="普通文字 Char Char5"/>
    <w:qFormat/>
    <w:uiPriority w:val="0"/>
    <w:rPr>
      <w:rFonts w:ascii="宋体" w:hAnsi="Courier New" w:eastAsia="宋体"/>
      <w:kern w:val="28"/>
      <w:sz w:val="28"/>
      <w:lang w:val="en-US" w:eastAsia="zh-CN"/>
    </w:rPr>
  </w:style>
  <w:style w:type="paragraph" w:customStyle="1" w:styleId="1106">
    <w:name w:val="样式 正文缩进 + 首行缩进:  2 字符"/>
    <w:basedOn w:val="21"/>
    <w:link w:val="1107"/>
    <w:qFormat/>
    <w:uiPriority w:val="0"/>
    <w:pPr>
      <w:tabs>
        <w:tab w:val="left" w:pos="2820"/>
      </w:tabs>
      <w:snapToGrid w:val="0"/>
      <w:ind w:firstLine="560" w:firstLineChars="200"/>
      <w:jc w:val="both"/>
    </w:pPr>
    <w:rPr>
      <w:b w:val="0"/>
      <w:color w:val="FF0000"/>
      <w:sz w:val="28"/>
      <w:szCs w:val="28"/>
      <w:lang w:val="zh-CN"/>
    </w:rPr>
  </w:style>
  <w:style w:type="character" w:customStyle="1" w:styleId="1107">
    <w:name w:val="样式 正文缩进 + 首行缩进:  2 字符 Char"/>
    <w:link w:val="1106"/>
    <w:qFormat/>
    <w:uiPriority w:val="0"/>
    <w:rPr>
      <w:rFonts w:ascii="Times New Roman" w:hAnsi="Times New Roman"/>
      <w:color w:val="FF0000"/>
      <w:sz w:val="28"/>
      <w:szCs w:val="28"/>
      <w:lang w:val="zh-CN"/>
    </w:rPr>
  </w:style>
  <w:style w:type="character" w:customStyle="1" w:styleId="1108">
    <w:name w:val="文本条款 Char4"/>
    <w:qFormat/>
    <w:uiPriority w:val="0"/>
    <w:rPr>
      <w:rFonts w:ascii="Times New Roman" w:hAnsi="Times New Roman" w:eastAsia="宋体" w:cs="Times New Roman"/>
      <w:szCs w:val="20"/>
    </w:rPr>
  </w:style>
  <w:style w:type="character" w:customStyle="1" w:styleId="1109">
    <w:name w:val="Char Char21"/>
    <w:qFormat/>
    <w:uiPriority w:val="0"/>
    <w:rPr>
      <w:rFonts w:eastAsia="宋体"/>
      <w:sz w:val="18"/>
    </w:rPr>
  </w:style>
  <w:style w:type="character" w:customStyle="1" w:styleId="1110">
    <w:name w:val="Char Char20"/>
    <w:qFormat/>
    <w:uiPriority w:val="0"/>
    <w:rPr>
      <w:rFonts w:eastAsia="宋体"/>
      <w:sz w:val="18"/>
    </w:rPr>
  </w:style>
  <w:style w:type="character" w:customStyle="1" w:styleId="1111">
    <w:name w:val="普通文字 Char Char7"/>
    <w:qFormat/>
    <w:uiPriority w:val="0"/>
    <w:rPr>
      <w:rFonts w:ascii="宋体" w:hAnsi="Courier New" w:eastAsia="宋体"/>
      <w:kern w:val="28"/>
      <w:sz w:val="28"/>
    </w:rPr>
  </w:style>
  <w:style w:type="character" w:customStyle="1" w:styleId="1112">
    <w:name w:val="Char Char19"/>
    <w:qFormat/>
    <w:uiPriority w:val="0"/>
    <w:rPr>
      <w:rFonts w:ascii="Cambria" w:hAnsi="Cambria" w:eastAsia="宋体"/>
      <w:b/>
      <w:kern w:val="28"/>
      <w:sz w:val="32"/>
    </w:rPr>
  </w:style>
  <w:style w:type="character" w:customStyle="1" w:styleId="1113">
    <w:name w:val="副标题 Char1"/>
    <w:qFormat/>
    <w:uiPriority w:val="0"/>
    <w:rPr>
      <w:rFonts w:ascii="Cambria" w:hAnsi="Cambria" w:eastAsia="宋体" w:cs="Times New Roman"/>
      <w:b/>
      <w:bCs/>
      <w:kern w:val="28"/>
      <w:sz w:val="32"/>
      <w:szCs w:val="32"/>
    </w:rPr>
  </w:style>
  <w:style w:type="character" w:customStyle="1" w:styleId="1114">
    <w:name w:val="Char Char18"/>
    <w:qFormat/>
    <w:uiPriority w:val="0"/>
    <w:rPr>
      <w:rFonts w:eastAsia="宋体"/>
    </w:rPr>
  </w:style>
  <w:style w:type="character" w:customStyle="1" w:styleId="1115">
    <w:name w:val="textcontents"/>
    <w:basedOn w:val="132"/>
    <w:qFormat/>
    <w:uiPriority w:val="0"/>
  </w:style>
  <w:style w:type="paragraph" w:customStyle="1" w:styleId="1116">
    <w:name w:val="Char Char Char1 Char Char Char Char Char Char Char"/>
    <w:basedOn w:val="1"/>
    <w:qFormat/>
    <w:uiPriority w:val="0"/>
    <w:pPr>
      <w:adjustRightInd/>
      <w:snapToGrid/>
      <w:spacing w:line="240" w:lineRule="auto"/>
      <w:ind w:firstLine="0" w:firstLineChars="0"/>
      <w:jc w:val="both"/>
    </w:pPr>
    <w:rPr>
      <w:rFonts w:eastAsia="仿宋_GB2312"/>
      <w:sz w:val="32"/>
      <w:szCs w:val="24"/>
    </w:rPr>
  </w:style>
  <w:style w:type="paragraph" w:customStyle="1" w:styleId="1117">
    <w:name w:val="样式11"/>
    <w:basedOn w:val="1"/>
    <w:link w:val="1118"/>
    <w:qFormat/>
    <w:uiPriority w:val="0"/>
    <w:pPr>
      <w:tabs>
        <w:tab w:val="left" w:pos="616"/>
      </w:tabs>
      <w:ind w:firstLine="0" w:firstLineChars="0"/>
      <w:outlineLvl w:val="2"/>
    </w:pPr>
    <w:rPr>
      <w:b/>
      <w:szCs w:val="26"/>
    </w:rPr>
  </w:style>
  <w:style w:type="character" w:customStyle="1" w:styleId="1118">
    <w:name w:val="样式11 Char"/>
    <w:link w:val="1117"/>
    <w:qFormat/>
    <w:uiPriority w:val="0"/>
    <w:rPr>
      <w:rFonts w:ascii="Times New Roman" w:hAnsi="Times New Roman"/>
      <w:b/>
      <w:kern w:val="2"/>
      <w:sz w:val="26"/>
      <w:szCs w:val="26"/>
    </w:rPr>
  </w:style>
  <w:style w:type="paragraph" w:customStyle="1" w:styleId="1119">
    <w:name w:val="样式15"/>
    <w:basedOn w:val="1"/>
    <w:link w:val="1120"/>
    <w:qFormat/>
    <w:uiPriority w:val="0"/>
    <w:pPr>
      <w:autoSpaceDE w:val="0"/>
      <w:autoSpaceDN w:val="0"/>
      <w:spacing w:beforeLines="50" w:afterLines="50" w:line="360" w:lineRule="auto"/>
      <w:ind w:firstLine="1300" w:firstLineChars="500"/>
    </w:pPr>
    <w:rPr>
      <w:kern w:val="0"/>
      <w:szCs w:val="26"/>
    </w:rPr>
  </w:style>
  <w:style w:type="character" w:customStyle="1" w:styleId="1120">
    <w:name w:val="样式15 Char"/>
    <w:link w:val="1119"/>
    <w:qFormat/>
    <w:uiPriority w:val="0"/>
    <w:rPr>
      <w:rFonts w:ascii="Times New Roman" w:hAnsi="Times New Roman"/>
      <w:sz w:val="26"/>
      <w:szCs w:val="26"/>
    </w:rPr>
  </w:style>
  <w:style w:type="paragraph" w:customStyle="1" w:styleId="1121">
    <w:name w:val="样式17"/>
    <w:basedOn w:val="1119"/>
    <w:link w:val="1122"/>
    <w:qFormat/>
    <w:uiPriority w:val="0"/>
    <w:pPr>
      <w:spacing w:beforeLines="0" w:afterLines="0" w:line="480" w:lineRule="atLeast"/>
      <w:ind w:firstLine="500"/>
    </w:pPr>
  </w:style>
  <w:style w:type="character" w:customStyle="1" w:styleId="1122">
    <w:name w:val="样式17 Char"/>
    <w:link w:val="1121"/>
    <w:qFormat/>
    <w:uiPriority w:val="0"/>
    <w:rPr>
      <w:rFonts w:ascii="Times New Roman" w:hAnsi="Times New Roman"/>
      <w:sz w:val="26"/>
      <w:szCs w:val="26"/>
    </w:rPr>
  </w:style>
  <w:style w:type="paragraph" w:customStyle="1" w:styleId="1123">
    <w:name w:val="样式 标题 2标题 2 Char Char + 小三"/>
    <w:basedOn w:val="4"/>
    <w:link w:val="1124"/>
    <w:qFormat/>
    <w:uiPriority w:val="0"/>
    <w:pPr>
      <w:keepNext/>
      <w:keepLines/>
      <w:widowControl w:val="0"/>
      <w:tabs>
        <w:tab w:val="clear" w:pos="0"/>
      </w:tabs>
      <w:spacing w:beforeLines="0" w:afterLines="0" w:line="288" w:lineRule="auto"/>
      <w:jc w:val="both"/>
    </w:pPr>
    <w:rPr>
      <w:snapToGrid/>
      <w:szCs w:val="20"/>
    </w:rPr>
  </w:style>
  <w:style w:type="character" w:customStyle="1" w:styleId="1124">
    <w:name w:val="样式 标题 2标题 2 Char Char + 小三 Char"/>
    <w:link w:val="1123"/>
    <w:qFormat/>
    <w:uiPriority w:val="0"/>
    <w:rPr>
      <w:rFonts w:ascii="Times New Roman" w:hAnsi="Times New Roman"/>
      <w:b/>
      <w:bCs/>
      <w:kern w:val="2"/>
      <w:sz w:val="30"/>
    </w:rPr>
  </w:style>
  <w:style w:type="paragraph" w:customStyle="1" w:styleId="1125">
    <w:name w:val="默认段落字体 Para Char Char Char Char Char Char Char Char Char Char Char Char Char Char Char Char Char"/>
    <w:basedOn w:val="1"/>
    <w:qFormat/>
    <w:uiPriority w:val="0"/>
    <w:pPr>
      <w:adjustRightInd/>
      <w:snapToGrid/>
      <w:spacing w:line="240" w:lineRule="auto"/>
      <w:ind w:firstLine="0" w:firstLineChars="0"/>
      <w:jc w:val="both"/>
    </w:pPr>
    <w:rPr>
      <w:rFonts w:ascii="Tahoma" w:hAnsi="Tahoma"/>
      <w:sz w:val="24"/>
      <w:szCs w:val="20"/>
    </w:rPr>
  </w:style>
  <w:style w:type="paragraph" w:customStyle="1" w:styleId="1126">
    <w:name w:val="Char Char Char Char Char Char Char Char Char Char Char Char Char Char Char Char Char Char Char Char Char Char Char Char Char Char Char Char Char Char Char Char Char"/>
    <w:basedOn w:val="1"/>
    <w:qFormat/>
    <w:uiPriority w:val="0"/>
    <w:pPr>
      <w:widowControl/>
      <w:adjustRightInd/>
      <w:snapToGrid/>
      <w:spacing w:after="160" w:line="240" w:lineRule="exact"/>
      <w:ind w:firstLine="0" w:firstLineChars="0"/>
    </w:pPr>
    <w:rPr>
      <w:rFonts w:ascii="Verdana" w:hAnsi="Verdana" w:eastAsia="仿宋_GB2312" w:cs="Verdana"/>
      <w:color w:val="000000"/>
      <w:kern w:val="0"/>
      <w:sz w:val="24"/>
      <w:szCs w:val="21"/>
      <w:lang w:eastAsia="en-US"/>
    </w:rPr>
  </w:style>
  <w:style w:type="paragraph" w:customStyle="1" w:styleId="1127">
    <w:name w:val="报告书表头"/>
    <w:basedOn w:val="84"/>
    <w:link w:val="1128"/>
    <w:qFormat/>
    <w:uiPriority w:val="0"/>
    <w:rPr>
      <w:rFonts w:ascii="Arial" w:hAnsi="Arial" w:eastAsia="黑体" w:cs="Arial"/>
      <w:bCs w:val="0"/>
      <w:snapToGrid/>
      <w:color w:val="000000"/>
      <w:spacing w:val="2"/>
      <w:kern w:val="28"/>
    </w:rPr>
  </w:style>
  <w:style w:type="character" w:customStyle="1" w:styleId="1128">
    <w:name w:val="报告书表头 Char"/>
    <w:link w:val="1127"/>
    <w:qFormat/>
    <w:uiPriority w:val="0"/>
    <w:rPr>
      <w:rFonts w:ascii="Arial" w:hAnsi="Arial" w:eastAsia="黑体" w:cs="Arial"/>
      <w:b/>
      <w:color w:val="000000"/>
      <w:spacing w:val="2"/>
      <w:kern w:val="28"/>
      <w:sz w:val="24"/>
      <w:szCs w:val="24"/>
    </w:rPr>
  </w:style>
  <w:style w:type="character" w:customStyle="1" w:styleId="1129">
    <w:name w:val="报告书正文 Char"/>
    <w:qFormat/>
    <w:uiPriority w:val="0"/>
    <w:rPr>
      <w:rFonts w:ascii="Arial" w:hAnsi="Arial" w:eastAsia="宋体" w:cs="Arial"/>
      <w:snapToGrid w:val="0"/>
      <w:color w:val="000000"/>
      <w:kern w:val="0"/>
      <w:sz w:val="24"/>
      <w:szCs w:val="24"/>
    </w:rPr>
  </w:style>
  <w:style w:type="paragraph" w:customStyle="1" w:styleId="1130">
    <w:name w:val="报告表正文"/>
    <w:basedOn w:val="1"/>
    <w:link w:val="1131"/>
    <w:qFormat/>
    <w:uiPriority w:val="0"/>
    <w:pPr>
      <w:spacing w:line="240" w:lineRule="auto"/>
      <w:ind w:firstLine="0" w:firstLineChars="0"/>
      <w:jc w:val="center"/>
    </w:pPr>
    <w:rPr>
      <w:rFonts w:ascii="Arial" w:hAnsi="Arial" w:cs="Arial"/>
      <w:snapToGrid w:val="0"/>
      <w:color w:val="000000"/>
      <w:kern w:val="0"/>
      <w:sz w:val="21"/>
      <w:szCs w:val="21"/>
    </w:rPr>
  </w:style>
  <w:style w:type="character" w:customStyle="1" w:styleId="1131">
    <w:name w:val="报告表正文 Char"/>
    <w:link w:val="1130"/>
    <w:qFormat/>
    <w:uiPriority w:val="0"/>
    <w:rPr>
      <w:rFonts w:ascii="Arial" w:hAnsi="Arial" w:cs="Arial"/>
      <w:snapToGrid w:val="0"/>
      <w:color w:val="000000"/>
      <w:sz w:val="21"/>
      <w:szCs w:val="21"/>
    </w:rPr>
  </w:style>
  <w:style w:type="paragraph" w:customStyle="1" w:styleId="1132">
    <w:name w:val="正文 小四 行距: 1.5 倍行距"/>
    <w:basedOn w:val="1"/>
    <w:qFormat/>
    <w:uiPriority w:val="0"/>
    <w:pPr>
      <w:adjustRightInd/>
      <w:snapToGrid/>
      <w:spacing w:line="360" w:lineRule="auto"/>
      <w:ind w:firstLine="480"/>
      <w:jc w:val="both"/>
    </w:pPr>
    <w:rPr>
      <w:rFonts w:cs="宋体"/>
      <w:sz w:val="24"/>
      <w:szCs w:val="20"/>
    </w:rPr>
  </w:style>
  <w:style w:type="paragraph" w:customStyle="1" w:styleId="1133">
    <w:name w:val="标题001"/>
    <w:basedOn w:val="1"/>
    <w:link w:val="1134"/>
    <w:qFormat/>
    <w:uiPriority w:val="0"/>
    <w:pPr>
      <w:adjustRightInd/>
      <w:snapToGrid/>
      <w:spacing w:before="60"/>
      <w:ind w:firstLine="0" w:firstLineChars="0"/>
      <w:jc w:val="both"/>
      <w:outlineLvl w:val="0"/>
    </w:pPr>
    <w:rPr>
      <w:b/>
      <w:sz w:val="32"/>
      <w:szCs w:val="20"/>
      <w:lang w:val="zh-CN"/>
    </w:rPr>
  </w:style>
  <w:style w:type="character" w:customStyle="1" w:styleId="1134">
    <w:name w:val="标题001 Char"/>
    <w:link w:val="1133"/>
    <w:qFormat/>
    <w:uiPriority w:val="0"/>
    <w:rPr>
      <w:rFonts w:ascii="Times New Roman" w:hAnsi="Times New Roman"/>
      <w:b/>
      <w:kern w:val="2"/>
      <w:sz w:val="32"/>
      <w:lang w:val="zh-CN"/>
    </w:rPr>
  </w:style>
  <w:style w:type="paragraph" w:customStyle="1" w:styleId="1135">
    <w:name w:val="样式222"/>
    <w:basedOn w:val="215"/>
    <w:qFormat/>
    <w:uiPriority w:val="0"/>
    <w:pPr>
      <w:keepNext/>
      <w:keepLines/>
      <w:widowControl/>
      <w:adjustRightInd/>
      <w:snapToGrid/>
      <w:spacing w:before="340" w:after="330" w:line="360" w:lineRule="auto"/>
      <w:ind w:firstLine="0" w:firstLineChars="0"/>
      <w:outlineLvl w:val="1"/>
    </w:pPr>
    <w:rPr>
      <w:kern w:val="0"/>
      <w:sz w:val="30"/>
      <w:szCs w:val="30"/>
    </w:rPr>
  </w:style>
  <w:style w:type="paragraph" w:customStyle="1" w:styleId="1136">
    <w:name w:val="标题02"/>
    <w:basedOn w:val="4"/>
    <w:next w:val="225"/>
    <w:link w:val="1137"/>
    <w:qFormat/>
    <w:uiPriority w:val="0"/>
    <w:pPr>
      <w:keepNext/>
      <w:keepLines/>
      <w:widowControl w:val="0"/>
      <w:tabs>
        <w:tab w:val="clear" w:pos="0"/>
      </w:tabs>
      <w:spacing w:beforeLines="0" w:afterLines="0" w:line="360" w:lineRule="auto"/>
      <w:jc w:val="both"/>
    </w:pPr>
    <w:rPr>
      <w:bCs w:val="0"/>
      <w:snapToGrid/>
      <w:sz w:val="32"/>
      <w:szCs w:val="20"/>
    </w:rPr>
  </w:style>
  <w:style w:type="character" w:customStyle="1" w:styleId="1137">
    <w:name w:val="标题02 Char"/>
    <w:link w:val="1136"/>
    <w:qFormat/>
    <w:uiPriority w:val="0"/>
    <w:rPr>
      <w:rFonts w:ascii="Times New Roman" w:hAnsi="Times New Roman"/>
      <w:b/>
      <w:kern w:val="2"/>
      <w:sz w:val="32"/>
    </w:rPr>
  </w:style>
  <w:style w:type="paragraph" w:customStyle="1" w:styleId="1138">
    <w:name w:val="新正文"/>
    <w:basedOn w:val="1"/>
    <w:link w:val="1139"/>
    <w:qFormat/>
    <w:uiPriority w:val="0"/>
    <w:pPr>
      <w:adjustRightInd/>
      <w:snapToGrid/>
      <w:spacing w:before="60" w:line="460" w:lineRule="exact"/>
      <w:jc w:val="both"/>
    </w:pPr>
    <w:rPr>
      <w:sz w:val="24"/>
      <w:szCs w:val="20"/>
    </w:rPr>
  </w:style>
  <w:style w:type="character" w:customStyle="1" w:styleId="1139">
    <w:name w:val="新正文 Char"/>
    <w:link w:val="1138"/>
    <w:qFormat/>
    <w:uiPriority w:val="0"/>
    <w:rPr>
      <w:rFonts w:ascii="Times New Roman" w:hAnsi="Times New Roman"/>
      <w:kern w:val="2"/>
      <w:sz w:val="24"/>
    </w:rPr>
  </w:style>
  <w:style w:type="character" w:customStyle="1" w:styleId="1140">
    <w:name w:val="djen2"/>
    <w:qFormat/>
    <w:uiPriority w:val="0"/>
    <w:rPr>
      <w:color w:val="3476CD"/>
    </w:rPr>
  </w:style>
  <w:style w:type="paragraph" w:customStyle="1" w:styleId="1141">
    <w:name w:val="一一一"/>
    <w:basedOn w:val="383"/>
    <w:qFormat/>
    <w:uiPriority w:val="0"/>
    <w:pPr>
      <w:keepNext/>
      <w:widowControl w:val="0"/>
      <w:tabs>
        <w:tab w:val="clear" w:pos="425"/>
        <w:tab w:val="clear" w:pos="9720"/>
      </w:tabs>
      <w:ind w:left="0" w:firstLine="643"/>
      <w:jc w:val="both"/>
      <w:outlineLvl w:val="0"/>
    </w:pPr>
    <w:rPr>
      <w:rFonts w:ascii="宋体" w:hAnsi="宋体"/>
      <w:kern w:val="2"/>
      <w:sz w:val="32"/>
      <w:szCs w:val="24"/>
    </w:rPr>
  </w:style>
  <w:style w:type="paragraph" w:customStyle="1" w:styleId="1142">
    <w:name w:val="二二二"/>
    <w:basedOn w:val="258"/>
    <w:qFormat/>
    <w:uiPriority w:val="0"/>
    <w:pPr>
      <w:keepNext/>
      <w:keepLines/>
      <w:widowControl w:val="0"/>
      <w:autoSpaceDE w:val="0"/>
      <w:autoSpaceDN w:val="0"/>
      <w:adjustRightInd w:val="0"/>
      <w:spacing w:before="260" w:after="260" w:line="416" w:lineRule="auto"/>
      <w:jc w:val="both"/>
      <w:textAlignment w:val="baseline"/>
      <w:outlineLvl w:val="1"/>
    </w:pPr>
    <w:rPr>
      <w:rFonts w:ascii="Arial" w:hAnsi="Arial" w:eastAsia="黑体"/>
      <w:bCs/>
      <w:color w:val="000000"/>
      <w:kern w:val="2"/>
      <w:sz w:val="24"/>
      <w:szCs w:val="32"/>
    </w:rPr>
  </w:style>
  <w:style w:type="paragraph" w:customStyle="1" w:styleId="1143">
    <w:name w:val="2.1"/>
    <w:basedOn w:val="1142"/>
    <w:qFormat/>
    <w:uiPriority w:val="0"/>
    <w:pPr>
      <w:ind w:left="1320" w:hanging="420"/>
    </w:pPr>
  </w:style>
  <w:style w:type="paragraph" w:customStyle="1" w:styleId="1144">
    <w:name w:val="cucd-TB"/>
    <w:link w:val="2020"/>
    <w:qFormat/>
    <w:uiPriority w:val="0"/>
    <w:pPr>
      <w:spacing w:line="360" w:lineRule="auto"/>
      <w:jc w:val="center"/>
    </w:pPr>
    <w:rPr>
      <w:rFonts w:ascii="Times New Roman" w:hAnsi="Times New Roman" w:eastAsia="宋体" w:cs="Times New Roman"/>
      <w:kern w:val="2"/>
      <w:sz w:val="21"/>
      <w:szCs w:val="24"/>
      <w:lang w:val="en-US" w:eastAsia="zh-CN" w:bidi="ar-SA"/>
    </w:rPr>
  </w:style>
  <w:style w:type="paragraph" w:customStyle="1" w:styleId="1145">
    <w:name w:val="样式 表格文字 Char + 段前: 0.5 行"/>
    <w:basedOn w:val="1"/>
    <w:qFormat/>
    <w:uiPriority w:val="0"/>
    <w:pPr>
      <w:adjustRightInd/>
      <w:snapToGrid/>
      <w:spacing w:beforeLines="50" w:line="240" w:lineRule="auto"/>
      <w:ind w:firstLine="0" w:firstLineChars="0"/>
      <w:jc w:val="center"/>
    </w:pPr>
    <w:rPr>
      <w:sz w:val="24"/>
      <w:szCs w:val="20"/>
    </w:rPr>
  </w:style>
  <w:style w:type="paragraph" w:customStyle="1" w:styleId="1146">
    <w:name w:val="一级"/>
    <w:basedOn w:val="363"/>
    <w:link w:val="1782"/>
    <w:qFormat/>
    <w:uiPriority w:val="0"/>
    <w:pPr>
      <w:tabs>
        <w:tab w:val="left" w:pos="720"/>
      </w:tabs>
      <w:adjustRightInd/>
      <w:spacing w:beforeLines="0" w:afterLines="0" w:line="360" w:lineRule="auto"/>
      <w:ind w:left="720" w:hanging="720" w:firstLineChars="0"/>
      <w:jc w:val="both"/>
      <w:textAlignment w:val="auto"/>
    </w:pPr>
    <w:rPr>
      <w:rFonts w:ascii="楷体_GB2312" w:hAnsi="宋体" w:eastAsia="楷体_GB2312"/>
      <w:b/>
      <w:color w:val="000000"/>
      <w:sz w:val="28"/>
      <w:szCs w:val="28"/>
    </w:rPr>
  </w:style>
  <w:style w:type="paragraph" w:customStyle="1" w:styleId="1147">
    <w:name w:val="正文+8"/>
    <w:basedOn w:val="1"/>
    <w:next w:val="1"/>
    <w:qFormat/>
    <w:uiPriority w:val="0"/>
    <w:pPr>
      <w:autoSpaceDE w:val="0"/>
      <w:autoSpaceDN w:val="0"/>
      <w:snapToGrid/>
      <w:spacing w:line="240" w:lineRule="auto"/>
      <w:ind w:firstLine="0" w:firstLineChars="0"/>
    </w:pPr>
    <w:rPr>
      <w:rFonts w:ascii="宋体"/>
      <w:kern w:val="0"/>
      <w:sz w:val="24"/>
      <w:szCs w:val="24"/>
    </w:rPr>
  </w:style>
  <w:style w:type="paragraph" w:customStyle="1" w:styleId="1148">
    <w:name w:val="一级级"/>
    <w:basedOn w:val="1"/>
    <w:qFormat/>
    <w:uiPriority w:val="0"/>
    <w:pPr>
      <w:tabs>
        <w:tab w:val="left" w:pos="210"/>
      </w:tabs>
      <w:adjustRightInd/>
      <w:snapToGrid/>
      <w:spacing w:line="480" w:lineRule="auto"/>
      <w:ind w:firstLine="0" w:firstLineChars="0"/>
      <w:jc w:val="center"/>
    </w:pPr>
    <w:rPr>
      <w:rFonts w:ascii="楷体_GB2312" w:hAnsi="宋体" w:eastAsia="楷体_GB2312"/>
      <w:b/>
      <w:sz w:val="44"/>
      <w:szCs w:val="44"/>
    </w:rPr>
  </w:style>
  <w:style w:type="paragraph" w:customStyle="1" w:styleId="1149">
    <w:name w:val="二鸡鸡"/>
    <w:basedOn w:val="3"/>
    <w:qFormat/>
    <w:uiPriority w:val="0"/>
    <w:pPr>
      <w:keepNext/>
      <w:widowControl w:val="0"/>
      <w:numPr>
        <w:numId w:val="0"/>
      </w:numPr>
      <w:tabs>
        <w:tab w:val="clear" w:pos="0"/>
      </w:tabs>
      <w:adjustRightInd/>
      <w:snapToGrid/>
      <w:spacing w:beforeLines="0" w:afterLines="0" w:line="240" w:lineRule="auto"/>
      <w:jc w:val="both"/>
    </w:pPr>
    <w:rPr>
      <w:rFonts w:ascii="宋体" w:hAnsi="宋体"/>
      <w:b w:val="0"/>
      <w:bCs w:val="0"/>
      <w:snapToGrid/>
      <w:kern w:val="2"/>
      <w:sz w:val="32"/>
      <w:szCs w:val="24"/>
    </w:rPr>
  </w:style>
  <w:style w:type="paragraph" w:customStyle="1" w:styleId="1150">
    <w:name w:val="三鸡鸡"/>
    <w:basedOn w:val="4"/>
    <w:qFormat/>
    <w:uiPriority w:val="0"/>
    <w:pPr>
      <w:keepNext/>
      <w:keepLines/>
      <w:widowControl w:val="0"/>
      <w:tabs>
        <w:tab w:val="clear" w:pos="0"/>
      </w:tabs>
      <w:autoSpaceDE w:val="0"/>
      <w:autoSpaceDN w:val="0"/>
      <w:spacing w:beforeLines="0" w:afterLines="0" w:line="415" w:lineRule="auto"/>
      <w:ind w:left="1320" w:hanging="420"/>
      <w:jc w:val="both"/>
      <w:textAlignment w:val="baseline"/>
    </w:pPr>
    <w:rPr>
      <w:rFonts w:ascii="Arial" w:hAnsi="Arial"/>
      <w:snapToGrid/>
      <w:color w:val="000000"/>
      <w:sz w:val="24"/>
    </w:rPr>
  </w:style>
  <w:style w:type="paragraph" w:customStyle="1" w:styleId="1151">
    <w:name w:val="一二鸡鸡"/>
    <w:basedOn w:val="1143"/>
    <w:qFormat/>
    <w:uiPriority w:val="0"/>
  </w:style>
  <w:style w:type="paragraph" w:customStyle="1" w:styleId="1152">
    <w:name w:val="二二鸡鸡"/>
    <w:basedOn w:val="3"/>
    <w:qFormat/>
    <w:uiPriority w:val="0"/>
    <w:pPr>
      <w:keepNext/>
      <w:widowControl w:val="0"/>
      <w:numPr>
        <w:numId w:val="0"/>
      </w:numPr>
      <w:tabs>
        <w:tab w:val="clear" w:pos="0"/>
      </w:tabs>
      <w:adjustRightInd/>
      <w:snapToGrid/>
      <w:spacing w:beforeLines="0" w:afterLines="0" w:line="240" w:lineRule="auto"/>
      <w:jc w:val="both"/>
    </w:pPr>
    <w:rPr>
      <w:rFonts w:ascii="宋体" w:hAnsi="宋体"/>
      <w:b w:val="0"/>
      <w:bCs w:val="0"/>
      <w:snapToGrid/>
      <w:kern w:val="2"/>
      <w:sz w:val="32"/>
      <w:szCs w:val="24"/>
    </w:rPr>
  </w:style>
  <w:style w:type="paragraph" w:customStyle="1" w:styleId="1153">
    <w:name w:val="二三鸡鸡"/>
    <w:basedOn w:val="258"/>
    <w:qFormat/>
    <w:uiPriority w:val="0"/>
    <w:pPr>
      <w:keepNext/>
      <w:keepLines/>
      <w:widowControl w:val="0"/>
      <w:autoSpaceDE w:val="0"/>
      <w:autoSpaceDN w:val="0"/>
      <w:adjustRightInd w:val="0"/>
      <w:spacing w:before="260" w:after="260" w:line="416" w:lineRule="auto"/>
      <w:jc w:val="both"/>
      <w:textAlignment w:val="baseline"/>
      <w:outlineLvl w:val="1"/>
    </w:pPr>
    <w:rPr>
      <w:rFonts w:ascii="楷体_GB2312" w:hAnsi="Arial" w:eastAsia="楷体_GB2312"/>
      <w:bCs/>
      <w:color w:val="000000"/>
      <w:kern w:val="2"/>
      <w:sz w:val="24"/>
      <w:szCs w:val="32"/>
    </w:rPr>
  </w:style>
  <w:style w:type="paragraph" w:customStyle="1" w:styleId="1154">
    <w:name w:val="二二二鸡鸡"/>
    <w:basedOn w:val="215"/>
    <w:qFormat/>
    <w:uiPriority w:val="0"/>
    <w:pPr>
      <w:keepNext/>
      <w:keepLines/>
      <w:tabs>
        <w:tab w:val="left" w:pos="425"/>
      </w:tabs>
      <w:autoSpaceDE w:val="0"/>
      <w:autoSpaceDN w:val="0"/>
      <w:snapToGrid/>
      <w:spacing w:before="260" w:after="260" w:line="415" w:lineRule="auto"/>
      <w:ind w:left="425" w:hanging="425" w:firstLineChars="0"/>
      <w:outlineLvl w:val="1"/>
    </w:pPr>
    <w:rPr>
      <w:rFonts w:ascii="Arial" w:hAnsi="Arial" w:eastAsia="黑体"/>
      <w:b/>
      <w:bCs/>
      <w:color w:val="000000"/>
      <w:sz w:val="24"/>
      <w:szCs w:val="32"/>
    </w:rPr>
  </w:style>
  <w:style w:type="paragraph" w:customStyle="1" w:styleId="1155">
    <w:name w:val="Char5"/>
    <w:basedOn w:val="1"/>
    <w:qFormat/>
    <w:uiPriority w:val="0"/>
    <w:pPr>
      <w:widowControl/>
      <w:numPr>
        <w:ilvl w:val="0"/>
        <w:numId w:val="13"/>
      </w:numPr>
      <w:tabs>
        <w:tab w:val="clear" w:pos="420"/>
      </w:tabs>
      <w:adjustRightInd/>
      <w:snapToGrid/>
      <w:spacing w:after="160" w:line="240" w:lineRule="exact"/>
      <w:ind w:left="0" w:firstLine="0" w:firstLineChars="0"/>
    </w:pPr>
    <w:rPr>
      <w:rFonts w:ascii="Verdana" w:hAnsi="Verdana" w:eastAsia="仿宋_GB2312"/>
      <w:kern w:val="0"/>
      <w:sz w:val="24"/>
      <w:szCs w:val="20"/>
      <w:lang w:eastAsia="en-US"/>
    </w:rPr>
  </w:style>
  <w:style w:type="paragraph" w:customStyle="1" w:styleId="1156">
    <w:name w:val="tgt2"/>
    <w:basedOn w:val="1"/>
    <w:qFormat/>
    <w:uiPriority w:val="0"/>
    <w:pPr>
      <w:widowControl/>
      <w:adjustRightInd/>
      <w:snapToGrid/>
      <w:spacing w:after="150" w:line="360" w:lineRule="auto"/>
      <w:ind w:firstLine="0" w:firstLineChars="0"/>
    </w:pPr>
    <w:rPr>
      <w:rFonts w:ascii="宋体" w:hAnsi="宋体" w:cs="宋体"/>
      <w:b/>
      <w:bCs/>
      <w:kern w:val="0"/>
      <w:sz w:val="36"/>
      <w:szCs w:val="36"/>
    </w:rPr>
  </w:style>
  <w:style w:type="paragraph" w:customStyle="1" w:styleId="1157">
    <w:name w:val="Char Char Char Char Char Char Char Char Char1 Char Char Char Char Char Char Char"/>
    <w:basedOn w:val="26"/>
    <w:qFormat/>
    <w:uiPriority w:val="0"/>
    <w:pPr>
      <w:shd w:val="clear" w:color="auto" w:fill="000080"/>
      <w:adjustRightInd/>
      <w:snapToGrid/>
      <w:spacing w:line="240" w:lineRule="auto"/>
      <w:ind w:firstLine="0" w:firstLineChars="0"/>
      <w:jc w:val="both"/>
    </w:pPr>
    <w:rPr>
      <w:kern w:val="0"/>
      <w:sz w:val="21"/>
      <w:szCs w:val="20"/>
    </w:rPr>
  </w:style>
  <w:style w:type="paragraph" w:customStyle="1" w:styleId="1158">
    <w:name w:val="Char Char1 Char Char"/>
    <w:basedOn w:val="1"/>
    <w:qFormat/>
    <w:uiPriority w:val="0"/>
    <w:pPr>
      <w:adjustRightInd/>
      <w:snapToGrid/>
      <w:spacing w:line="240" w:lineRule="auto"/>
      <w:ind w:firstLine="0" w:firstLineChars="0"/>
      <w:jc w:val="both"/>
    </w:pPr>
    <w:rPr>
      <w:sz w:val="21"/>
      <w:szCs w:val="24"/>
    </w:rPr>
  </w:style>
  <w:style w:type="paragraph" w:customStyle="1" w:styleId="1159">
    <w:name w:val="第二节"/>
    <w:basedOn w:val="1"/>
    <w:qFormat/>
    <w:uiPriority w:val="0"/>
    <w:pPr>
      <w:numPr>
        <w:ilvl w:val="0"/>
        <w:numId w:val="14"/>
      </w:numPr>
      <w:autoSpaceDE w:val="0"/>
      <w:autoSpaceDN w:val="0"/>
      <w:snapToGrid/>
      <w:spacing w:line="360" w:lineRule="auto"/>
      <w:ind w:firstLine="0" w:firstLineChars="0"/>
      <w:textAlignment w:val="baseline"/>
    </w:pPr>
    <w:rPr>
      <w:rFonts w:ascii="宋体" w:hAnsi="宋体"/>
      <w:color w:val="FF0000"/>
      <w:kern w:val="0"/>
      <w:sz w:val="28"/>
      <w:szCs w:val="28"/>
    </w:rPr>
  </w:style>
  <w:style w:type="character" w:customStyle="1" w:styleId="1160">
    <w:name w:val="t_tag"/>
    <w:basedOn w:val="132"/>
    <w:qFormat/>
    <w:uiPriority w:val="0"/>
  </w:style>
  <w:style w:type="character" w:customStyle="1" w:styleId="1161">
    <w:name w:val="st1"/>
    <w:basedOn w:val="132"/>
    <w:qFormat/>
    <w:uiPriority w:val="0"/>
  </w:style>
  <w:style w:type="paragraph" w:customStyle="1" w:styleId="1162">
    <w:name w:val="三级D六"/>
    <w:basedOn w:val="1153"/>
    <w:qFormat/>
    <w:uiPriority w:val="0"/>
    <w:pPr>
      <w:tabs>
        <w:tab w:val="left" w:pos="600"/>
      </w:tabs>
      <w:ind w:left="600" w:hanging="600"/>
    </w:pPr>
  </w:style>
  <w:style w:type="paragraph" w:customStyle="1" w:styleId="1163">
    <w:name w:val="三级D七"/>
    <w:basedOn w:val="1153"/>
    <w:qFormat/>
    <w:uiPriority w:val="0"/>
    <w:pPr>
      <w:tabs>
        <w:tab w:val="left" w:pos="600"/>
      </w:tabs>
      <w:spacing w:line="360" w:lineRule="auto"/>
      <w:ind w:left="600" w:hanging="600"/>
    </w:pPr>
  </w:style>
  <w:style w:type="paragraph" w:customStyle="1" w:styleId="1164">
    <w:name w:val="样式23"/>
    <w:basedOn w:val="1"/>
    <w:link w:val="1165"/>
    <w:qFormat/>
    <w:uiPriority w:val="0"/>
    <w:pPr>
      <w:adjustRightInd/>
      <w:snapToGrid/>
      <w:spacing w:line="360" w:lineRule="auto"/>
      <w:ind w:firstLine="480"/>
    </w:pPr>
    <w:rPr>
      <w:rFonts w:ascii="宋体" w:hAnsi="宋体"/>
      <w:color w:val="000000"/>
      <w:sz w:val="24"/>
      <w:szCs w:val="24"/>
      <w:lang w:val="zh-CN"/>
    </w:rPr>
  </w:style>
  <w:style w:type="character" w:customStyle="1" w:styleId="1165">
    <w:name w:val="样式23 Char"/>
    <w:link w:val="1164"/>
    <w:qFormat/>
    <w:uiPriority w:val="0"/>
    <w:rPr>
      <w:rFonts w:ascii="宋体" w:hAnsi="宋体"/>
      <w:color w:val="000000"/>
      <w:kern w:val="2"/>
      <w:sz w:val="24"/>
      <w:szCs w:val="24"/>
      <w:lang w:val="zh-CN"/>
    </w:rPr>
  </w:style>
  <w:style w:type="paragraph" w:customStyle="1" w:styleId="1166">
    <w:name w:val="小四表文居中"/>
    <w:qFormat/>
    <w:uiPriority w:val="0"/>
    <w:pPr>
      <w:widowControl w:val="0"/>
      <w:jc w:val="center"/>
    </w:pPr>
    <w:rPr>
      <w:rFonts w:ascii="仿宋_GB2312" w:hAnsi="Times New Roman" w:eastAsia="仿宋_GB2312" w:cs="Times New Roman"/>
      <w:kern w:val="2"/>
      <w:sz w:val="24"/>
      <w:szCs w:val="24"/>
      <w:lang w:val="en-US" w:eastAsia="zh-CN" w:bidi="ar-SA"/>
    </w:rPr>
  </w:style>
  <w:style w:type="paragraph" w:customStyle="1" w:styleId="1167">
    <w:name w:val="标题002"/>
    <w:basedOn w:val="1"/>
    <w:qFormat/>
    <w:uiPriority w:val="0"/>
    <w:pPr>
      <w:adjustRightInd/>
      <w:snapToGrid/>
      <w:spacing w:before="160"/>
      <w:ind w:firstLine="0" w:firstLineChars="0"/>
      <w:jc w:val="both"/>
      <w:outlineLvl w:val="1"/>
    </w:pPr>
    <w:rPr>
      <w:b/>
      <w:sz w:val="28"/>
      <w:szCs w:val="20"/>
    </w:rPr>
  </w:style>
  <w:style w:type="paragraph" w:customStyle="1" w:styleId="1168">
    <w:name w:val="样式111"/>
    <w:basedOn w:val="1133"/>
    <w:qFormat/>
    <w:uiPriority w:val="0"/>
    <w:pPr>
      <w:spacing w:beforeLines="100" w:afterLines="100" w:line="360" w:lineRule="auto"/>
      <w:jc w:val="center"/>
    </w:pPr>
    <w:rPr>
      <w:sz w:val="44"/>
      <w:szCs w:val="44"/>
    </w:rPr>
  </w:style>
  <w:style w:type="paragraph" w:customStyle="1" w:styleId="1169">
    <w:name w:val="正文001"/>
    <w:basedOn w:val="1"/>
    <w:link w:val="1171"/>
    <w:qFormat/>
    <w:uiPriority w:val="0"/>
    <w:pPr>
      <w:adjustRightInd/>
      <w:snapToGrid/>
      <w:spacing w:before="60" w:line="420" w:lineRule="exact"/>
      <w:ind w:firstLine="482" w:firstLineChars="0"/>
      <w:jc w:val="both"/>
    </w:pPr>
    <w:rPr>
      <w:sz w:val="24"/>
      <w:szCs w:val="20"/>
    </w:rPr>
  </w:style>
  <w:style w:type="character" w:customStyle="1" w:styleId="1170">
    <w:name w:val="正文小四 Char"/>
    <w:link w:val="712"/>
    <w:qFormat/>
    <w:locked/>
    <w:uiPriority w:val="0"/>
    <w:rPr>
      <w:rFonts w:ascii="Times New Roman" w:hAnsi="Times New Roman"/>
      <w:kern w:val="2"/>
      <w:sz w:val="24"/>
    </w:rPr>
  </w:style>
  <w:style w:type="character" w:customStyle="1" w:styleId="1171">
    <w:name w:val="正文001 Char"/>
    <w:link w:val="1169"/>
    <w:qFormat/>
    <w:uiPriority w:val="0"/>
    <w:rPr>
      <w:rFonts w:ascii="Times New Roman" w:hAnsi="Times New Roman"/>
      <w:kern w:val="2"/>
      <w:sz w:val="24"/>
    </w:rPr>
  </w:style>
  <w:style w:type="paragraph" w:customStyle="1" w:styleId="1172">
    <w:name w:val="11"/>
    <w:qFormat/>
    <w:uiPriority w:val="0"/>
    <w:rPr>
      <w:rFonts w:ascii="Calibri" w:hAnsi="Calibri" w:eastAsia="宋体" w:cs="Times New Roman"/>
      <w:kern w:val="2"/>
      <w:sz w:val="21"/>
      <w:szCs w:val="22"/>
      <w:lang w:val="en-US" w:eastAsia="zh-CN" w:bidi="ar-SA"/>
    </w:rPr>
  </w:style>
  <w:style w:type="paragraph" w:customStyle="1" w:styleId="1173">
    <w:name w:val="zhang正文"/>
    <w:basedOn w:val="35"/>
    <w:qFormat/>
    <w:uiPriority w:val="0"/>
    <w:pPr>
      <w:autoSpaceDE w:val="0"/>
      <w:autoSpaceDN w:val="0"/>
      <w:spacing w:line="500" w:lineRule="exact"/>
      <w:ind w:firstLine="539"/>
      <w:textAlignment w:val="baseline"/>
    </w:pPr>
    <w:rPr>
      <w:rFonts w:eastAsia="楷体_GB2312"/>
      <w:kern w:val="0"/>
      <w:sz w:val="28"/>
      <w:szCs w:val="20"/>
    </w:rPr>
  </w:style>
  <w:style w:type="paragraph" w:customStyle="1" w:styleId="1174">
    <w:name w:val="标1"/>
    <w:basedOn w:val="1"/>
    <w:link w:val="1338"/>
    <w:qFormat/>
    <w:uiPriority w:val="0"/>
    <w:pPr>
      <w:adjustRightInd/>
      <w:snapToGrid/>
      <w:spacing w:before="60" w:line="460" w:lineRule="exact"/>
      <w:ind w:firstLine="0" w:firstLineChars="0"/>
      <w:jc w:val="both"/>
      <w:outlineLvl w:val="0"/>
    </w:pPr>
    <w:rPr>
      <w:b/>
      <w:sz w:val="32"/>
      <w:szCs w:val="20"/>
    </w:rPr>
  </w:style>
  <w:style w:type="paragraph" w:customStyle="1" w:styleId="1175">
    <w:name w:val="p15"/>
    <w:basedOn w:val="1"/>
    <w:qFormat/>
    <w:uiPriority w:val="0"/>
    <w:pPr>
      <w:adjustRightInd/>
      <w:snapToGrid/>
      <w:spacing w:line="360" w:lineRule="auto"/>
      <w:ind w:firstLine="420" w:firstLineChars="0"/>
      <w:jc w:val="both"/>
    </w:pPr>
    <w:rPr>
      <w:sz w:val="21"/>
      <w:szCs w:val="21"/>
    </w:rPr>
  </w:style>
  <w:style w:type="paragraph" w:customStyle="1" w:styleId="1176">
    <w:name w:val="表内5"/>
    <w:basedOn w:val="1"/>
    <w:qFormat/>
    <w:uiPriority w:val="0"/>
    <w:pPr>
      <w:tabs>
        <w:tab w:val="left" w:pos="4680"/>
      </w:tabs>
      <w:spacing w:line="400" w:lineRule="exact"/>
      <w:ind w:firstLine="0" w:firstLineChars="0"/>
      <w:jc w:val="center"/>
    </w:pPr>
    <w:rPr>
      <w:color w:val="FF0000"/>
      <w:sz w:val="21"/>
      <w:szCs w:val="21"/>
    </w:rPr>
  </w:style>
  <w:style w:type="paragraph" w:customStyle="1" w:styleId="1177">
    <w:name w:val="样式 (符号) 宋体 小四 首行缩进:  0.85 厘米 行距: 1.5 倍行距"/>
    <w:basedOn w:val="1"/>
    <w:qFormat/>
    <w:uiPriority w:val="0"/>
    <w:pPr>
      <w:adjustRightInd/>
      <w:snapToGrid/>
      <w:spacing w:line="360" w:lineRule="auto"/>
      <w:ind w:firstLine="480" w:firstLineChars="0"/>
      <w:jc w:val="both"/>
    </w:pPr>
    <w:rPr>
      <w:rFonts w:cs="宋体"/>
      <w:kern w:val="0"/>
      <w:sz w:val="24"/>
      <w:szCs w:val="20"/>
    </w:rPr>
  </w:style>
  <w:style w:type="paragraph" w:customStyle="1" w:styleId="1178">
    <w:name w:val="封面标准文稿编辑信息"/>
    <w:qFormat/>
    <w:uiPriority w:val="0"/>
    <w:pPr>
      <w:tabs>
        <w:tab w:val="left" w:pos="360"/>
      </w:tabs>
      <w:spacing w:before="180" w:line="180" w:lineRule="exact"/>
      <w:jc w:val="center"/>
    </w:pPr>
    <w:rPr>
      <w:rFonts w:ascii="宋体" w:hAnsi="Times New Roman" w:eastAsia="宋体" w:cs="Times New Roman"/>
      <w:sz w:val="21"/>
      <w:lang w:val="en-US" w:eastAsia="zh-CN" w:bidi="ar-SA"/>
    </w:rPr>
  </w:style>
  <w:style w:type="paragraph" w:customStyle="1" w:styleId="1179">
    <w:name w:val="样式 首行缩进:  0.77 厘米 段前: 7.8 磅 段后: 0.5 行"/>
    <w:basedOn w:val="1"/>
    <w:qFormat/>
    <w:uiPriority w:val="0"/>
    <w:pPr>
      <w:adjustRightInd/>
      <w:spacing w:after="120"/>
      <w:ind w:firstLine="437" w:firstLineChars="0"/>
      <w:jc w:val="both"/>
    </w:pPr>
    <w:rPr>
      <w:rFonts w:eastAsia="仿宋_GB2312"/>
      <w:sz w:val="28"/>
      <w:szCs w:val="20"/>
    </w:rPr>
  </w:style>
  <w:style w:type="paragraph" w:customStyle="1" w:styleId="1180">
    <w:name w:val="标题04"/>
    <w:basedOn w:val="6"/>
    <w:next w:val="1"/>
    <w:qFormat/>
    <w:uiPriority w:val="0"/>
    <w:pPr>
      <w:keepNext/>
      <w:keepLines/>
      <w:widowControl w:val="0"/>
      <w:numPr>
        <w:numId w:val="0"/>
      </w:numPr>
      <w:tabs>
        <w:tab w:val="left" w:pos="1680"/>
        <w:tab w:val="clear" w:pos="0"/>
      </w:tabs>
      <w:adjustRightInd/>
      <w:snapToGrid/>
      <w:spacing w:before="320" w:after="280" w:line="400" w:lineRule="exact"/>
      <w:ind w:firstLine="200" w:firstLineChars="200"/>
      <w:jc w:val="both"/>
    </w:pPr>
    <w:rPr>
      <w:rFonts w:ascii="Arial" w:hAnsi="Arial" w:eastAsia="黑体"/>
      <w:b w:val="0"/>
      <w:snapToGrid/>
      <w:sz w:val="28"/>
    </w:rPr>
  </w:style>
  <w:style w:type="paragraph" w:customStyle="1" w:styleId="1181">
    <w:name w:val="标准-条文1.1.1.1"/>
    <w:basedOn w:val="1182"/>
    <w:qFormat/>
    <w:uiPriority w:val="0"/>
    <w:pPr>
      <w:tabs>
        <w:tab w:val="left" w:pos="4581"/>
      </w:tabs>
      <w:ind w:left="0"/>
      <w:jc w:val="both"/>
      <w:outlineLvl w:val="4"/>
    </w:pPr>
    <w:rPr>
      <w:kern w:val="2"/>
    </w:rPr>
  </w:style>
  <w:style w:type="paragraph" w:customStyle="1" w:styleId="1182">
    <w:name w:val="标准-条文1.1.1"/>
    <w:basedOn w:val="1183"/>
    <w:qFormat/>
    <w:uiPriority w:val="0"/>
    <w:pPr>
      <w:ind w:left="360"/>
      <w:outlineLvl w:val="3"/>
    </w:pPr>
  </w:style>
  <w:style w:type="paragraph" w:customStyle="1" w:styleId="1183">
    <w:name w:val="标准-条文1.1"/>
    <w:next w:val="1"/>
    <w:qFormat/>
    <w:uiPriority w:val="0"/>
    <w:pPr>
      <w:widowControl w:val="0"/>
      <w:adjustRightInd w:val="0"/>
      <w:snapToGrid w:val="0"/>
      <w:spacing w:line="360" w:lineRule="auto"/>
      <w:outlineLvl w:val="2"/>
    </w:pPr>
    <w:rPr>
      <w:rFonts w:ascii="宋体" w:hAnsi="Times New Roman" w:eastAsia="宋体" w:cs="Times New Roman"/>
      <w:sz w:val="24"/>
      <w:lang w:val="en-US" w:eastAsia="zh-CN" w:bidi="ar-SA"/>
    </w:rPr>
  </w:style>
  <w:style w:type="paragraph" w:customStyle="1" w:styleId="1184">
    <w:name w:val="图表标题"/>
    <w:basedOn w:val="1"/>
    <w:link w:val="1340"/>
    <w:qFormat/>
    <w:uiPriority w:val="0"/>
    <w:pPr>
      <w:adjustRightInd/>
      <w:snapToGrid/>
      <w:spacing w:beforeLines="25" w:afterLines="25" w:line="360" w:lineRule="auto"/>
      <w:ind w:firstLine="0" w:firstLineChars="0"/>
      <w:jc w:val="center"/>
      <w:outlineLvl w:val="4"/>
    </w:pPr>
    <w:rPr>
      <w:rFonts w:ascii="宋体" w:hAnsi="宋体"/>
      <w:b/>
      <w:sz w:val="21"/>
      <w:szCs w:val="24"/>
      <w:lang w:val="zh-CN"/>
    </w:rPr>
  </w:style>
  <w:style w:type="paragraph" w:customStyle="1" w:styleId="1185">
    <w:name w:val="标准-章"/>
    <w:next w:val="1183"/>
    <w:qFormat/>
    <w:uiPriority w:val="0"/>
    <w:pPr>
      <w:keepNext/>
      <w:adjustRightInd w:val="0"/>
      <w:snapToGrid w:val="0"/>
      <w:spacing w:beforeLines="50" w:afterLines="50"/>
      <w:outlineLvl w:val="1"/>
    </w:pPr>
    <w:rPr>
      <w:rFonts w:ascii="宋体" w:hAnsi="Times New Roman" w:eastAsia="宋体" w:cs="Times New Roman"/>
      <w:b/>
      <w:sz w:val="28"/>
      <w:lang w:val="en-US" w:eastAsia="zh-CN" w:bidi="ar-SA"/>
    </w:rPr>
  </w:style>
  <w:style w:type="paragraph" w:customStyle="1" w:styleId="1186">
    <w:name w:val="Body Text 22"/>
    <w:basedOn w:val="1"/>
    <w:qFormat/>
    <w:uiPriority w:val="0"/>
    <w:pPr>
      <w:snapToGrid/>
      <w:spacing w:line="440" w:lineRule="atLeast"/>
      <w:ind w:firstLine="480" w:firstLineChars="0"/>
      <w:jc w:val="both"/>
      <w:textAlignment w:val="baseline"/>
    </w:pPr>
    <w:rPr>
      <w:sz w:val="24"/>
      <w:szCs w:val="20"/>
    </w:rPr>
  </w:style>
  <w:style w:type="paragraph" w:customStyle="1" w:styleId="1187">
    <w:name w:val="样式 报告 + 首行缩进:  2 字符 段前: 0.3 行 段后: 0.3 行"/>
    <w:basedOn w:val="1"/>
    <w:qFormat/>
    <w:uiPriority w:val="0"/>
    <w:pPr>
      <w:adjustRightInd/>
      <w:snapToGrid/>
      <w:spacing w:before="200" w:after="200" w:line="400" w:lineRule="atLeast"/>
      <w:ind w:firstLine="480"/>
      <w:jc w:val="both"/>
    </w:pPr>
    <w:rPr>
      <w:sz w:val="24"/>
      <w:szCs w:val="20"/>
    </w:rPr>
  </w:style>
  <w:style w:type="paragraph" w:customStyle="1" w:styleId="1188">
    <w:name w:val="验收报告-条"/>
    <w:qFormat/>
    <w:uiPriority w:val="0"/>
    <w:pPr>
      <w:widowControl w:val="0"/>
      <w:adjustRightInd w:val="0"/>
      <w:snapToGrid w:val="0"/>
      <w:spacing w:line="360" w:lineRule="auto"/>
      <w:ind w:firstLine="227"/>
      <w:outlineLvl w:val="2"/>
    </w:pPr>
    <w:rPr>
      <w:rFonts w:ascii="宋体" w:hAnsi="宋体" w:eastAsia="宋体" w:cs="Times New Roman"/>
      <w:bCs/>
      <w:sz w:val="28"/>
      <w:szCs w:val="32"/>
      <w:lang w:val="en-US" w:eastAsia="zh-CN" w:bidi="ar-SA"/>
    </w:rPr>
  </w:style>
  <w:style w:type="paragraph" w:customStyle="1" w:styleId="1189">
    <w:name w:val="样式 1"/>
    <w:basedOn w:val="1"/>
    <w:link w:val="1314"/>
    <w:qFormat/>
    <w:uiPriority w:val="0"/>
    <w:pPr>
      <w:adjustRightInd/>
      <w:snapToGrid/>
      <w:spacing w:line="360" w:lineRule="auto"/>
      <w:ind w:firstLine="480"/>
      <w:jc w:val="both"/>
    </w:pPr>
    <w:rPr>
      <w:sz w:val="24"/>
      <w:szCs w:val="20"/>
    </w:rPr>
  </w:style>
  <w:style w:type="paragraph" w:customStyle="1" w:styleId="1190">
    <w:name w:val="保留正文"/>
    <w:basedOn w:val="1"/>
    <w:qFormat/>
    <w:uiPriority w:val="0"/>
    <w:pPr>
      <w:keepNext/>
      <w:snapToGrid/>
      <w:spacing w:after="160" w:line="480" w:lineRule="auto"/>
      <w:ind w:firstLine="0" w:firstLineChars="0"/>
      <w:jc w:val="both"/>
      <w:textAlignment w:val="baseline"/>
    </w:pPr>
    <w:rPr>
      <w:rFonts w:ascii="宋体"/>
      <w:kern w:val="0"/>
      <w:sz w:val="24"/>
      <w:szCs w:val="24"/>
    </w:rPr>
  </w:style>
  <w:style w:type="paragraph" w:customStyle="1" w:styleId="1191">
    <w:name w:val="论文正文"/>
    <w:basedOn w:val="21"/>
    <w:qFormat/>
    <w:uiPriority w:val="0"/>
    <w:pPr>
      <w:spacing w:line="240" w:lineRule="auto"/>
      <w:ind w:firstLine="480" w:firstLineChars="200"/>
      <w:jc w:val="both"/>
    </w:pPr>
    <w:rPr>
      <w:rFonts w:ascii="宋体" w:hAnsi="宋体"/>
      <w:b w:val="0"/>
      <w:color w:val="auto"/>
      <w:kern w:val="2"/>
      <w:sz w:val="28"/>
    </w:rPr>
  </w:style>
  <w:style w:type="paragraph" w:customStyle="1" w:styleId="1192">
    <w:name w:val="(a空格行"/>
    <w:basedOn w:val="45"/>
    <w:qFormat/>
    <w:uiPriority w:val="0"/>
    <w:pPr>
      <w:ind w:firstLine="480" w:firstLineChars="200"/>
    </w:pPr>
    <w:rPr>
      <w:rFonts w:ascii="Times New Roman" w:hAnsi="Times New Roman"/>
      <w:sz w:val="10"/>
      <w:szCs w:val="24"/>
    </w:rPr>
  </w:style>
  <w:style w:type="paragraph" w:customStyle="1" w:styleId="1193">
    <w:name w:val="君邦正文"/>
    <w:link w:val="1302"/>
    <w:qFormat/>
    <w:uiPriority w:val="0"/>
    <w:pPr>
      <w:spacing w:line="360" w:lineRule="auto"/>
      <w:ind w:left="-4" w:leftChars="-2" w:firstLine="480" w:firstLineChars="200"/>
      <w:jc w:val="both"/>
    </w:pPr>
    <w:rPr>
      <w:rFonts w:ascii="宋体" w:hAnsi="宋体" w:eastAsia="宋体" w:cs="Times New Roman"/>
      <w:kern w:val="2"/>
      <w:sz w:val="24"/>
      <w:lang w:val="en-US" w:eastAsia="zh-CN" w:bidi="ar-SA"/>
    </w:rPr>
  </w:style>
  <w:style w:type="paragraph" w:customStyle="1" w:styleId="1194">
    <w:name w:val="reader-word-layer reader-word-s2-4"/>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195">
    <w:name w:val="验收报告-款"/>
    <w:qFormat/>
    <w:uiPriority w:val="0"/>
    <w:pPr>
      <w:widowControl w:val="0"/>
      <w:tabs>
        <w:tab w:val="left" w:pos="360"/>
      </w:tabs>
      <w:adjustRightInd w:val="0"/>
      <w:snapToGrid w:val="0"/>
      <w:spacing w:line="360" w:lineRule="auto"/>
      <w:ind w:firstLine="100" w:firstLineChars="100"/>
      <w:outlineLvl w:val="3"/>
    </w:pPr>
    <w:rPr>
      <w:rFonts w:ascii="宋体" w:hAnsi="宋体" w:eastAsia="宋体" w:cs="Times New Roman"/>
      <w:sz w:val="28"/>
      <w:lang w:val="en-US" w:eastAsia="zh-CN" w:bidi="ar-SA"/>
    </w:rPr>
  </w:style>
  <w:style w:type="paragraph" w:customStyle="1" w:styleId="1196">
    <w:name w:val="验收报告-章"/>
    <w:next w:val="1"/>
    <w:qFormat/>
    <w:uiPriority w:val="0"/>
    <w:pPr>
      <w:keepNext/>
      <w:widowControl w:val="0"/>
      <w:adjustRightInd w:val="0"/>
      <w:snapToGrid w:val="0"/>
      <w:spacing w:beforeLines="150" w:afterLines="200"/>
      <w:jc w:val="both"/>
      <w:outlineLvl w:val="0"/>
    </w:pPr>
    <w:rPr>
      <w:rFonts w:ascii="宋体" w:hAnsi="宋体" w:eastAsia="宋体" w:cs="Times New Roman"/>
      <w:b/>
      <w:sz w:val="32"/>
      <w:lang w:val="en-US" w:eastAsia="zh-CN" w:bidi="ar-SA"/>
    </w:rPr>
  </w:style>
  <w:style w:type="paragraph" w:customStyle="1" w:styleId="1197">
    <w:name w:val="Plain Text1"/>
    <w:basedOn w:val="1"/>
    <w:qFormat/>
    <w:uiPriority w:val="0"/>
    <w:pPr>
      <w:autoSpaceDE w:val="0"/>
      <w:autoSpaceDN w:val="0"/>
      <w:snapToGrid/>
      <w:spacing w:line="240" w:lineRule="auto"/>
      <w:ind w:firstLine="0" w:firstLineChars="0"/>
      <w:jc w:val="both"/>
      <w:textAlignment w:val="baseline"/>
    </w:pPr>
    <w:rPr>
      <w:rFonts w:ascii="宋体" w:hAnsi="Tms Rmn"/>
      <w:kern w:val="0"/>
      <w:sz w:val="21"/>
      <w:szCs w:val="20"/>
    </w:rPr>
  </w:style>
  <w:style w:type="paragraph" w:customStyle="1" w:styleId="1198">
    <w:name w:val="样式12"/>
    <w:basedOn w:val="409"/>
    <w:qFormat/>
    <w:uiPriority w:val="0"/>
    <w:pPr>
      <w:tabs>
        <w:tab w:val="center" w:pos="4153"/>
        <w:tab w:val="right" w:pos="8306"/>
      </w:tabs>
      <w:adjustRightInd/>
      <w:snapToGrid/>
      <w:spacing w:beforeLines="0" w:line="240" w:lineRule="auto"/>
      <w:outlineLvl w:val="9"/>
    </w:pPr>
    <w:rPr>
      <w:bCs w:val="0"/>
      <w:color w:val="000000"/>
      <w:sz w:val="21"/>
      <w:szCs w:val="24"/>
    </w:rPr>
  </w:style>
  <w:style w:type="paragraph" w:customStyle="1" w:styleId="1199">
    <w:name w:val="验收报告-项"/>
    <w:next w:val="1"/>
    <w:qFormat/>
    <w:uiPriority w:val="0"/>
    <w:pPr>
      <w:keepNext/>
      <w:widowControl w:val="0"/>
      <w:tabs>
        <w:tab w:val="left" w:pos="720"/>
      </w:tabs>
      <w:adjustRightInd w:val="0"/>
      <w:snapToGrid w:val="0"/>
      <w:spacing w:beforeLines="200" w:afterLines="100"/>
      <w:outlineLvl w:val="1"/>
    </w:pPr>
    <w:rPr>
      <w:rFonts w:ascii="宋体" w:hAnsi="宋体" w:eastAsia="宋体" w:cs="Times New Roman"/>
      <w:b/>
      <w:sz w:val="28"/>
      <w:lang w:val="en-US" w:eastAsia="zh-CN" w:bidi="ar-SA"/>
    </w:rPr>
  </w:style>
  <w:style w:type="paragraph" w:customStyle="1" w:styleId="1200">
    <w:name w:val="1文章"/>
    <w:basedOn w:val="1"/>
    <w:qFormat/>
    <w:uiPriority w:val="0"/>
    <w:pPr>
      <w:adjustRightInd/>
      <w:spacing w:line="240" w:lineRule="auto"/>
      <w:ind w:firstLine="0" w:firstLineChars="0"/>
      <w:jc w:val="center"/>
    </w:pPr>
    <w:rPr>
      <w:color w:val="000000"/>
      <w:sz w:val="21"/>
      <w:szCs w:val="20"/>
    </w:rPr>
  </w:style>
  <w:style w:type="paragraph" w:customStyle="1" w:styleId="1201">
    <w:name w:val="样式 样式1 + 宋体 小四1"/>
    <w:basedOn w:val="215"/>
    <w:qFormat/>
    <w:uiPriority w:val="0"/>
    <w:pPr>
      <w:keepNext/>
      <w:keepLines/>
      <w:widowControl/>
      <w:adjustRightInd/>
      <w:snapToGrid/>
      <w:spacing w:before="340" w:after="330" w:line="360" w:lineRule="auto"/>
      <w:ind w:firstLine="200"/>
      <w:jc w:val="left"/>
      <w:outlineLvl w:val="0"/>
    </w:pPr>
    <w:rPr>
      <w:kern w:val="0"/>
      <w:sz w:val="24"/>
      <w:szCs w:val="30"/>
    </w:rPr>
  </w:style>
  <w:style w:type="paragraph" w:customStyle="1" w:styleId="1202">
    <w:name w:val="正文02"/>
    <w:basedOn w:val="21"/>
    <w:qFormat/>
    <w:uiPriority w:val="0"/>
    <w:pPr>
      <w:spacing w:before="300" w:line="460" w:lineRule="exact"/>
      <w:ind w:firstLine="200" w:firstLineChars="200"/>
      <w:jc w:val="both"/>
    </w:pPr>
    <w:rPr>
      <w:b w:val="0"/>
      <w:color w:val="auto"/>
      <w:kern w:val="2"/>
    </w:rPr>
  </w:style>
  <w:style w:type="paragraph" w:customStyle="1" w:styleId="1203">
    <w:name w:val="unnamed2 style13"/>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04">
    <w:name w:val="正文首行缩进 2 + Times New Roman"/>
    <w:basedOn w:val="1"/>
    <w:link w:val="1334"/>
    <w:qFormat/>
    <w:uiPriority w:val="0"/>
    <w:pPr>
      <w:tabs>
        <w:tab w:val="left" w:pos="0"/>
        <w:tab w:val="left" w:pos="870"/>
        <w:tab w:val="left" w:pos="3150"/>
      </w:tabs>
      <w:autoSpaceDE w:val="0"/>
      <w:autoSpaceDN w:val="0"/>
      <w:adjustRightInd/>
      <w:snapToGrid/>
      <w:spacing w:line="360" w:lineRule="auto"/>
      <w:ind w:firstLine="480"/>
    </w:pPr>
    <w:rPr>
      <w:kern w:val="0"/>
      <w:sz w:val="24"/>
      <w:szCs w:val="24"/>
    </w:rPr>
  </w:style>
  <w:style w:type="paragraph" w:customStyle="1" w:styleId="1205">
    <w:name w:val="样式16"/>
    <w:basedOn w:val="1206"/>
    <w:qFormat/>
    <w:uiPriority w:val="0"/>
    <w:pPr>
      <w:pBdr>
        <w:top w:val="none" w:color="auto" w:sz="0" w:space="0"/>
      </w:pBdr>
      <w:snapToGrid/>
      <w:spacing w:line="460" w:lineRule="exact"/>
      <w:ind w:right="0" w:firstLine="480" w:firstLineChars="200"/>
      <w:jc w:val="both"/>
    </w:pPr>
    <w:rPr>
      <w:rFonts w:ascii="Times New Roman" w:hAnsi="Times New Roman"/>
      <w:color w:val="000000"/>
      <w:kern w:val="0"/>
      <w:sz w:val="24"/>
      <w:szCs w:val="24"/>
    </w:rPr>
  </w:style>
  <w:style w:type="paragraph" w:customStyle="1" w:styleId="1206">
    <w:name w:val="样式9"/>
    <w:basedOn w:val="297"/>
    <w:link w:val="1323"/>
    <w:qFormat/>
    <w:uiPriority w:val="0"/>
    <w:pPr>
      <w:numPr>
        <w:ilvl w:val="0"/>
        <w:numId w:val="15"/>
      </w:numPr>
      <w:pBdr>
        <w:top w:val="single" w:color="auto" w:sz="6" w:space="1"/>
      </w:pBdr>
      <w:adjustRightInd/>
      <w:spacing w:beforeLines="0" w:afterLines="0" w:line="240" w:lineRule="auto"/>
      <w:ind w:right="360" w:firstLine="0" w:firstLineChars="0"/>
    </w:pPr>
    <w:rPr>
      <w:rFonts w:ascii="宋体" w:hAnsi="宋体" w:cs="Times New Roman"/>
      <w:sz w:val="18"/>
      <w:szCs w:val="18"/>
    </w:rPr>
  </w:style>
  <w:style w:type="paragraph" w:customStyle="1" w:styleId="1207">
    <w:name w:val="表格001"/>
    <w:basedOn w:val="1"/>
    <w:link w:val="1305"/>
    <w:qFormat/>
    <w:uiPriority w:val="0"/>
    <w:pPr>
      <w:adjustRightInd/>
      <w:snapToGrid/>
      <w:spacing w:line="240" w:lineRule="auto"/>
      <w:ind w:firstLine="0" w:firstLineChars="0"/>
      <w:jc w:val="center"/>
    </w:pPr>
    <w:rPr>
      <w:sz w:val="21"/>
      <w:szCs w:val="20"/>
    </w:rPr>
  </w:style>
  <w:style w:type="paragraph" w:customStyle="1" w:styleId="1208">
    <w:name w:val="样式 样式 正文首行缩进 + 首行缩进:  2 字符 + 首行缩进:  2 字符"/>
    <w:basedOn w:val="1"/>
    <w:qFormat/>
    <w:uiPriority w:val="0"/>
    <w:pPr>
      <w:topLinePunct/>
      <w:spacing w:line="360" w:lineRule="auto"/>
      <w:ind w:firstLine="480" w:firstLineChars="0"/>
      <w:jc w:val="both"/>
      <w:textAlignment w:val="baseline"/>
    </w:pPr>
    <w:rPr>
      <w:rFonts w:hAnsi="宋体" w:eastAsia="Times New Roman"/>
      <w:kern w:val="0"/>
      <w:sz w:val="24"/>
      <w:szCs w:val="20"/>
    </w:rPr>
  </w:style>
  <w:style w:type="paragraph" w:customStyle="1" w:styleId="1209">
    <w:name w:val="td"/>
    <w:basedOn w:val="1"/>
    <w:qFormat/>
    <w:uiPriority w:val="0"/>
    <w:pPr>
      <w:widowControl/>
      <w:adjustRightInd/>
      <w:snapToGrid/>
      <w:spacing w:before="100" w:beforeAutospacing="1" w:after="100" w:afterAutospacing="1" w:line="240" w:lineRule="auto"/>
      <w:ind w:firstLine="0" w:firstLineChars="0"/>
    </w:pPr>
    <w:rPr>
      <w:rFonts w:ascii="Arial Unicode MS" w:hAnsi="Arial Unicode MS" w:eastAsia="Arial Unicode MS" w:cs="Arial Unicode MS"/>
      <w:kern w:val="0"/>
      <w:sz w:val="24"/>
      <w:szCs w:val="24"/>
    </w:rPr>
  </w:style>
  <w:style w:type="paragraph" w:customStyle="1" w:styleId="1210">
    <w:name w:val="样式 (符号) 宋体 小四 加粗 居中 行距: 1.5 倍行距"/>
    <w:basedOn w:val="1"/>
    <w:qFormat/>
    <w:uiPriority w:val="0"/>
    <w:pPr>
      <w:adjustRightInd/>
      <w:snapToGrid/>
      <w:spacing w:line="360" w:lineRule="auto"/>
      <w:ind w:firstLine="482"/>
      <w:jc w:val="center"/>
    </w:pPr>
    <w:rPr>
      <w:rFonts w:cs="宋体"/>
      <w:bCs/>
      <w:sz w:val="21"/>
      <w:szCs w:val="21"/>
    </w:rPr>
  </w:style>
  <w:style w:type="paragraph" w:customStyle="1" w:styleId="1211">
    <w:name w:val="style6 style23"/>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12">
    <w:name w:val="unnamed2"/>
    <w:basedOn w:val="1"/>
    <w:qFormat/>
    <w:uiPriority w:val="0"/>
    <w:pPr>
      <w:widowControl/>
      <w:adjustRightInd/>
      <w:snapToGrid/>
      <w:spacing w:before="100" w:beforeAutospacing="1" w:after="100" w:afterAutospacing="1" w:line="300" w:lineRule="atLeast"/>
      <w:ind w:firstLine="0" w:firstLineChars="0"/>
    </w:pPr>
    <w:rPr>
      <w:rFonts w:ascii="宋体" w:hAnsi="宋体" w:cs="宋体"/>
      <w:color w:val="666666"/>
      <w:kern w:val="0"/>
      <w:sz w:val="18"/>
      <w:szCs w:val="18"/>
    </w:rPr>
  </w:style>
  <w:style w:type="paragraph" w:customStyle="1" w:styleId="1213">
    <w:name w:val="1表格"/>
    <w:basedOn w:val="1"/>
    <w:qFormat/>
    <w:uiPriority w:val="0"/>
    <w:pPr>
      <w:adjustRightInd/>
      <w:spacing w:line="240" w:lineRule="auto"/>
      <w:ind w:firstLine="0" w:firstLineChars="0"/>
      <w:jc w:val="center"/>
      <w:outlineLvl w:val="4"/>
    </w:pPr>
    <w:rPr>
      <w:spacing w:val="4"/>
      <w:sz w:val="21"/>
      <w:szCs w:val="24"/>
    </w:rPr>
  </w:style>
  <w:style w:type="paragraph" w:customStyle="1" w:styleId="1214">
    <w:name w:val="列表1"/>
    <w:basedOn w:val="1"/>
    <w:next w:val="66"/>
    <w:qFormat/>
    <w:uiPriority w:val="0"/>
    <w:pPr>
      <w:adjustRightInd/>
      <w:snapToGrid/>
      <w:spacing w:before="60" w:line="240" w:lineRule="exact"/>
      <w:ind w:firstLine="0" w:firstLineChars="0"/>
      <w:jc w:val="center"/>
    </w:pPr>
    <w:rPr>
      <w:rFonts w:ascii="宋体" w:hAnsi="宋体"/>
      <w:sz w:val="24"/>
      <w:szCs w:val="20"/>
    </w:rPr>
  </w:style>
  <w:style w:type="paragraph" w:customStyle="1" w:styleId="1215">
    <w:name w:val="5文章(治)"/>
    <w:basedOn w:val="1"/>
    <w:qFormat/>
    <w:uiPriority w:val="0"/>
    <w:pPr>
      <w:adjustRightInd/>
      <w:snapToGrid/>
      <w:spacing w:line="360" w:lineRule="auto"/>
      <w:ind w:firstLine="480"/>
      <w:jc w:val="both"/>
    </w:pPr>
    <w:rPr>
      <w:sz w:val="24"/>
      <w:szCs w:val="24"/>
    </w:rPr>
  </w:style>
  <w:style w:type="paragraph" w:customStyle="1" w:styleId="1216">
    <w:name w:val="Char Char1 Char Char Char Char Char Char Char Char Char Char Char Char Char Char Char Char Char Char"/>
    <w:basedOn w:val="1"/>
    <w:qFormat/>
    <w:uiPriority w:val="0"/>
    <w:pPr>
      <w:adjustRightInd/>
      <w:snapToGrid/>
      <w:spacing w:line="360" w:lineRule="auto"/>
      <w:jc w:val="both"/>
    </w:pPr>
    <w:rPr>
      <w:rFonts w:ascii="宋体" w:hAnsi="宋体" w:cs="宋体"/>
      <w:sz w:val="24"/>
      <w:szCs w:val="24"/>
    </w:rPr>
  </w:style>
  <w:style w:type="paragraph" w:customStyle="1" w:styleId="1217">
    <w:name w:val="样式 样式 样式 样式1 + 宋体 小四 + 首行缩进:  2 字符 + 宋体"/>
    <w:basedOn w:val="1218"/>
    <w:qFormat/>
    <w:uiPriority w:val="0"/>
  </w:style>
  <w:style w:type="paragraph" w:customStyle="1" w:styleId="1218">
    <w:name w:val="样式 样式 样式1 + 宋体 小四 + 首行缩进:  2 字符"/>
    <w:basedOn w:val="1219"/>
    <w:qFormat/>
    <w:uiPriority w:val="0"/>
    <w:pPr>
      <w:ind w:firstLine="480"/>
    </w:pPr>
    <w:rPr>
      <w:rFonts w:ascii="Times New Roman" w:hAnsi="Times New Roman" w:cs="宋体"/>
      <w:szCs w:val="24"/>
    </w:rPr>
  </w:style>
  <w:style w:type="paragraph" w:customStyle="1" w:styleId="1219">
    <w:name w:val="样式 样式1 + 宋体 小四"/>
    <w:basedOn w:val="215"/>
    <w:qFormat/>
    <w:uiPriority w:val="0"/>
    <w:pPr>
      <w:keepNext/>
      <w:keepLines/>
      <w:widowControl/>
      <w:adjustRightInd/>
      <w:snapToGrid/>
      <w:spacing w:before="340" w:after="330" w:line="360" w:lineRule="auto"/>
      <w:ind w:firstLine="200"/>
      <w:jc w:val="left"/>
      <w:outlineLvl w:val="0"/>
    </w:pPr>
    <w:rPr>
      <w:rFonts w:ascii="宋体" w:hAnsi="宋体"/>
      <w:kern w:val="0"/>
      <w:sz w:val="24"/>
      <w:szCs w:val="30"/>
    </w:rPr>
  </w:style>
  <w:style w:type="paragraph" w:customStyle="1" w:styleId="1220">
    <w:name w:val="BG5"/>
    <w:basedOn w:val="1"/>
    <w:qFormat/>
    <w:uiPriority w:val="0"/>
    <w:pPr>
      <w:autoSpaceDE w:val="0"/>
      <w:autoSpaceDN w:val="0"/>
      <w:snapToGrid/>
      <w:spacing w:line="200" w:lineRule="exact"/>
      <w:ind w:firstLine="0" w:firstLineChars="0"/>
      <w:jc w:val="center"/>
      <w:textAlignment w:val="baseline"/>
    </w:pPr>
    <w:rPr>
      <w:rFonts w:ascii="@宋体"/>
      <w:kern w:val="0"/>
      <w:sz w:val="21"/>
      <w:szCs w:val="20"/>
    </w:rPr>
  </w:style>
  <w:style w:type="paragraph" w:customStyle="1" w:styleId="1221">
    <w:name w:val="样式 样式1 + 宋体 小四2"/>
    <w:basedOn w:val="215"/>
    <w:link w:val="1299"/>
    <w:qFormat/>
    <w:uiPriority w:val="0"/>
    <w:pPr>
      <w:keepNext/>
      <w:keepLines/>
      <w:widowControl/>
      <w:adjustRightInd/>
      <w:snapToGrid/>
      <w:spacing w:before="340" w:after="330" w:line="360" w:lineRule="auto"/>
      <w:ind w:firstLine="200"/>
      <w:jc w:val="left"/>
      <w:outlineLvl w:val="0"/>
    </w:pPr>
    <w:rPr>
      <w:spacing w:val="-2"/>
      <w:kern w:val="0"/>
      <w:sz w:val="24"/>
      <w:szCs w:val="30"/>
    </w:rPr>
  </w:style>
  <w:style w:type="paragraph" w:customStyle="1" w:styleId="1222">
    <w:name w:val="bg"/>
    <w:basedOn w:val="1"/>
    <w:qFormat/>
    <w:uiPriority w:val="0"/>
    <w:pPr>
      <w:widowControl/>
      <w:adjustRightInd/>
      <w:snapToGrid/>
      <w:spacing w:line="240" w:lineRule="auto"/>
      <w:ind w:firstLine="0" w:firstLineChars="0"/>
      <w:jc w:val="both"/>
    </w:pPr>
    <w:rPr>
      <w:kern w:val="0"/>
      <w:sz w:val="24"/>
      <w:szCs w:val="20"/>
    </w:rPr>
  </w:style>
  <w:style w:type="paragraph" w:customStyle="1" w:styleId="1223">
    <w:name w:val="a2"/>
    <w:basedOn w:val="1"/>
    <w:qFormat/>
    <w:uiPriority w:val="0"/>
    <w:pPr>
      <w:adjustRightInd/>
      <w:snapToGrid/>
      <w:spacing w:beforeLines="50" w:line="240" w:lineRule="auto"/>
      <w:ind w:firstLine="0" w:firstLineChars="0"/>
      <w:outlineLvl w:val="1"/>
    </w:pPr>
    <w:rPr>
      <w:rFonts w:eastAsia="楷体_GB2312"/>
      <w:b/>
      <w:sz w:val="28"/>
      <w:szCs w:val="28"/>
    </w:rPr>
  </w:style>
  <w:style w:type="paragraph" w:customStyle="1" w:styleId="1224">
    <w:name w:val="样式 样式1 + (西文) Times New Roman (中文) 宋体 小四 非加粗"/>
    <w:basedOn w:val="215"/>
    <w:next w:val="215"/>
    <w:link w:val="1346"/>
    <w:qFormat/>
    <w:uiPriority w:val="0"/>
    <w:pPr>
      <w:keepNext/>
      <w:keepLines/>
      <w:widowControl/>
      <w:adjustRightInd/>
      <w:snapToGrid/>
      <w:spacing w:before="340" w:after="330" w:line="360" w:lineRule="auto"/>
      <w:ind w:firstLine="200"/>
      <w:jc w:val="left"/>
      <w:outlineLvl w:val="0"/>
    </w:pPr>
    <w:rPr>
      <w:b/>
      <w:sz w:val="24"/>
      <w:szCs w:val="24"/>
    </w:rPr>
  </w:style>
  <w:style w:type="paragraph" w:customStyle="1" w:styleId="1225">
    <w:name w:val="1级标题"/>
    <w:basedOn w:val="1"/>
    <w:qFormat/>
    <w:uiPriority w:val="0"/>
    <w:pPr>
      <w:adjustRightInd/>
      <w:snapToGrid/>
      <w:spacing w:before="60" w:line="460" w:lineRule="exact"/>
      <w:ind w:firstLine="0" w:firstLineChars="0"/>
      <w:jc w:val="both"/>
      <w:outlineLvl w:val="0"/>
    </w:pPr>
    <w:rPr>
      <w:rFonts w:ascii="Arial" w:hAnsi="Arial"/>
      <w:b/>
      <w:color w:val="000000"/>
      <w:sz w:val="36"/>
      <w:szCs w:val="24"/>
    </w:rPr>
  </w:style>
  <w:style w:type="paragraph" w:customStyle="1" w:styleId="1226">
    <w:name w:val="正文0001"/>
    <w:basedOn w:val="86"/>
    <w:qFormat/>
    <w:uiPriority w:val="0"/>
    <w:pPr>
      <w:spacing w:line="360" w:lineRule="auto"/>
    </w:pPr>
    <w:rPr>
      <w:color w:val="auto"/>
      <w:szCs w:val="20"/>
    </w:rPr>
  </w:style>
  <w:style w:type="paragraph" w:customStyle="1" w:styleId="1227">
    <w:name w:val="xz3"/>
    <w:basedOn w:val="1"/>
    <w:qFormat/>
    <w:uiPriority w:val="0"/>
    <w:pPr>
      <w:adjustRightInd/>
      <w:snapToGrid/>
      <w:spacing w:beforeLines="50" w:line="240" w:lineRule="auto"/>
      <w:ind w:firstLine="0" w:firstLineChars="0"/>
      <w:outlineLvl w:val="2"/>
    </w:pPr>
    <w:rPr>
      <w:rFonts w:ascii="楷体_GB2312" w:eastAsia="楷体_GB2312"/>
      <w:b/>
      <w:sz w:val="30"/>
      <w:szCs w:val="32"/>
    </w:rPr>
  </w:style>
  <w:style w:type="paragraph" w:customStyle="1" w:styleId="1228">
    <w:name w:val="样式 小四 加粗 居中 行距: 1.5 倍行距"/>
    <w:basedOn w:val="1"/>
    <w:qFormat/>
    <w:uiPriority w:val="0"/>
    <w:pPr>
      <w:adjustRightInd/>
      <w:snapToGrid/>
      <w:spacing w:line="360" w:lineRule="auto"/>
      <w:ind w:firstLine="0" w:firstLineChars="0"/>
      <w:jc w:val="center"/>
    </w:pPr>
    <w:rPr>
      <w:rFonts w:cs="宋体"/>
      <w:bCs/>
      <w:sz w:val="21"/>
      <w:szCs w:val="21"/>
    </w:rPr>
  </w:style>
  <w:style w:type="paragraph" w:customStyle="1" w:styleId="1229">
    <w:name w:val="a表格"/>
    <w:basedOn w:val="1"/>
    <w:qFormat/>
    <w:uiPriority w:val="0"/>
    <w:pPr>
      <w:adjustRightInd/>
      <w:spacing w:line="240" w:lineRule="auto"/>
      <w:ind w:firstLine="0" w:firstLineChars="0"/>
      <w:jc w:val="center"/>
      <w:outlineLvl w:val="2"/>
    </w:pPr>
    <w:rPr>
      <w:sz w:val="21"/>
      <w:szCs w:val="30"/>
    </w:rPr>
  </w:style>
  <w:style w:type="paragraph" w:customStyle="1" w:styleId="1230">
    <w:name w:val="Char Char Char Char Char Char1 Char Char Char Char"/>
    <w:basedOn w:val="1"/>
    <w:qFormat/>
    <w:uiPriority w:val="0"/>
    <w:pPr>
      <w:adjustRightInd/>
      <w:snapToGrid/>
      <w:spacing w:line="240" w:lineRule="auto"/>
      <w:ind w:firstLine="0" w:firstLineChars="0"/>
      <w:jc w:val="both"/>
    </w:pPr>
    <w:rPr>
      <w:sz w:val="24"/>
      <w:szCs w:val="24"/>
    </w:rPr>
  </w:style>
  <w:style w:type="paragraph" w:customStyle="1" w:styleId="1231">
    <w:name w:val="表内"/>
    <w:basedOn w:val="1"/>
    <w:link w:val="1310"/>
    <w:qFormat/>
    <w:uiPriority w:val="0"/>
    <w:pPr>
      <w:adjustRightInd/>
      <w:snapToGrid/>
      <w:spacing w:line="240" w:lineRule="auto"/>
      <w:ind w:firstLine="0" w:firstLineChars="0"/>
      <w:jc w:val="center"/>
    </w:pPr>
    <w:rPr>
      <w:sz w:val="21"/>
      <w:szCs w:val="24"/>
    </w:rPr>
  </w:style>
  <w:style w:type="paragraph" w:customStyle="1" w:styleId="1232">
    <w:name w:val="黄小林图题"/>
    <w:basedOn w:val="1"/>
    <w:qFormat/>
    <w:uiPriority w:val="0"/>
    <w:pPr>
      <w:adjustRightInd/>
      <w:snapToGrid/>
      <w:spacing w:line="240" w:lineRule="auto"/>
      <w:ind w:firstLine="0" w:firstLineChars="0"/>
      <w:jc w:val="center"/>
      <w:outlineLvl w:val="0"/>
    </w:pPr>
    <w:rPr>
      <w:sz w:val="28"/>
      <w:szCs w:val="20"/>
    </w:rPr>
  </w:style>
  <w:style w:type="paragraph" w:customStyle="1" w:styleId="1233">
    <w:name w:val="编号1"/>
    <w:basedOn w:val="1"/>
    <w:qFormat/>
    <w:uiPriority w:val="0"/>
    <w:pPr>
      <w:tabs>
        <w:tab w:val="left" w:pos="1230"/>
      </w:tabs>
      <w:adjustRightInd/>
      <w:snapToGrid/>
      <w:spacing w:line="240" w:lineRule="auto"/>
      <w:ind w:left="1230" w:hanging="600" w:firstLineChars="0"/>
      <w:jc w:val="both"/>
    </w:pPr>
    <w:rPr>
      <w:sz w:val="21"/>
      <w:szCs w:val="20"/>
    </w:rPr>
  </w:style>
  <w:style w:type="paragraph" w:customStyle="1" w:styleId="1234">
    <w:name w:val="样式22"/>
    <w:basedOn w:val="1"/>
    <w:qFormat/>
    <w:uiPriority w:val="0"/>
    <w:pPr>
      <w:pBdr>
        <w:bottom w:val="thinThickSmallGap" w:color="auto" w:sz="18" w:space="1"/>
      </w:pBdr>
      <w:adjustRightInd/>
      <w:snapToGrid/>
      <w:spacing w:line="240" w:lineRule="auto"/>
      <w:ind w:firstLine="0" w:firstLineChars="0"/>
      <w:jc w:val="center"/>
    </w:pPr>
    <w:rPr>
      <w:sz w:val="18"/>
      <w:szCs w:val="18"/>
    </w:rPr>
  </w:style>
  <w:style w:type="paragraph" w:customStyle="1" w:styleId="1235">
    <w:name w:val="样式 (中文) 仿宋_GB2312 小四 行距: 1.5 倍行距1"/>
    <w:basedOn w:val="1"/>
    <w:qFormat/>
    <w:uiPriority w:val="0"/>
    <w:pPr>
      <w:adjustRightInd/>
      <w:snapToGrid/>
      <w:spacing w:line="360" w:lineRule="auto"/>
      <w:ind w:firstLine="480"/>
      <w:jc w:val="both"/>
    </w:pPr>
    <w:rPr>
      <w:rFonts w:cs="宋体"/>
      <w:sz w:val="24"/>
      <w:szCs w:val="20"/>
    </w:rPr>
  </w:style>
  <w:style w:type="paragraph" w:customStyle="1" w:styleId="1236">
    <w:name w:val="样式 (中文) 仿宋_GB2312 小四 加粗 行距: 1.5 倍行距"/>
    <w:basedOn w:val="1"/>
    <w:qFormat/>
    <w:uiPriority w:val="0"/>
    <w:pPr>
      <w:adjustRightInd/>
      <w:snapToGrid/>
      <w:spacing w:line="360" w:lineRule="auto"/>
      <w:ind w:firstLine="482"/>
      <w:jc w:val="both"/>
    </w:pPr>
    <w:rPr>
      <w:rFonts w:cs="宋体"/>
      <w:b/>
      <w:bCs/>
      <w:sz w:val="24"/>
      <w:szCs w:val="20"/>
    </w:rPr>
  </w:style>
  <w:style w:type="paragraph" w:customStyle="1" w:styleId="1237">
    <w:name w:val="样式 正文001 + 首行缩进:  2 字符1"/>
    <w:basedOn w:val="1"/>
    <w:qFormat/>
    <w:uiPriority w:val="0"/>
    <w:pPr>
      <w:adjustRightInd/>
      <w:snapToGrid/>
      <w:spacing w:before="60" w:line="460" w:lineRule="exact"/>
      <w:ind w:firstLine="480"/>
      <w:jc w:val="both"/>
    </w:pPr>
    <w:rPr>
      <w:sz w:val="24"/>
      <w:szCs w:val="20"/>
    </w:rPr>
  </w:style>
  <w:style w:type="paragraph" w:customStyle="1" w:styleId="1238">
    <w:name w:val="(a表格标题"/>
    <w:basedOn w:val="1"/>
    <w:qFormat/>
    <w:uiPriority w:val="0"/>
    <w:pPr>
      <w:adjustRightInd/>
      <w:snapToGrid/>
      <w:spacing w:line="240" w:lineRule="auto"/>
      <w:ind w:firstLine="0" w:firstLineChars="0"/>
      <w:jc w:val="center"/>
    </w:pPr>
    <w:rPr>
      <w:rFonts w:eastAsia="黑体"/>
      <w:b/>
      <w:color w:val="000000"/>
      <w:sz w:val="21"/>
      <w:szCs w:val="21"/>
    </w:rPr>
  </w:style>
  <w:style w:type="paragraph" w:customStyle="1" w:styleId="1239">
    <w:name w:val="reader-word-layer reader-word-s2-5"/>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40">
    <w:name w:val="注解"/>
    <w:basedOn w:val="21"/>
    <w:qFormat/>
    <w:uiPriority w:val="0"/>
    <w:pPr>
      <w:spacing w:before="60" w:line="360" w:lineRule="exact"/>
      <w:ind w:firstLine="200" w:firstLineChars="200"/>
      <w:jc w:val="both"/>
    </w:pPr>
    <w:rPr>
      <w:b w:val="0"/>
      <w:color w:val="auto"/>
      <w:kern w:val="2"/>
      <w:sz w:val="21"/>
    </w:rPr>
  </w:style>
  <w:style w:type="paragraph" w:customStyle="1" w:styleId="1241">
    <w:name w:val="内容小标题"/>
    <w:basedOn w:val="1"/>
    <w:link w:val="1318"/>
    <w:qFormat/>
    <w:uiPriority w:val="0"/>
    <w:pPr>
      <w:adjustRightInd/>
      <w:snapToGrid/>
      <w:spacing w:line="360" w:lineRule="auto"/>
      <w:ind w:firstLine="0" w:firstLineChars="0"/>
    </w:pPr>
    <w:rPr>
      <w:b/>
      <w:sz w:val="24"/>
      <w:szCs w:val="24"/>
    </w:rPr>
  </w:style>
  <w:style w:type="paragraph" w:customStyle="1" w:styleId="1242">
    <w:name w:val="Char Char Char2 Char"/>
    <w:basedOn w:val="1"/>
    <w:qFormat/>
    <w:uiPriority w:val="0"/>
    <w:pPr>
      <w:tabs>
        <w:tab w:val="left" w:pos="1230"/>
      </w:tabs>
      <w:adjustRightInd/>
      <w:snapToGrid/>
      <w:spacing w:line="240" w:lineRule="auto"/>
      <w:ind w:left="1230" w:hanging="600" w:firstLineChars="0"/>
      <w:jc w:val="both"/>
    </w:pPr>
    <w:rPr>
      <w:sz w:val="21"/>
      <w:szCs w:val="24"/>
    </w:rPr>
  </w:style>
  <w:style w:type="paragraph" w:customStyle="1" w:styleId="1243">
    <w:name w:val="2级标题"/>
    <w:basedOn w:val="1"/>
    <w:link w:val="1880"/>
    <w:qFormat/>
    <w:uiPriority w:val="0"/>
    <w:pPr>
      <w:adjustRightInd/>
      <w:snapToGrid/>
      <w:spacing w:before="60" w:line="360" w:lineRule="auto"/>
      <w:ind w:firstLine="0" w:firstLineChars="0"/>
      <w:jc w:val="both"/>
      <w:outlineLvl w:val="1"/>
    </w:pPr>
    <w:rPr>
      <w:rFonts w:ascii="Arial" w:hAnsi="Arial"/>
      <w:b/>
      <w:color w:val="000000"/>
      <w:sz w:val="30"/>
      <w:szCs w:val="24"/>
    </w:rPr>
  </w:style>
  <w:style w:type="paragraph" w:customStyle="1" w:styleId="1244">
    <w:name w:val="reader-word-layer reader-word-s1-13"/>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45">
    <w:name w:val="zzzzzzz"/>
    <w:basedOn w:val="87"/>
    <w:next w:val="87"/>
    <w:link w:val="1311"/>
    <w:qFormat/>
    <w:uiPriority w:val="0"/>
    <w:pPr>
      <w:spacing w:line="360" w:lineRule="auto"/>
      <w:ind w:firstLine="200" w:firstLineChars="200"/>
    </w:pPr>
    <w:rPr>
      <w:rFonts w:ascii="Times New Roman" w:hAnsi="Times New Roman" w:eastAsia="宋体"/>
      <w:szCs w:val="20"/>
    </w:rPr>
  </w:style>
  <w:style w:type="paragraph" w:customStyle="1" w:styleId="1246">
    <w:name w:val="样式 正文缩进 + 仿宋_GB2312 首行缩进:  0.99 厘米 行距: 固定值 25 磅"/>
    <w:basedOn w:val="21"/>
    <w:qFormat/>
    <w:uiPriority w:val="0"/>
    <w:pPr>
      <w:spacing w:line="240" w:lineRule="auto"/>
      <w:ind w:firstLine="560" w:firstLineChars="200"/>
      <w:jc w:val="both"/>
    </w:pPr>
    <w:rPr>
      <w:rFonts w:ascii="仿宋_GB2312" w:eastAsia="仿宋_GB2312"/>
      <w:b w:val="0"/>
      <w:color w:val="auto"/>
      <w:kern w:val="2"/>
      <w:sz w:val="28"/>
      <w:szCs w:val="20"/>
    </w:rPr>
  </w:style>
  <w:style w:type="paragraph" w:customStyle="1" w:styleId="1247">
    <w:name w:val="样式 标题 1 + Times New Roman"/>
    <w:basedOn w:val="3"/>
    <w:qFormat/>
    <w:uiPriority w:val="0"/>
    <w:pPr>
      <w:keepNext/>
      <w:keepLines/>
      <w:widowControl w:val="0"/>
      <w:numPr>
        <w:numId w:val="0"/>
      </w:numPr>
      <w:tabs>
        <w:tab w:val="clear" w:pos="0"/>
      </w:tabs>
      <w:adjustRightInd/>
      <w:snapToGrid/>
      <w:spacing w:beforeLines="0" w:afterLines="0" w:line="360" w:lineRule="auto"/>
      <w:jc w:val="both"/>
    </w:pPr>
    <w:rPr>
      <w:snapToGrid/>
      <w:sz w:val="32"/>
      <w:szCs w:val="32"/>
    </w:rPr>
  </w:style>
  <w:style w:type="paragraph" w:customStyle="1" w:styleId="1248">
    <w:name w:val="金光华文本正文"/>
    <w:basedOn w:val="1"/>
    <w:qFormat/>
    <w:uiPriority w:val="0"/>
    <w:pPr>
      <w:widowControl/>
      <w:tabs>
        <w:tab w:val="left" w:pos="6840"/>
      </w:tabs>
      <w:adjustRightInd/>
      <w:snapToGrid/>
      <w:spacing w:line="360" w:lineRule="auto"/>
      <w:ind w:firstLine="510" w:firstLineChars="0"/>
    </w:pPr>
    <w:rPr>
      <w:rFonts w:ascii="宋体" w:hAnsi="宋体"/>
      <w:sz w:val="24"/>
      <w:szCs w:val="24"/>
    </w:rPr>
  </w:style>
  <w:style w:type="paragraph" w:customStyle="1" w:styleId="1249">
    <w:name w:val="正文文本 21"/>
    <w:basedOn w:val="1"/>
    <w:qFormat/>
    <w:uiPriority w:val="0"/>
    <w:pPr>
      <w:autoSpaceDE w:val="0"/>
      <w:autoSpaceDN w:val="0"/>
      <w:snapToGrid/>
      <w:spacing w:line="360" w:lineRule="atLeast"/>
      <w:ind w:firstLine="425" w:firstLineChars="0"/>
      <w:jc w:val="both"/>
      <w:textAlignment w:val="baseline"/>
    </w:pPr>
    <w:rPr>
      <w:rFonts w:ascii="宋体" w:hAnsi="Tms Rmn"/>
      <w:kern w:val="0"/>
      <w:sz w:val="28"/>
      <w:szCs w:val="20"/>
    </w:rPr>
  </w:style>
  <w:style w:type="paragraph" w:customStyle="1" w:styleId="1250">
    <w:name w:val="标准-(1)"/>
    <w:basedOn w:val="1"/>
    <w:qFormat/>
    <w:uiPriority w:val="0"/>
    <w:pPr>
      <w:widowControl/>
      <w:tabs>
        <w:tab w:val="left" w:pos="5325"/>
      </w:tabs>
      <w:spacing w:line="360" w:lineRule="auto"/>
      <w:ind w:firstLine="397" w:firstLineChars="0"/>
      <w:outlineLvl w:val="5"/>
    </w:pPr>
    <w:rPr>
      <w:rFonts w:ascii="宋体" w:hAnsi="宋体"/>
      <w:kern w:val="0"/>
      <w:sz w:val="24"/>
      <w:szCs w:val="20"/>
    </w:rPr>
  </w:style>
  <w:style w:type="paragraph" w:customStyle="1" w:styleId="1251">
    <w:name w:val="小四宋居中1.0"/>
    <w:basedOn w:val="1"/>
    <w:next w:val="1"/>
    <w:qFormat/>
    <w:uiPriority w:val="0"/>
    <w:pPr>
      <w:adjustRightInd/>
      <w:snapToGrid/>
      <w:spacing w:line="400" w:lineRule="exact"/>
      <w:ind w:firstLine="0" w:firstLineChars="0"/>
      <w:jc w:val="center"/>
    </w:pPr>
    <w:rPr>
      <w:rFonts w:ascii="楷体_GB2312" w:eastAsia="楷体_GB2312"/>
      <w:sz w:val="24"/>
      <w:szCs w:val="24"/>
    </w:rPr>
  </w:style>
  <w:style w:type="paragraph" w:customStyle="1" w:styleId="1252">
    <w:name w:val="表格下方正文"/>
    <w:basedOn w:val="21"/>
    <w:qFormat/>
    <w:uiPriority w:val="0"/>
    <w:pPr>
      <w:spacing w:before="260" w:line="460" w:lineRule="exact"/>
      <w:ind w:firstLine="200" w:firstLineChars="200"/>
      <w:jc w:val="both"/>
    </w:pPr>
    <w:rPr>
      <w:b w:val="0"/>
      <w:color w:val="auto"/>
      <w:kern w:val="2"/>
    </w:rPr>
  </w:style>
  <w:style w:type="paragraph" w:customStyle="1" w:styleId="1253">
    <w:name w:val="默认段落字体 Para Char Char Char Char Char Char Char"/>
    <w:basedOn w:val="1"/>
    <w:qFormat/>
    <w:uiPriority w:val="0"/>
    <w:pPr>
      <w:snapToGrid/>
      <w:spacing w:line="360" w:lineRule="auto"/>
      <w:ind w:left="200" w:hanging="200" w:hangingChars="200"/>
      <w:jc w:val="both"/>
      <w:textAlignment w:val="baseline"/>
    </w:pPr>
    <w:rPr>
      <w:kern w:val="0"/>
      <w:sz w:val="24"/>
      <w:szCs w:val="20"/>
    </w:rPr>
  </w:style>
  <w:style w:type="paragraph" w:customStyle="1" w:styleId="1254">
    <w:name w:val="3级标题"/>
    <w:basedOn w:val="1"/>
    <w:link w:val="1879"/>
    <w:qFormat/>
    <w:uiPriority w:val="0"/>
    <w:pPr>
      <w:adjustRightInd/>
      <w:snapToGrid/>
      <w:spacing w:line="360" w:lineRule="auto"/>
      <w:ind w:firstLine="0" w:firstLineChars="0"/>
      <w:jc w:val="both"/>
      <w:outlineLvl w:val="2"/>
    </w:pPr>
    <w:rPr>
      <w:rFonts w:ascii="Arial" w:hAnsi="Arial"/>
      <w:b/>
      <w:color w:val="000000"/>
      <w:sz w:val="28"/>
      <w:szCs w:val="24"/>
    </w:rPr>
  </w:style>
  <w:style w:type="paragraph" w:customStyle="1" w:styleId="1255">
    <w:name w:val="a2-l style231"/>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56">
    <w:name w:val="缩絖"/>
    <w:basedOn w:val="34"/>
    <w:qFormat/>
    <w:uiPriority w:val="0"/>
    <w:pPr>
      <w:snapToGrid/>
      <w:spacing w:beforeLines="0" w:after="120" w:line="312" w:lineRule="atLeast"/>
      <w:ind w:firstLine="420"/>
      <w:textAlignment w:val="baseline"/>
    </w:pPr>
    <w:rPr>
      <w:snapToGrid/>
      <w:sz w:val="27"/>
      <w:szCs w:val="20"/>
    </w:rPr>
  </w:style>
  <w:style w:type="paragraph" w:customStyle="1" w:styleId="1257">
    <w:name w:val="样式 样式 仿宋_GB2312 四号 黑色 首行缩进:  0.99 厘米 行距: 1.5 倍行距 + 首行缩进:  2 字符 Char"/>
    <w:basedOn w:val="1"/>
    <w:qFormat/>
    <w:uiPriority w:val="0"/>
    <w:pPr>
      <w:adjustRightInd/>
      <w:snapToGrid/>
      <w:spacing w:line="360" w:lineRule="auto"/>
      <w:ind w:firstLine="480"/>
      <w:jc w:val="center"/>
    </w:pPr>
    <w:rPr>
      <w:rFonts w:ascii="宋体" w:hAnsi="宋体"/>
      <w:sz w:val="24"/>
      <w:szCs w:val="24"/>
    </w:rPr>
  </w:style>
  <w:style w:type="paragraph" w:customStyle="1" w:styleId="1258">
    <w:name w:val="表图题"/>
    <w:basedOn w:val="1"/>
    <w:qFormat/>
    <w:uiPriority w:val="0"/>
    <w:pPr>
      <w:adjustRightInd/>
      <w:snapToGrid/>
      <w:spacing w:line="440" w:lineRule="exact"/>
      <w:ind w:firstLine="0" w:firstLineChars="0"/>
      <w:jc w:val="center"/>
    </w:pPr>
    <w:rPr>
      <w:rFonts w:eastAsia="华文细黑"/>
      <w:b/>
      <w:sz w:val="21"/>
      <w:szCs w:val="28"/>
    </w:rPr>
  </w:style>
  <w:style w:type="paragraph" w:customStyle="1" w:styleId="1259">
    <w:name w:val="标题01"/>
    <w:basedOn w:val="3"/>
    <w:next w:val="1"/>
    <w:qFormat/>
    <w:uiPriority w:val="0"/>
    <w:pPr>
      <w:keepNext/>
      <w:keepLines/>
      <w:widowControl w:val="0"/>
      <w:numPr>
        <w:ilvl w:val="0"/>
        <w:numId w:val="0"/>
      </w:numPr>
      <w:tabs>
        <w:tab w:val="clear" w:pos="0"/>
      </w:tabs>
      <w:adjustRightInd/>
      <w:snapToGrid/>
      <w:spacing w:beforeLines="0" w:afterLines="0" w:line="480" w:lineRule="auto"/>
      <w:jc w:val="both"/>
    </w:pPr>
    <w:rPr>
      <w:bCs w:val="0"/>
      <w:snapToGrid/>
      <w:szCs w:val="20"/>
    </w:rPr>
  </w:style>
  <w:style w:type="paragraph" w:customStyle="1" w:styleId="1260">
    <w:name w:val="bt3"/>
    <w:basedOn w:val="5"/>
    <w:qFormat/>
    <w:uiPriority w:val="0"/>
    <w:pPr>
      <w:keepNext/>
      <w:keepLines/>
      <w:widowControl w:val="0"/>
      <w:tabs>
        <w:tab w:val="left" w:pos="1260"/>
        <w:tab w:val="clear" w:pos="0"/>
      </w:tabs>
      <w:adjustRightInd/>
      <w:snapToGrid/>
      <w:spacing w:afterLines="50"/>
      <w:ind w:firstLine="200"/>
    </w:pPr>
    <w:rPr>
      <w:rFonts w:ascii="Arial" w:hAnsi="Arial"/>
      <w:b w:val="0"/>
      <w:bCs/>
      <w:snapToGrid/>
      <w:szCs w:val="24"/>
    </w:rPr>
  </w:style>
  <w:style w:type="paragraph" w:customStyle="1" w:styleId="1261">
    <w:name w:val="项目编号"/>
    <w:basedOn w:val="1"/>
    <w:next w:val="1"/>
    <w:qFormat/>
    <w:uiPriority w:val="0"/>
    <w:pPr>
      <w:adjustRightInd/>
      <w:snapToGrid/>
      <w:spacing w:before="120" w:after="120" w:line="360" w:lineRule="auto"/>
      <w:ind w:firstLine="0" w:firstLineChars="0"/>
      <w:jc w:val="both"/>
    </w:pPr>
    <w:rPr>
      <w:sz w:val="24"/>
      <w:szCs w:val="20"/>
    </w:rPr>
  </w:style>
  <w:style w:type="paragraph" w:customStyle="1" w:styleId="1262">
    <w:name w:val="样式18"/>
    <w:basedOn w:val="1121"/>
    <w:link w:val="3197"/>
    <w:qFormat/>
    <w:uiPriority w:val="0"/>
    <w:pPr>
      <w:autoSpaceDE/>
      <w:autoSpaceDN/>
      <w:adjustRightInd/>
      <w:snapToGrid/>
      <w:spacing w:line="460" w:lineRule="exact"/>
      <w:ind w:firstLine="480" w:firstLineChars="200"/>
      <w:jc w:val="both"/>
    </w:pPr>
    <w:rPr>
      <w:color w:val="000000"/>
      <w:sz w:val="24"/>
      <w:szCs w:val="24"/>
    </w:rPr>
  </w:style>
  <w:style w:type="paragraph" w:customStyle="1" w:styleId="1263">
    <w:name w:val="标题003"/>
    <w:basedOn w:val="1"/>
    <w:qFormat/>
    <w:uiPriority w:val="0"/>
    <w:pPr>
      <w:adjustRightInd/>
      <w:snapToGrid/>
      <w:spacing w:beforeLines="100" w:line="240" w:lineRule="auto"/>
      <w:ind w:firstLine="0" w:firstLineChars="0"/>
      <w:jc w:val="both"/>
      <w:outlineLvl w:val="2"/>
    </w:pPr>
    <w:rPr>
      <w:rFonts w:ascii="宋体" w:hAnsi="宋体"/>
      <w:b/>
      <w:sz w:val="28"/>
      <w:szCs w:val="28"/>
    </w:rPr>
  </w:style>
  <w:style w:type="paragraph" w:customStyle="1" w:styleId="1264">
    <w:name w:val="三级标题"/>
    <w:basedOn w:val="225"/>
    <w:qFormat/>
    <w:uiPriority w:val="2"/>
    <w:pPr>
      <w:spacing w:before="300"/>
      <w:ind w:firstLine="0" w:firstLineChars="0"/>
      <w:outlineLvl w:val="2"/>
    </w:pPr>
    <w:rPr>
      <w:b/>
      <w:bCs w:val="0"/>
    </w:rPr>
  </w:style>
  <w:style w:type="paragraph" w:customStyle="1" w:styleId="1265">
    <w:name w:val="样式 内容 + 首行缩进:  2 字符"/>
    <w:basedOn w:val="1"/>
    <w:link w:val="1307"/>
    <w:qFormat/>
    <w:uiPriority w:val="0"/>
    <w:pPr>
      <w:adjustRightInd/>
      <w:snapToGrid/>
      <w:spacing w:line="360" w:lineRule="auto"/>
      <w:ind w:firstLine="480"/>
    </w:pPr>
    <w:rPr>
      <w:rFonts w:cs="宋体"/>
      <w:sz w:val="24"/>
      <w:szCs w:val="20"/>
    </w:rPr>
  </w:style>
  <w:style w:type="paragraph" w:customStyle="1" w:styleId="1266">
    <w:name w:val="报告表格"/>
    <w:basedOn w:val="1"/>
    <w:link w:val="1947"/>
    <w:qFormat/>
    <w:uiPriority w:val="0"/>
    <w:pPr>
      <w:autoSpaceDE w:val="0"/>
      <w:autoSpaceDN w:val="0"/>
      <w:snapToGrid/>
      <w:spacing w:before="40" w:after="40" w:line="240" w:lineRule="auto"/>
      <w:ind w:firstLine="0" w:firstLineChars="0"/>
      <w:jc w:val="center"/>
      <w:textAlignment w:val="baseline"/>
    </w:pPr>
    <w:rPr>
      <w:kern w:val="0"/>
      <w:sz w:val="21"/>
      <w:szCs w:val="20"/>
    </w:rPr>
  </w:style>
  <w:style w:type="paragraph" w:customStyle="1" w:styleId="1267">
    <w:name w:val="xz2"/>
    <w:basedOn w:val="1"/>
    <w:qFormat/>
    <w:uiPriority w:val="0"/>
    <w:pPr>
      <w:adjustRightInd/>
      <w:snapToGrid/>
      <w:spacing w:beforeLines="50" w:line="240" w:lineRule="auto"/>
      <w:ind w:firstLine="0" w:firstLineChars="0"/>
      <w:outlineLvl w:val="1"/>
    </w:pPr>
    <w:rPr>
      <w:rFonts w:ascii="楷体_GB2312" w:eastAsia="楷体_GB2312"/>
      <w:b/>
      <w:sz w:val="32"/>
      <w:szCs w:val="30"/>
    </w:rPr>
  </w:style>
  <w:style w:type="paragraph" w:customStyle="1" w:styleId="1268">
    <w:name w:val="图文框"/>
    <w:basedOn w:val="1"/>
    <w:qFormat/>
    <w:uiPriority w:val="0"/>
    <w:pPr>
      <w:autoSpaceDE w:val="0"/>
      <w:autoSpaceDN w:val="0"/>
      <w:spacing w:line="320" w:lineRule="exact"/>
      <w:ind w:firstLine="0" w:firstLineChars="0"/>
      <w:jc w:val="center"/>
      <w:textAlignment w:val="baseline"/>
    </w:pPr>
    <w:rPr>
      <w:rFonts w:eastAsia="仿宋_GB2312"/>
      <w:kern w:val="0"/>
      <w:sz w:val="21"/>
      <w:szCs w:val="20"/>
    </w:rPr>
  </w:style>
  <w:style w:type="paragraph" w:customStyle="1" w:styleId="1269">
    <w:name w:val="样式 标题 2标题节标题节 Char标题节 Char Char标题 2 Char Char Char节标题 1.1标..."/>
    <w:basedOn w:val="4"/>
    <w:link w:val="1329"/>
    <w:qFormat/>
    <w:uiPriority w:val="0"/>
    <w:pPr>
      <w:keepNext/>
      <w:keepLines/>
      <w:widowControl w:val="0"/>
      <w:tabs>
        <w:tab w:val="clear" w:pos="0"/>
      </w:tabs>
      <w:spacing w:beforeLines="0" w:afterLines="0" w:line="360" w:lineRule="auto"/>
      <w:jc w:val="both"/>
    </w:pPr>
    <w:rPr>
      <w:snapToGrid/>
    </w:rPr>
  </w:style>
  <w:style w:type="paragraph" w:customStyle="1" w:styleId="1270">
    <w:name w:val="样式 宋体 小四 首行缩进:  0.85 厘米 行距: 1.5 倍行距"/>
    <w:basedOn w:val="1"/>
    <w:qFormat/>
    <w:uiPriority w:val="0"/>
    <w:pPr>
      <w:adjustRightInd/>
      <w:snapToGrid/>
      <w:spacing w:line="360" w:lineRule="auto"/>
      <w:ind w:firstLine="480" w:firstLineChars="0"/>
      <w:jc w:val="both"/>
    </w:pPr>
    <w:rPr>
      <w:rFonts w:cs="宋体"/>
      <w:sz w:val="24"/>
      <w:szCs w:val="20"/>
    </w:rPr>
  </w:style>
  <w:style w:type="paragraph" w:customStyle="1" w:styleId="1271">
    <w:name w:val="自定义正文"/>
    <w:qFormat/>
    <w:uiPriority w:val="0"/>
    <w:pPr>
      <w:widowControl w:val="0"/>
      <w:adjustRightInd w:val="0"/>
      <w:snapToGrid w:val="0"/>
      <w:spacing w:line="360" w:lineRule="auto"/>
      <w:ind w:firstLine="510"/>
      <w:jc w:val="both"/>
    </w:pPr>
    <w:rPr>
      <w:rFonts w:ascii="Times New Roman" w:hAnsi="Times New Roman" w:eastAsia="宋体" w:cs="Times New Roman"/>
      <w:spacing w:val="-2"/>
      <w:kern w:val="2"/>
      <w:sz w:val="28"/>
      <w:szCs w:val="24"/>
      <w:lang w:val="en-US" w:eastAsia="zh-CN" w:bidi="ar-SA"/>
    </w:rPr>
  </w:style>
  <w:style w:type="paragraph" w:customStyle="1" w:styleId="1272">
    <w:name w:val="unnamed2 style11"/>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73">
    <w:name w:val="Char Char Char Char Char Char1 Char Char Char Char Char Char Char Char Char Char Char Char1 Char Char Char Char Char Char Char Char Char Char Char Char Char"/>
    <w:basedOn w:val="1"/>
    <w:qFormat/>
    <w:uiPriority w:val="0"/>
    <w:pPr>
      <w:adjustRightInd/>
      <w:snapToGrid/>
      <w:spacing w:line="240" w:lineRule="auto"/>
      <w:ind w:firstLine="0" w:firstLineChars="0"/>
      <w:jc w:val="both"/>
    </w:pPr>
    <w:rPr>
      <w:sz w:val="24"/>
      <w:szCs w:val="24"/>
    </w:rPr>
  </w:style>
  <w:style w:type="paragraph" w:customStyle="1" w:styleId="1274">
    <w:name w:val="块引用"/>
    <w:basedOn w:val="1"/>
    <w:qFormat/>
    <w:uiPriority w:val="0"/>
    <w:pPr>
      <w:widowControl/>
      <w:pBdr>
        <w:top w:val="single" w:color="auto" w:sz="6" w:space="14"/>
        <w:left w:val="single" w:color="auto" w:sz="6" w:space="10"/>
        <w:bottom w:val="single" w:color="auto" w:sz="6" w:space="14"/>
        <w:right w:val="single" w:color="auto" w:sz="6" w:space="10"/>
      </w:pBdr>
      <w:adjustRightInd/>
      <w:snapToGrid/>
      <w:spacing w:before="100" w:beforeAutospacing="1" w:after="100" w:afterAutospacing="1" w:line="360" w:lineRule="auto"/>
      <w:ind w:left="210" w:leftChars="100" w:right="210" w:rightChars="100" w:firstLine="480"/>
      <w:jc w:val="both"/>
    </w:pPr>
    <w:rPr>
      <w:rFonts w:ascii="Garamond" w:hAnsi="Garamond"/>
      <w:kern w:val="0"/>
      <w:sz w:val="24"/>
      <w:szCs w:val="20"/>
    </w:rPr>
  </w:style>
  <w:style w:type="paragraph" w:customStyle="1" w:styleId="1275">
    <w:name w:val="样式 纯文本 + (符号) 宋体 13 磅 首行缩进:  0.92 厘米 行距: 固定值 27 磅"/>
    <w:basedOn w:val="1"/>
    <w:link w:val="1325"/>
    <w:qFormat/>
    <w:uiPriority w:val="0"/>
    <w:pPr>
      <w:topLinePunct/>
      <w:adjustRightInd/>
      <w:snapToGrid/>
      <w:spacing w:line="540" w:lineRule="exact"/>
      <w:ind w:firstLine="522" w:firstLineChars="0"/>
      <w:jc w:val="both"/>
    </w:pPr>
    <w:rPr>
      <w:rFonts w:ascii="宋体" w:hAnsi="宋体" w:cs="宋体"/>
      <w:szCs w:val="20"/>
    </w:rPr>
  </w:style>
  <w:style w:type="paragraph" w:customStyle="1" w:styleId="1276">
    <w:name w:val="样式 (中文) 仿宋_GB2312 小四 行距: 1.5 倍行距"/>
    <w:basedOn w:val="1"/>
    <w:qFormat/>
    <w:uiPriority w:val="0"/>
    <w:pPr>
      <w:adjustRightInd/>
      <w:snapToGrid/>
      <w:spacing w:line="360" w:lineRule="auto"/>
      <w:jc w:val="both"/>
    </w:pPr>
    <w:rPr>
      <w:rFonts w:cs="宋体"/>
      <w:sz w:val="24"/>
      <w:szCs w:val="20"/>
    </w:rPr>
  </w:style>
  <w:style w:type="paragraph" w:customStyle="1" w:styleId="1277">
    <w:name w:val="(a正文"/>
    <w:basedOn w:val="1"/>
    <w:link w:val="1341"/>
    <w:qFormat/>
    <w:uiPriority w:val="0"/>
    <w:pPr>
      <w:adjustRightInd/>
      <w:snapToGrid/>
      <w:spacing w:line="440" w:lineRule="exact"/>
      <w:jc w:val="both"/>
    </w:pPr>
    <w:rPr>
      <w:rFonts w:eastAsia="仿宋_GB2312"/>
      <w:color w:val="000000"/>
      <w:sz w:val="24"/>
      <w:szCs w:val="24"/>
    </w:rPr>
  </w:style>
  <w:style w:type="paragraph" w:customStyle="1" w:styleId="1278">
    <w:name w:val="Char Char Char Char Char Char3 Char Char Char Char Char Char Char"/>
    <w:basedOn w:val="1"/>
    <w:next w:val="1"/>
    <w:qFormat/>
    <w:uiPriority w:val="0"/>
    <w:pPr>
      <w:adjustRightInd/>
      <w:snapToGrid/>
      <w:spacing w:line="240" w:lineRule="auto"/>
      <w:ind w:firstLine="0" w:firstLineChars="0"/>
      <w:jc w:val="both"/>
    </w:pPr>
    <w:rPr>
      <w:rFonts w:eastAsia="黑体"/>
      <w:sz w:val="28"/>
      <w:szCs w:val="24"/>
    </w:rPr>
  </w:style>
  <w:style w:type="paragraph" w:customStyle="1" w:styleId="1279">
    <w:name w:val="T正文"/>
    <w:qFormat/>
    <w:uiPriority w:val="0"/>
    <w:pPr>
      <w:widowControl w:val="0"/>
      <w:adjustRightInd w:val="0"/>
      <w:snapToGrid w:val="0"/>
      <w:spacing w:line="360" w:lineRule="auto"/>
      <w:ind w:firstLine="200" w:firstLineChars="200"/>
      <w:jc w:val="both"/>
    </w:pPr>
    <w:rPr>
      <w:rFonts w:ascii="Times New Roman" w:hAnsi="Times New Roman" w:eastAsia="楷体_GB2312" w:cs="Times New Roman"/>
      <w:sz w:val="28"/>
      <w:lang w:val="en-US" w:eastAsia="zh-CN" w:bidi="ar-SA"/>
    </w:rPr>
  </w:style>
  <w:style w:type="paragraph" w:customStyle="1" w:styleId="1280">
    <w:name w:val="验收报告-正文列表1."/>
    <w:basedOn w:val="1"/>
    <w:qFormat/>
    <w:uiPriority w:val="0"/>
    <w:pPr>
      <w:tabs>
        <w:tab w:val="left" w:pos="814"/>
      </w:tabs>
      <w:spacing w:line="360" w:lineRule="auto"/>
      <w:ind w:firstLine="454" w:firstLineChars="0"/>
      <w:outlineLvl w:val="8"/>
    </w:pPr>
    <w:rPr>
      <w:rFonts w:hint="eastAsia" w:ascii="宋体" w:hAnsi="宋体"/>
      <w:kern w:val="0"/>
      <w:sz w:val="28"/>
      <w:szCs w:val="24"/>
    </w:rPr>
  </w:style>
  <w:style w:type="paragraph" w:customStyle="1" w:styleId="1281">
    <w:name w:val="表001"/>
    <w:basedOn w:val="215"/>
    <w:qFormat/>
    <w:uiPriority w:val="0"/>
    <w:pPr>
      <w:keepNext/>
      <w:keepLines/>
      <w:adjustRightInd/>
      <w:snapToGrid/>
      <w:spacing w:before="340" w:after="330" w:line="360" w:lineRule="auto"/>
      <w:ind w:firstLine="0" w:firstLineChars="0"/>
      <w:jc w:val="center"/>
      <w:outlineLvl w:val="0"/>
    </w:pPr>
    <w:rPr>
      <w:sz w:val="24"/>
      <w:szCs w:val="20"/>
    </w:rPr>
  </w:style>
  <w:style w:type="paragraph" w:customStyle="1" w:styleId="1282">
    <w:name w:val="样式 样式 样式 左  0 字符 首行缩进:  2 字符 + 首行缩进:  0 字符 + 首行缩进:  4 字符"/>
    <w:basedOn w:val="1"/>
    <w:qFormat/>
    <w:uiPriority w:val="0"/>
    <w:pPr>
      <w:adjustRightInd/>
      <w:snapToGrid/>
      <w:spacing w:line="360" w:lineRule="auto"/>
      <w:ind w:firstLine="488" w:firstLineChars="0"/>
      <w:jc w:val="both"/>
    </w:pPr>
    <w:rPr>
      <w:color w:val="FF0000"/>
      <w:sz w:val="24"/>
      <w:szCs w:val="24"/>
    </w:rPr>
  </w:style>
  <w:style w:type="paragraph" w:customStyle="1" w:styleId="1283">
    <w:name w:val="样式 (符号) 宋体 小四 加粗 居中 行距: 1.5 倍行距1"/>
    <w:basedOn w:val="1"/>
    <w:qFormat/>
    <w:uiPriority w:val="0"/>
    <w:pPr>
      <w:adjustRightInd/>
      <w:snapToGrid/>
      <w:spacing w:line="360" w:lineRule="auto"/>
      <w:ind w:firstLine="0" w:firstLineChars="0"/>
      <w:jc w:val="center"/>
    </w:pPr>
    <w:rPr>
      <w:rFonts w:cs="宋体"/>
      <w:bCs/>
      <w:sz w:val="21"/>
      <w:szCs w:val="21"/>
    </w:rPr>
  </w:style>
  <w:style w:type="paragraph" w:customStyle="1" w:styleId="1284">
    <w:name w:val="reader-word-layer reader-word-s1-12"/>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85">
    <w:name w:val="段落"/>
    <w:basedOn w:val="1"/>
    <w:link w:val="2556"/>
    <w:qFormat/>
    <w:uiPriority w:val="0"/>
    <w:pPr>
      <w:tabs>
        <w:tab w:val="left" w:pos="1021"/>
      </w:tabs>
      <w:snapToGrid/>
      <w:spacing w:line="300" w:lineRule="auto"/>
      <w:ind w:firstLine="480"/>
      <w:jc w:val="both"/>
    </w:pPr>
    <w:rPr>
      <w:kern w:val="24"/>
      <w:sz w:val="24"/>
      <w:szCs w:val="24"/>
    </w:rPr>
  </w:style>
  <w:style w:type="paragraph" w:customStyle="1" w:styleId="1286">
    <w:name w:val="xz4"/>
    <w:basedOn w:val="1"/>
    <w:qFormat/>
    <w:uiPriority w:val="0"/>
    <w:pPr>
      <w:adjustRightInd/>
      <w:snapToGrid/>
      <w:spacing w:beforeLines="50" w:line="240" w:lineRule="auto"/>
      <w:ind w:firstLine="0" w:firstLineChars="0"/>
      <w:outlineLvl w:val="3"/>
    </w:pPr>
    <w:rPr>
      <w:rFonts w:eastAsia="楷体_GB2312"/>
      <w:b/>
      <w:sz w:val="28"/>
      <w:szCs w:val="24"/>
    </w:rPr>
  </w:style>
  <w:style w:type="paragraph" w:customStyle="1" w:styleId="1287">
    <w:name w:val="xzz"/>
    <w:basedOn w:val="1"/>
    <w:qFormat/>
    <w:uiPriority w:val="0"/>
    <w:pPr>
      <w:adjustRightInd/>
      <w:snapToGrid/>
      <w:spacing w:line="240" w:lineRule="auto"/>
      <w:ind w:firstLine="480"/>
      <w:jc w:val="both"/>
    </w:pPr>
    <w:rPr>
      <w:sz w:val="24"/>
      <w:szCs w:val="24"/>
    </w:rPr>
  </w:style>
  <w:style w:type="paragraph" w:customStyle="1" w:styleId="1288">
    <w:name w:val="az"/>
    <w:basedOn w:val="1"/>
    <w:qFormat/>
    <w:uiPriority w:val="0"/>
    <w:pPr>
      <w:adjustRightInd/>
      <w:snapToGrid/>
      <w:spacing w:beforeLines="50" w:line="360" w:lineRule="auto"/>
      <w:ind w:firstLine="480"/>
      <w:jc w:val="both"/>
    </w:pPr>
    <w:rPr>
      <w:kern w:val="0"/>
      <w:sz w:val="24"/>
      <w:szCs w:val="24"/>
    </w:rPr>
  </w:style>
  <w:style w:type="paragraph" w:customStyle="1" w:styleId="1289">
    <w:name w:val="表格 32"/>
    <w:basedOn w:val="1"/>
    <w:qFormat/>
    <w:uiPriority w:val="0"/>
    <w:pPr>
      <w:autoSpaceDE w:val="0"/>
      <w:autoSpaceDN w:val="0"/>
      <w:snapToGrid/>
      <w:spacing w:line="240" w:lineRule="auto"/>
      <w:ind w:firstLine="0" w:firstLineChars="0"/>
      <w:jc w:val="center"/>
      <w:textAlignment w:val="baseline"/>
    </w:pPr>
    <w:rPr>
      <w:rFonts w:eastAsia="仿宋_GB2312"/>
      <w:kern w:val="0"/>
      <w:sz w:val="24"/>
      <w:szCs w:val="20"/>
    </w:rPr>
  </w:style>
  <w:style w:type="paragraph" w:customStyle="1" w:styleId="1290">
    <w:name w:val="表格（5号）"/>
    <w:basedOn w:val="1"/>
    <w:qFormat/>
    <w:uiPriority w:val="0"/>
    <w:pPr>
      <w:widowControl/>
      <w:adjustRightInd/>
      <w:snapToGrid/>
      <w:spacing w:line="360" w:lineRule="auto"/>
      <w:ind w:firstLine="0" w:firstLineChars="0"/>
      <w:jc w:val="center"/>
    </w:pPr>
    <w:rPr>
      <w:rFonts w:ascii="Calibri" w:hAnsi="Calibri"/>
      <w:color w:val="FF0000"/>
      <w:kern w:val="0"/>
      <w:sz w:val="24"/>
      <w:szCs w:val="21"/>
      <w:lang w:eastAsia="en-US" w:bidi="en-US"/>
    </w:rPr>
  </w:style>
  <w:style w:type="paragraph" w:customStyle="1" w:styleId="1291">
    <w:name w:val="bt4"/>
    <w:basedOn w:val="1"/>
    <w:qFormat/>
    <w:uiPriority w:val="0"/>
    <w:pPr>
      <w:autoSpaceDE w:val="0"/>
      <w:autoSpaceDN w:val="0"/>
      <w:spacing w:line="360" w:lineRule="auto"/>
      <w:ind w:firstLine="0" w:firstLineChars="0"/>
      <w:jc w:val="both"/>
      <w:textAlignment w:val="baseline"/>
      <w:outlineLvl w:val="3"/>
    </w:pPr>
    <w:rPr>
      <w:rFonts w:ascii="Arial" w:hAnsi="Arial"/>
      <w:kern w:val="0"/>
      <w:sz w:val="24"/>
      <w:szCs w:val="24"/>
    </w:rPr>
  </w:style>
  <w:style w:type="paragraph" w:customStyle="1" w:styleId="1292">
    <w:name w:val="a表头"/>
    <w:basedOn w:val="1"/>
    <w:qFormat/>
    <w:uiPriority w:val="0"/>
    <w:pPr>
      <w:adjustRightInd/>
      <w:snapToGrid/>
      <w:spacing w:line="240" w:lineRule="auto"/>
      <w:ind w:firstLine="0" w:firstLineChars="0"/>
      <w:jc w:val="center"/>
    </w:pPr>
    <w:rPr>
      <w:rFonts w:eastAsia="楷体_GB2312"/>
      <w:b/>
      <w:sz w:val="24"/>
      <w:szCs w:val="24"/>
    </w:rPr>
  </w:style>
  <w:style w:type="paragraph" w:customStyle="1" w:styleId="1293">
    <w:name w:val="样式21"/>
    <w:basedOn w:val="1262"/>
    <w:qFormat/>
    <w:uiPriority w:val="0"/>
  </w:style>
  <w:style w:type="paragraph" w:customStyle="1" w:styleId="1294">
    <w:name w:val="reader-word-layer reader-word-s7-4"/>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1295">
    <w:name w:val="样式 样式1 + (西文) Times New Roman (中文) 宋体 小四 首行缩进:  2 字符"/>
    <w:basedOn w:val="215"/>
    <w:qFormat/>
    <w:uiPriority w:val="0"/>
    <w:pPr>
      <w:keepNext/>
      <w:keepLines/>
      <w:widowControl/>
      <w:adjustRightInd/>
      <w:snapToGrid/>
      <w:spacing w:before="340" w:after="330" w:line="360" w:lineRule="auto"/>
      <w:ind w:firstLine="200"/>
      <w:outlineLvl w:val="0"/>
    </w:pPr>
    <w:rPr>
      <w:rFonts w:cs="宋体"/>
      <w:sz w:val="24"/>
      <w:szCs w:val="20"/>
    </w:rPr>
  </w:style>
  <w:style w:type="character" w:customStyle="1" w:styleId="1296">
    <w:name w:val="表格标题 Char1"/>
    <w:qFormat/>
    <w:uiPriority w:val="0"/>
    <w:rPr>
      <w:rFonts w:ascii="宋体" w:hAnsi="宋体" w:eastAsia="宋体"/>
      <w:kern w:val="2"/>
      <w:sz w:val="24"/>
      <w:lang w:val="en-US" w:eastAsia="zh-CN" w:bidi="ar-SA"/>
    </w:rPr>
  </w:style>
  <w:style w:type="character" w:customStyle="1" w:styleId="1297">
    <w:name w:val="Char Char3"/>
    <w:qFormat/>
    <w:uiPriority w:val="0"/>
    <w:rPr>
      <w:rFonts w:eastAsia="宋体"/>
      <w:kern w:val="2"/>
      <w:sz w:val="21"/>
      <w:lang w:val="en-US" w:eastAsia="zh-CN" w:bidi="ar-SA"/>
    </w:rPr>
  </w:style>
  <w:style w:type="character" w:customStyle="1" w:styleId="1298">
    <w:name w:val="red1"/>
    <w:qFormat/>
    <w:uiPriority w:val="0"/>
    <w:rPr>
      <w:color w:val="976E44"/>
      <w:sz w:val="18"/>
      <w:szCs w:val="18"/>
    </w:rPr>
  </w:style>
  <w:style w:type="character" w:customStyle="1" w:styleId="1299">
    <w:name w:val="样式 样式1 + 宋体 小四2 Char"/>
    <w:link w:val="1221"/>
    <w:qFormat/>
    <w:uiPriority w:val="0"/>
    <w:rPr>
      <w:rFonts w:ascii="Times New Roman" w:hAnsi="Times New Roman"/>
      <w:spacing w:val="-2"/>
      <w:sz w:val="24"/>
      <w:szCs w:val="30"/>
    </w:rPr>
  </w:style>
  <w:style w:type="character" w:customStyle="1" w:styleId="1300">
    <w:name w:val="inner"/>
    <w:basedOn w:val="132"/>
    <w:qFormat/>
    <w:uiPriority w:val="0"/>
  </w:style>
  <w:style w:type="character" w:customStyle="1" w:styleId="1301">
    <w:name w:val="自定义正文 Char1"/>
    <w:qFormat/>
    <w:uiPriority w:val="0"/>
    <w:rPr>
      <w:b/>
      <w:position w:val="-28"/>
      <w:sz w:val="28"/>
    </w:rPr>
  </w:style>
  <w:style w:type="character" w:customStyle="1" w:styleId="1302">
    <w:name w:val="君邦正文 Char4"/>
    <w:link w:val="1193"/>
    <w:qFormat/>
    <w:uiPriority w:val="0"/>
    <w:rPr>
      <w:rFonts w:ascii="宋体" w:hAnsi="宋体"/>
      <w:kern w:val="2"/>
      <w:sz w:val="24"/>
    </w:rPr>
  </w:style>
  <w:style w:type="character" w:customStyle="1" w:styleId="1303">
    <w:name w:val="正文01 Char Char"/>
    <w:qFormat/>
    <w:uiPriority w:val="0"/>
    <w:rPr>
      <w:rFonts w:eastAsia="宋体"/>
      <w:kern w:val="2"/>
      <w:sz w:val="24"/>
      <w:lang w:val="en-US" w:eastAsia="zh-CN" w:bidi="ar-SA"/>
    </w:rPr>
  </w:style>
  <w:style w:type="character" w:customStyle="1" w:styleId="1304">
    <w:name w:val="无页眉 Char Char"/>
    <w:qFormat/>
    <w:uiPriority w:val="0"/>
    <w:rPr>
      <w:rFonts w:eastAsia="宋体"/>
      <w:kern w:val="2"/>
      <w:sz w:val="21"/>
      <w:szCs w:val="18"/>
      <w:lang w:val="en-US" w:eastAsia="zh-CN" w:bidi="ar-SA"/>
    </w:rPr>
  </w:style>
  <w:style w:type="character" w:customStyle="1" w:styleId="1305">
    <w:name w:val="表格001 Char"/>
    <w:link w:val="1207"/>
    <w:qFormat/>
    <w:uiPriority w:val="0"/>
    <w:rPr>
      <w:rFonts w:ascii="Times New Roman" w:hAnsi="Times New Roman"/>
      <w:kern w:val="2"/>
      <w:sz w:val="21"/>
    </w:rPr>
  </w:style>
  <w:style w:type="character" w:customStyle="1" w:styleId="1306">
    <w:name w:val="text1"/>
    <w:basedOn w:val="132"/>
    <w:qFormat/>
    <w:uiPriority w:val="0"/>
  </w:style>
  <w:style w:type="character" w:customStyle="1" w:styleId="1307">
    <w:name w:val="样式 内容 + 首行缩进:  2 字符 Char"/>
    <w:link w:val="1265"/>
    <w:qFormat/>
    <w:uiPriority w:val="0"/>
    <w:rPr>
      <w:rFonts w:ascii="Times New Roman" w:hAnsi="Times New Roman" w:cs="宋体"/>
      <w:kern w:val="2"/>
      <w:sz w:val="24"/>
    </w:rPr>
  </w:style>
  <w:style w:type="character" w:customStyle="1" w:styleId="1308">
    <w:name w:val="正文规定 Char Char"/>
    <w:qFormat/>
    <w:uiPriority w:val="0"/>
    <w:rPr>
      <w:rFonts w:ascii="Arial" w:hAnsi="Arial"/>
      <w:b/>
      <w:sz w:val="24"/>
    </w:rPr>
  </w:style>
  <w:style w:type="character" w:customStyle="1" w:styleId="1309">
    <w:name w:val="表单位 Char"/>
    <w:link w:val="1051"/>
    <w:qFormat/>
    <w:uiPriority w:val="0"/>
    <w:rPr>
      <w:rFonts w:ascii="宋体"/>
      <w:sz w:val="24"/>
      <w:szCs w:val="22"/>
      <w:lang w:eastAsia="en-US" w:bidi="en-US"/>
    </w:rPr>
  </w:style>
  <w:style w:type="character" w:customStyle="1" w:styleId="1310">
    <w:name w:val="表内 Char"/>
    <w:link w:val="1231"/>
    <w:qFormat/>
    <w:uiPriority w:val="0"/>
    <w:rPr>
      <w:rFonts w:ascii="Times New Roman" w:hAnsi="Times New Roman"/>
      <w:kern w:val="2"/>
      <w:sz w:val="21"/>
      <w:szCs w:val="24"/>
    </w:rPr>
  </w:style>
  <w:style w:type="character" w:customStyle="1" w:styleId="1311">
    <w:name w:val="zzzzzzz Char"/>
    <w:link w:val="1245"/>
    <w:qFormat/>
    <w:uiPriority w:val="0"/>
    <w:rPr>
      <w:rFonts w:ascii="Times New Roman" w:hAnsi="Times New Roman"/>
      <w:kern w:val="2"/>
      <w:sz w:val="24"/>
    </w:rPr>
  </w:style>
  <w:style w:type="character" w:customStyle="1" w:styleId="1312">
    <w:name w:val="cdred1"/>
    <w:qFormat/>
    <w:uiPriority w:val="0"/>
    <w:rPr>
      <w:color w:val="BC2931"/>
    </w:rPr>
  </w:style>
  <w:style w:type="character" w:customStyle="1" w:styleId="1313">
    <w:name w:val="t131"/>
    <w:qFormat/>
    <w:uiPriority w:val="0"/>
    <w:rPr>
      <w:rFonts w:ascii="Arial" w:hAnsi="Arial" w:eastAsia="宋体" w:cs="Verdana"/>
      <w:b/>
      <w:color w:val="333333"/>
      <w:kern w:val="2"/>
      <w:sz w:val="18"/>
      <w:szCs w:val="18"/>
      <w:u w:val="none"/>
      <w:lang w:val="en-US" w:eastAsia="en-US" w:bidi="ar-SA"/>
    </w:rPr>
  </w:style>
  <w:style w:type="character" w:customStyle="1" w:styleId="1314">
    <w:name w:val="样式 1 Char"/>
    <w:link w:val="1189"/>
    <w:qFormat/>
    <w:uiPriority w:val="0"/>
    <w:rPr>
      <w:rFonts w:ascii="Times New Roman" w:hAnsi="Times New Roman"/>
      <w:kern w:val="2"/>
      <w:sz w:val="24"/>
    </w:rPr>
  </w:style>
  <w:style w:type="character" w:customStyle="1" w:styleId="1315">
    <w:name w:val="style301"/>
    <w:qFormat/>
    <w:uiPriority w:val="0"/>
    <w:rPr>
      <w:rFonts w:hint="default" w:ascii="Arial" w:hAnsi="Arial" w:cs="Arial"/>
    </w:rPr>
  </w:style>
  <w:style w:type="character" w:customStyle="1" w:styleId="1316">
    <w:name w:val="headline-content2"/>
    <w:basedOn w:val="132"/>
    <w:qFormat/>
    <w:uiPriority w:val="0"/>
  </w:style>
  <w:style w:type="character" w:customStyle="1" w:styleId="1317">
    <w:name w:val="标题7"/>
    <w:basedOn w:val="132"/>
    <w:qFormat/>
    <w:uiPriority w:val="0"/>
  </w:style>
  <w:style w:type="character" w:customStyle="1" w:styleId="1318">
    <w:name w:val="内容小标题 Char"/>
    <w:link w:val="1241"/>
    <w:qFormat/>
    <w:uiPriority w:val="0"/>
    <w:rPr>
      <w:rFonts w:ascii="Times New Roman" w:hAnsi="Times New Roman"/>
      <w:b/>
      <w:kern w:val="2"/>
      <w:sz w:val="24"/>
      <w:szCs w:val="24"/>
    </w:rPr>
  </w:style>
  <w:style w:type="character" w:customStyle="1" w:styleId="1319">
    <w:name w:val="ddd"/>
    <w:qFormat/>
    <w:uiPriority w:val="0"/>
    <w:rPr>
      <w:rFonts w:ascii="Arial" w:hAnsi="Arial" w:eastAsia="宋体" w:cs="Verdana"/>
      <w:b/>
      <w:kern w:val="2"/>
      <w:sz w:val="24"/>
      <w:szCs w:val="24"/>
      <w:lang w:val="en-US" w:eastAsia="en-US" w:bidi="ar-SA"/>
    </w:rPr>
  </w:style>
  <w:style w:type="character" w:customStyle="1" w:styleId="1320">
    <w:name w:val="a2-l style23"/>
    <w:basedOn w:val="132"/>
    <w:qFormat/>
    <w:uiPriority w:val="0"/>
  </w:style>
  <w:style w:type="character" w:customStyle="1" w:styleId="1321">
    <w:name w:val="正文001 Char Char"/>
    <w:qFormat/>
    <w:uiPriority w:val="0"/>
    <w:rPr>
      <w:rFonts w:eastAsia="宋体"/>
      <w:kern w:val="2"/>
      <w:sz w:val="24"/>
      <w:lang w:val="en-US" w:eastAsia="zh-CN" w:bidi="ar-SA"/>
    </w:rPr>
  </w:style>
  <w:style w:type="character" w:customStyle="1" w:styleId="1322">
    <w:name w:val="样式8 Char"/>
    <w:link w:val="297"/>
    <w:qFormat/>
    <w:uiPriority w:val="0"/>
    <w:rPr>
      <w:rFonts w:ascii="Arial" w:hAnsi="Times New Roman" w:cs="Arial"/>
      <w:kern w:val="2"/>
      <w:sz w:val="24"/>
      <w:szCs w:val="21"/>
    </w:rPr>
  </w:style>
  <w:style w:type="character" w:customStyle="1" w:styleId="1323">
    <w:name w:val="样式9 Char"/>
    <w:link w:val="1206"/>
    <w:qFormat/>
    <w:uiPriority w:val="0"/>
    <w:rPr>
      <w:rFonts w:ascii="宋体" w:hAnsi="宋体"/>
      <w:kern w:val="2"/>
      <w:sz w:val="18"/>
      <w:szCs w:val="18"/>
    </w:rPr>
  </w:style>
  <w:style w:type="character" w:customStyle="1" w:styleId="1324">
    <w:name w:val="样式 (中文) 仿宋_GB2312"/>
    <w:qFormat/>
    <w:uiPriority w:val="0"/>
    <w:rPr>
      <w:rFonts w:ascii="Arial" w:hAnsi="Arial" w:eastAsia="宋体" w:cs="Verdana"/>
      <w:b/>
      <w:spacing w:val="-12"/>
      <w:kern w:val="2"/>
      <w:sz w:val="24"/>
      <w:szCs w:val="24"/>
      <w:lang w:val="en-US" w:eastAsia="en-US" w:bidi="ar-SA"/>
    </w:rPr>
  </w:style>
  <w:style w:type="character" w:customStyle="1" w:styleId="1325">
    <w:name w:val="样式 纯文本 + (符号) 宋体 13 磅 首行缩进:  0.92 厘米 行距: 固定值 27 磅 Char1"/>
    <w:link w:val="1275"/>
    <w:qFormat/>
    <w:uiPriority w:val="0"/>
    <w:rPr>
      <w:rFonts w:ascii="宋体" w:hAnsi="宋体" w:cs="宋体"/>
      <w:kern w:val="2"/>
      <w:sz w:val="26"/>
    </w:rPr>
  </w:style>
  <w:style w:type="character" w:customStyle="1" w:styleId="1326">
    <w:name w:val="样式 正文首行缩进 + (西文) MS Mincho (中文) MS Mincho Char"/>
    <w:qFormat/>
    <w:uiPriority w:val="0"/>
    <w:rPr>
      <w:rFonts w:ascii="MS Mincho" w:hAnsi="MS Mincho" w:eastAsia="MS Mincho"/>
      <w:kern w:val="54"/>
      <w:sz w:val="26"/>
      <w:szCs w:val="26"/>
    </w:rPr>
  </w:style>
  <w:style w:type="character" w:customStyle="1" w:styleId="1327">
    <w:name w:val="样式 (中文) 仿宋_GB23121"/>
    <w:qFormat/>
    <w:uiPriority w:val="0"/>
    <w:rPr>
      <w:rFonts w:ascii="Arial" w:hAnsi="Arial" w:eastAsia="宋体" w:cs="Verdana"/>
      <w:b/>
      <w:kern w:val="0"/>
      <w:sz w:val="24"/>
      <w:szCs w:val="24"/>
      <w:lang w:val="en-US" w:eastAsia="en-US" w:bidi="ar-SA"/>
    </w:rPr>
  </w:style>
  <w:style w:type="character" w:customStyle="1" w:styleId="1328">
    <w:name w:val="p101"/>
    <w:qFormat/>
    <w:uiPriority w:val="0"/>
    <w:rPr>
      <w:rFonts w:hint="default" w:ascii="ˎ̥" w:hAnsi="ˎ̥"/>
      <w:sz w:val="21"/>
      <w:szCs w:val="21"/>
    </w:rPr>
  </w:style>
  <w:style w:type="character" w:customStyle="1" w:styleId="1329">
    <w:name w:val="样式 标题 2标题节标题节 Char标题节 Char Char标题 2 Char Char Char节标题 1.1标... Char"/>
    <w:link w:val="1269"/>
    <w:qFormat/>
    <w:uiPriority w:val="0"/>
    <w:rPr>
      <w:rFonts w:ascii="Times New Roman" w:hAnsi="Times New Roman"/>
      <w:b/>
      <w:bCs/>
      <w:kern w:val="2"/>
      <w:sz w:val="30"/>
      <w:szCs w:val="32"/>
    </w:rPr>
  </w:style>
  <w:style w:type="character" w:customStyle="1" w:styleId="1330">
    <w:name w:val="标1 Char Char"/>
    <w:qFormat/>
    <w:uiPriority w:val="0"/>
    <w:rPr>
      <w:rFonts w:eastAsia="宋体"/>
      <w:b/>
      <w:kern w:val="2"/>
      <w:sz w:val="32"/>
      <w:lang w:val="en-US" w:eastAsia="zh-CN" w:bidi="ar-SA"/>
    </w:rPr>
  </w:style>
  <w:style w:type="character" w:customStyle="1" w:styleId="1331">
    <w:name w:val="12heiwuxian"/>
    <w:basedOn w:val="132"/>
    <w:qFormat/>
    <w:uiPriority w:val="0"/>
  </w:style>
  <w:style w:type="character" w:customStyle="1" w:styleId="1332">
    <w:name w:val="tpc_content1"/>
    <w:qFormat/>
    <w:uiPriority w:val="0"/>
    <w:rPr>
      <w:sz w:val="20"/>
      <w:szCs w:val="20"/>
    </w:rPr>
  </w:style>
  <w:style w:type="character" w:customStyle="1" w:styleId="1333">
    <w:name w:val="表格正文 Char"/>
    <w:qFormat/>
    <w:uiPriority w:val="0"/>
    <w:rPr>
      <w:rFonts w:eastAsia="宋体"/>
      <w:kern w:val="2"/>
      <w:sz w:val="21"/>
      <w:szCs w:val="24"/>
      <w:lang w:val="en-US" w:eastAsia="zh-CN" w:bidi="ar-SA"/>
    </w:rPr>
  </w:style>
  <w:style w:type="character" w:customStyle="1" w:styleId="1334">
    <w:name w:val="正文首行缩进 2 + Times New Roman Char1"/>
    <w:link w:val="1204"/>
    <w:qFormat/>
    <w:uiPriority w:val="0"/>
    <w:rPr>
      <w:rFonts w:ascii="Times New Roman" w:hAnsi="Times New Roman"/>
      <w:sz w:val="24"/>
      <w:szCs w:val="24"/>
    </w:rPr>
  </w:style>
  <w:style w:type="character" w:customStyle="1" w:styleId="1335">
    <w:name w:val="Char Char31"/>
    <w:qFormat/>
    <w:locked/>
    <w:uiPriority w:val="0"/>
    <w:rPr>
      <w:rFonts w:ascii="宋体" w:hAnsi="宋体" w:eastAsia="宋体"/>
      <w:kern w:val="2"/>
      <w:sz w:val="21"/>
      <w:lang w:val="en-US" w:eastAsia="zh-CN" w:bidi="ar-SA"/>
    </w:rPr>
  </w:style>
  <w:style w:type="character" w:customStyle="1" w:styleId="1336">
    <w:name w:val="style9"/>
    <w:basedOn w:val="132"/>
    <w:qFormat/>
    <w:uiPriority w:val="0"/>
  </w:style>
  <w:style w:type="character" w:customStyle="1" w:styleId="1337">
    <w:name w:val="正文01 Char1"/>
    <w:qFormat/>
    <w:uiPriority w:val="0"/>
    <w:rPr>
      <w:rFonts w:eastAsia="宋体"/>
      <w:kern w:val="2"/>
      <w:sz w:val="24"/>
      <w:szCs w:val="24"/>
      <w:lang w:val="en-US" w:eastAsia="zh-CN" w:bidi="ar-SA"/>
    </w:rPr>
  </w:style>
  <w:style w:type="character" w:customStyle="1" w:styleId="1338">
    <w:name w:val="标1 Char"/>
    <w:link w:val="1174"/>
    <w:qFormat/>
    <w:uiPriority w:val="0"/>
    <w:rPr>
      <w:rFonts w:ascii="Times New Roman" w:hAnsi="Times New Roman"/>
      <w:b/>
      <w:kern w:val="2"/>
      <w:sz w:val="32"/>
    </w:rPr>
  </w:style>
  <w:style w:type="character" w:customStyle="1" w:styleId="1339">
    <w:name w:val="hangju"/>
    <w:qFormat/>
    <w:uiPriority w:val="0"/>
    <w:rPr>
      <w:rFonts w:ascii="Arial" w:hAnsi="Arial" w:eastAsia="宋体" w:cs="Verdana"/>
      <w:b/>
      <w:kern w:val="2"/>
      <w:sz w:val="24"/>
      <w:szCs w:val="24"/>
      <w:lang w:val="en-US" w:eastAsia="en-US" w:bidi="ar-SA"/>
    </w:rPr>
  </w:style>
  <w:style w:type="character" w:customStyle="1" w:styleId="1340">
    <w:name w:val="图表标题 Char"/>
    <w:link w:val="1184"/>
    <w:qFormat/>
    <w:uiPriority w:val="0"/>
    <w:rPr>
      <w:rFonts w:ascii="宋体" w:hAnsi="宋体"/>
      <w:b/>
      <w:kern w:val="2"/>
      <w:sz w:val="21"/>
      <w:szCs w:val="24"/>
      <w:lang w:val="zh-CN"/>
    </w:rPr>
  </w:style>
  <w:style w:type="character" w:customStyle="1" w:styleId="1341">
    <w:name w:val="(a正文 Char"/>
    <w:link w:val="1277"/>
    <w:qFormat/>
    <w:uiPriority w:val="0"/>
    <w:rPr>
      <w:rFonts w:ascii="Times New Roman" w:hAnsi="Times New Roman" w:eastAsia="仿宋_GB2312"/>
      <w:color w:val="000000"/>
      <w:kern w:val="2"/>
      <w:sz w:val="24"/>
      <w:szCs w:val="24"/>
    </w:rPr>
  </w:style>
  <w:style w:type="character" w:customStyle="1" w:styleId="1342">
    <w:name w:val="font_11"/>
    <w:qFormat/>
    <w:uiPriority w:val="0"/>
    <w:rPr>
      <w:sz w:val="21"/>
      <w:szCs w:val="21"/>
    </w:rPr>
  </w:style>
  <w:style w:type="character" w:customStyle="1" w:styleId="1343">
    <w:name w:val="style101"/>
    <w:qFormat/>
    <w:uiPriority w:val="0"/>
    <w:rPr>
      <w:b/>
      <w:bCs/>
      <w:color w:val="FF0000"/>
    </w:rPr>
  </w:style>
  <w:style w:type="character" w:customStyle="1" w:styleId="1344">
    <w:name w:val="样式10 Char"/>
    <w:link w:val="484"/>
    <w:qFormat/>
    <w:uiPriority w:val="0"/>
    <w:rPr>
      <w:rFonts w:ascii="黑体" w:hAnsi="Arial" w:cs="Arial"/>
      <w:bCs/>
      <w:color w:val="000000"/>
      <w:spacing w:val="6"/>
      <w:kern w:val="2"/>
      <w:sz w:val="52"/>
      <w:szCs w:val="28"/>
    </w:rPr>
  </w:style>
  <w:style w:type="character" w:customStyle="1" w:styleId="1345">
    <w:name w:val="buysell"/>
    <w:basedOn w:val="132"/>
    <w:qFormat/>
    <w:uiPriority w:val="0"/>
  </w:style>
  <w:style w:type="character" w:customStyle="1" w:styleId="1346">
    <w:name w:val="样式 样式1 + (西文) Times New Roman (中文) 宋体 小四 非加粗 Char"/>
    <w:link w:val="1224"/>
    <w:qFormat/>
    <w:uiPriority w:val="0"/>
    <w:rPr>
      <w:rFonts w:ascii="Times New Roman" w:hAnsi="Times New Roman"/>
      <w:b/>
      <w:kern w:val="2"/>
      <w:sz w:val="24"/>
      <w:szCs w:val="24"/>
    </w:rPr>
  </w:style>
  <w:style w:type="character" w:customStyle="1" w:styleId="1347">
    <w:name w:val="样式 样式 仿宋_GB2312 四号 黑色 首行缩进:  0.99 厘米 行距: 1.5 倍行距 + 首行缩进:  2 字符 Char Char"/>
    <w:qFormat/>
    <w:uiPriority w:val="0"/>
    <w:rPr>
      <w:rFonts w:ascii="仿宋_GB2312" w:hAnsi="Arial" w:eastAsia="仿宋_GB2312" w:cs="宋体"/>
      <w:b/>
      <w:color w:val="000000"/>
      <w:kern w:val="2"/>
      <w:sz w:val="24"/>
      <w:szCs w:val="24"/>
      <w:lang w:val="en-US" w:eastAsia="zh-CN" w:bidi="ar-SA"/>
    </w:rPr>
  </w:style>
  <w:style w:type="character" w:customStyle="1" w:styleId="1348">
    <w:name w:val="test1"/>
    <w:qFormat/>
    <w:uiPriority w:val="0"/>
    <w:rPr>
      <w:rFonts w:hint="default" w:ascii="ˎ̥" w:hAnsi="ˎ̥"/>
      <w:color w:val="000000"/>
      <w:sz w:val="23"/>
      <w:szCs w:val="23"/>
      <w:u w:val="none"/>
    </w:rPr>
  </w:style>
  <w:style w:type="paragraph" w:customStyle="1" w:styleId="1349">
    <w:name w:val="正文2 Char Char Char Char Char Char Char Char Char Char Char Char1 Char Char Char Char Char Char Char Char1 Char Char Char Char Char Char"/>
    <w:basedOn w:val="1"/>
    <w:qFormat/>
    <w:uiPriority w:val="0"/>
    <w:pPr>
      <w:widowControl/>
      <w:adjustRightInd/>
      <w:snapToGrid/>
      <w:spacing w:line="400" w:lineRule="exact"/>
      <w:ind w:firstLine="0" w:firstLineChars="0"/>
      <w:jc w:val="center"/>
    </w:pPr>
    <w:rPr>
      <w:rFonts w:ascii="Verdana" w:hAnsi="Verdana"/>
      <w:kern w:val="0"/>
      <w:sz w:val="21"/>
      <w:szCs w:val="20"/>
      <w:lang w:eastAsia="en-US"/>
    </w:rPr>
  </w:style>
  <w:style w:type="character" w:customStyle="1" w:styleId="1350">
    <w:name w:val="75pt"/>
    <w:basedOn w:val="132"/>
    <w:qFormat/>
    <w:uiPriority w:val="0"/>
  </w:style>
  <w:style w:type="paragraph" w:customStyle="1" w:styleId="1351">
    <w:name w:val="Char Char Char Char Char Char Char Char Char Char Char Char3"/>
    <w:basedOn w:val="1"/>
    <w:semiHidden/>
    <w:qFormat/>
    <w:uiPriority w:val="0"/>
    <w:pPr>
      <w:widowControl/>
      <w:tabs>
        <w:tab w:val="left" w:pos="540"/>
        <w:tab w:val="left" w:pos="1800"/>
      </w:tabs>
      <w:spacing w:before="120" w:after="160" w:line="240" w:lineRule="exact"/>
      <w:ind w:firstLine="480"/>
    </w:pPr>
    <w:rPr>
      <w:sz w:val="24"/>
    </w:rPr>
  </w:style>
  <w:style w:type="paragraph" w:customStyle="1" w:styleId="1352">
    <w:name w:val="Char Char Char Char Char Char Char Char Char Char Char Char2"/>
    <w:basedOn w:val="1"/>
    <w:semiHidden/>
    <w:qFormat/>
    <w:uiPriority w:val="0"/>
    <w:pPr>
      <w:widowControl/>
      <w:tabs>
        <w:tab w:val="left" w:pos="540"/>
        <w:tab w:val="left" w:pos="1800"/>
      </w:tabs>
      <w:spacing w:before="120" w:after="160" w:line="240" w:lineRule="exact"/>
      <w:ind w:firstLine="480"/>
    </w:pPr>
    <w:rPr>
      <w:sz w:val="24"/>
    </w:rPr>
  </w:style>
  <w:style w:type="paragraph" w:customStyle="1" w:styleId="1353">
    <w:name w:val="正文6"/>
    <w:qFormat/>
    <w:uiPriority w:val="0"/>
    <w:pPr>
      <w:jc w:val="both"/>
    </w:pPr>
    <w:rPr>
      <w:rFonts w:ascii="Times New Roman" w:hAnsi="Times New Roman" w:eastAsia="宋体" w:cs="Times New Roman"/>
      <w:kern w:val="2"/>
      <w:sz w:val="21"/>
      <w:szCs w:val="21"/>
      <w:lang w:val="en-US" w:eastAsia="zh-CN" w:bidi="ar-SA"/>
    </w:rPr>
  </w:style>
  <w:style w:type="character" w:customStyle="1" w:styleId="1354">
    <w:name w:val="f_codeexample"/>
    <w:qFormat/>
    <w:uiPriority w:val="0"/>
    <w:rPr>
      <w:rFonts w:ascii="Courier New" w:hAnsi="Courier New" w:cs="Courier New"/>
      <w:color w:val="000000"/>
      <w:sz w:val="16"/>
      <w:szCs w:val="16"/>
    </w:rPr>
  </w:style>
  <w:style w:type="character" w:customStyle="1" w:styleId="1355">
    <w:name w:val="f_imagecaption"/>
    <w:qFormat/>
    <w:uiPriority w:val="0"/>
    <w:rPr>
      <w:b/>
      <w:sz w:val="16"/>
      <w:szCs w:val="16"/>
    </w:rPr>
  </w:style>
  <w:style w:type="character" w:customStyle="1" w:styleId="1356">
    <w:name w:val="f_heading1"/>
    <w:qFormat/>
    <w:uiPriority w:val="0"/>
    <w:rPr>
      <w:b/>
      <w:color w:val="FFFFFF"/>
      <w:sz w:val="28"/>
      <w:szCs w:val="28"/>
    </w:rPr>
  </w:style>
  <w:style w:type="character" w:customStyle="1" w:styleId="1357">
    <w:name w:val="subtitle1"/>
    <w:qFormat/>
    <w:uiPriority w:val="0"/>
    <w:rPr>
      <w:rFonts w:hint="eastAsia" w:ascii="宋体" w:hAnsi="宋体" w:eastAsia="宋体"/>
      <w:color w:val="000000"/>
      <w:sz w:val="14"/>
      <w:szCs w:val="14"/>
    </w:rPr>
  </w:style>
  <w:style w:type="character" w:customStyle="1" w:styleId="1358">
    <w:name w:val="f_courierfixed"/>
    <w:qFormat/>
    <w:uiPriority w:val="0"/>
    <w:rPr>
      <w:rFonts w:ascii="Courier New" w:hAnsi="Courier New" w:cs="Courier New"/>
      <w:color w:val="000000"/>
      <w:sz w:val="18"/>
      <w:szCs w:val="18"/>
    </w:rPr>
  </w:style>
  <w:style w:type="paragraph" w:customStyle="1" w:styleId="1359">
    <w:name w:val="正文字体"/>
    <w:basedOn w:val="1"/>
    <w:semiHidden/>
    <w:qFormat/>
    <w:uiPriority w:val="0"/>
    <w:pPr>
      <w:spacing w:before="120" w:line="440" w:lineRule="atLeast"/>
      <w:jc w:val="both"/>
    </w:pPr>
    <w:rPr>
      <w:b/>
      <w:bCs/>
      <w:color w:val="000000"/>
      <w:sz w:val="24"/>
      <w:szCs w:val="20"/>
    </w:rPr>
  </w:style>
  <w:style w:type="paragraph" w:customStyle="1" w:styleId="1360">
    <w:name w:val="大表文左对"/>
    <w:basedOn w:val="1361"/>
    <w:qFormat/>
    <w:uiPriority w:val="0"/>
    <w:pPr>
      <w:tabs>
        <w:tab w:val="left" w:pos="1701"/>
      </w:tabs>
      <w:jc w:val="left"/>
    </w:pPr>
  </w:style>
  <w:style w:type="paragraph" w:customStyle="1" w:styleId="1361">
    <w:name w:val="大表格文字"/>
    <w:basedOn w:val="1"/>
    <w:qFormat/>
    <w:uiPriority w:val="0"/>
    <w:pPr>
      <w:tabs>
        <w:tab w:val="left" w:pos="1701"/>
      </w:tabs>
      <w:spacing w:before="120" w:line="300" w:lineRule="auto"/>
      <w:jc w:val="center"/>
    </w:pPr>
    <w:rPr>
      <w:rFonts w:cs="宋体"/>
      <w:color w:val="000000"/>
      <w:sz w:val="18"/>
      <w:szCs w:val="20"/>
    </w:rPr>
  </w:style>
  <w:style w:type="paragraph" w:customStyle="1" w:styleId="1362">
    <w:name w:val="ReMinD正文"/>
    <w:qFormat/>
    <w:uiPriority w:val="0"/>
    <w:pPr>
      <w:spacing w:line="440" w:lineRule="exact"/>
      <w:ind w:firstLine="200" w:firstLineChars="200"/>
    </w:pPr>
    <w:rPr>
      <w:rFonts w:ascii="Times New Roman" w:hAnsi="Times New Roman" w:eastAsia="宋体" w:cs="Times New Roman"/>
      <w:b/>
      <w:kern w:val="2"/>
      <w:sz w:val="24"/>
      <w:szCs w:val="24"/>
      <w:lang w:val="en-US" w:eastAsia="zh-CN" w:bidi="ar-SA"/>
    </w:rPr>
  </w:style>
  <w:style w:type="paragraph" w:customStyle="1" w:styleId="1363">
    <w:name w:val="样式 样式4 + 首行缩进:  1.92 字符"/>
    <w:basedOn w:val="224"/>
    <w:qFormat/>
    <w:uiPriority w:val="0"/>
    <w:pPr>
      <w:numPr>
        <w:ilvl w:val="0"/>
        <w:numId w:val="0"/>
      </w:numPr>
      <w:snapToGrid w:val="0"/>
      <w:spacing w:beforeLines="0" w:line="300" w:lineRule="auto"/>
      <w:ind w:firstLine="538" w:firstLineChars="192"/>
      <w:outlineLvl w:val="9"/>
    </w:pPr>
    <w:rPr>
      <w:rFonts w:cs="Times New Roman"/>
      <w:b w:val="0"/>
      <w:color w:val="auto"/>
      <w:kern w:val="2"/>
      <w:sz w:val="28"/>
      <w:szCs w:val="22"/>
    </w:rPr>
  </w:style>
  <w:style w:type="paragraph" w:customStyle="1" w:styleId="1364">
    <w:name w:val="列出段落11"/>
    <w:basedOn w:val="1"/>
    <w:qFormat/>
    <w:uiPriority w:val="0"/>
    <w:pPr>
      <w:adjustRightInd/>
      <w:snapToGrid/>
      <w:spacing w:before="120" w:line="440" w:lineRule="exact"/>
      <w:ind w:firstLine="420"/>
      <w:jc w:val="both"/>
    </w:pPr>
    <w:rPr>
      <w:sz w:val="24"/>
    </w:rPr>
  </w:style>
  <w:style w:type="paragraph" w:customStyle="1" w:styleId="1365">
    <w:name w:val="无间隔11"/>
    <w:qFormat/>
    <w:uiPriority w:val="0"/>
    <w:pPr>
      <w:widowControl w:val="0"/>
      <w:spacing w:line="240" w:lineRule="atLeast"/>
    </w:pPr>
    <w:rPr>
      <w:rFonts w:ascii="Times New Roman" w:hAnsi="Times New Roman" w:eastAsia="宋体" w:cs="Times New Roman"/>
      <w:kern w:val="2"/>
      <w:szCs w:val="22"/>
      <w:lang w:val="en-US" w:eastAsia="zh-CN" w:bidi="ar-SA"/>
    </w:rPr>
  </w:style>
  <w:style w:type="paragraph" w:customStyle="1" w:styleId="1366">
    <w:name w:val="Char4 Char Char Char3"/>
    <w:basedOn w:val="1"/>
    <w:semiHidden/>
    <w:qFormat/>
    <w:uiPriority w:val="0"/>
    <w:pPr>
      <w:spacing w:before="120" w:line="360" w:lineRule="auto"/>
      <w:jc w:val="both"/>
    </w:pPr>
    <w:rPr>
      <w:rFonts w:ascii="宋体" w:hAnsi="宋体" w:cs="宋体"/>
      <w:sz w:val="24"/>
      <w:szCs w:val="26"/>
    </w:rPr>
  </w:style>
  <w:style w:type="paragraph" w:customStyle="1" w:styleId="1367">
    <w:name w:val="正文（首行缩进2字）"/>
    <w:basedOn w:val="1"/>
    <w:qFormat/>
    <w:uiPriority w:val="0"/>
    <w:pPr>
      <w:adjustRightInd/>
      <w:snapToGrid/>
      <w:spacing w:before="120" w:line="460" w:lineRule="exact"/>
      <w:jc w:val="both"/>
    </w:pPr>
    <w:rPr>
      <w:color w:val="000000"/>
      <w:kern w:val="0"/>
      <w:sz w:val="24"/>
      <w:szCs w:val="24"/>
    </w:rPr>
  </w:style>
  <w:style w:type="paragraph" w:customStyle="1" w:styleId="1368">
    <w:name w:val="zw"/>
    <w:basedOn w:val="1"/>
    <w:qFormat/>
    <w:uiPriority w:val="0"/>
    <w:pPr>
      <w:widowControl/>
      <w:adjustRightInd/>
      <w:snapToGrid/>
      <w:spacing w:before="120" w:line="520" w:lineRule="exact"/>
    </w:pPr>
    <w:rPr>
      <w:rFonts w:ascii="宋体" w:hAnsi="宋体"/>
      <w:sz w:val="28"/>
      <w:szCs w:val="28"/>
    </w:rPr>
  </w:style>
  <w:style w:type="paragraph" w:customStyle="1" w:styleId="1369">
    <w:name w:val="Char Char Char Char Char2 Char2"/>
    <w:basedOn w:val="1"/>
    <w:semiHidden/>
    <w:qFormat/>
    <w:uiPriority w:val="0"/>
    <w:pPr>
      <w:spacing w:before="120" w:line="360" w:lineRule="auto"/>
      <w:jc w:val="both"/>
    </w:pPr>
    <w:rPr>
      <w:rFonts w:ascii="宋体" w:hAnsi="宋体" w:cs="宋体"/>
      <w:sz w:val="24"/>
      <w:szCs w:val="26"/>
    </w:rPr>
  </w:style>
  <w:style w:type="paragraph" w:customStyle="1" w:styleId="1370">
    <w:name w:val="新格式表"/>
    <w:basedOn w:val="1"/>
    <w:link w:val="2375"/>
    <w:qFormat/>
    <w:uiPriority w:val="0"/>
    <w:pPr>
      <w:adjustRightInd/>
      <w:snapToGrid/>
      <w:spacing w:before="120" w:line="360" w:lineRule="exact"/>
      <w:jc w:val="center"/>
    </w:pPr>
    <w:rPr>
      <w:rFonts w:ascii="ˎ̥" w:hAnsi="ˎ̥"/>
      <w:b/>
      <w:snapToGrid w:val="0"/>
      <w:color w:val="000000"/>
      <w:sz w:val="24"/>
      <w:szCs w:val="24"/>
    </w:rPr>
  </w:style>
  <w:style w:type="paragraph" w:customStyle="1" w:styleId="1371">
    <w:name w:val="样式 表头 + 加粗"/>
    <w:basedOn w:val="84"/>
    <w:qFormat/>
    <w:uiPriority w:val="0"/>
    <w:pPr>
      <w:keepNext/>
      <w:spacing w:after="60" w:line="360" w:lineRule="exact"/>
      <w:ind w:firstLine="200" w:firstLineChars="200"/>
    </w:pPr>
    <w:rPr>
      <w:rFonts w:ascii="黑体" w:eastAsia="黑体"/>
      <w:spacing w:val="10"/>
      <w:kern w:val="21"/>
      <w:szCs w:val="22"/>
    </w:rPr>
  </w:style>
  <w:style w:type="paragraph" w:customStyle="1" w:styleId="1372">
    <w:name w:val="正文7"/>
    <w:basedOn w:val="1"/>
    <w:link w:val="1373"/>
    <w:qFormat/>
    <w:uiPriority w:val="0"/>
    <w:pPr>
      <w:snapToGrid/>
      <w:spacing w:before="120" w:line="315" w:lineRule="atLeast"/>
      <w:ind w:firstLine="0" w:firstLineChars="0"/>
      <w:textAlignment w:val="baseline"/>
    </w:pPr>
    <w:rPr>
      <w:rFonts w:ascii="宋体"/>
      <w:kern w:val="0"/>
      <w:sz w:val="24"/>
      <w:szCs w:val="20"/>
    </w:rPr>
  </w:style>
  <w:style w:type="character" w:customStyle="1" w:styleId="1373">
    <w:name w:val="正文 Char2"/>
    <w:link w:val="1372"/>
    <w:qFormat/>
    <w:uiPriority w:val="0"/>
    <w:rPr>
      <w:rFonts w:ascii="宋体" w:hAnsi="Times New Roman"/>
      <w:sz w:val="24"/>
    </w:rPr>
  </w:style>
  <w:style w:type="paragraph" w:customStyle="1" w:styleId="1374">
    <w:name w:val="10"/>
    <w:qFormat/>
    <w:uiPriority w:val="0"/>
    <w:pPr>
      <w:widowControl w:val="0"/>
      <w:jc w:val="both"/>
    </w:pPr>
    <w:rPr>
      <w:rFonts w:ascii="Times New Roman" w:hAnsi="Times New Roman" w:eastAsia="宋体" w:cs="Times New Roman"/>
      <w:color w:val="000000"/>
      <w:kern w:val="2"/>
      <w:sz w:val="24"/>
      <w:szCs w:val="24"/>
      <w:lang w:val="en-US" w:eastAsia="zh-CN" w:bidi="ar-SA"/>
    </w:rPr>
  </w:style>
  <w:style w:type="paragraph" w:customStyle="1" w:styleId="1375">
    <w:name w:val="Char4 Char Char Char2"/>
    <w:basedOn w:val="1"/>
    <w:semiHidden/>
    <w:qFormat/>
    <w:uiPriority w:val="0"/>
    <w:pPr>
      <w:spacing w:line="360" w:lineRule="auto"/>
      <w:jc w:val="both"/>
    </w:pPr>
    <w:rPr>
      <w:rFonts w:ascii="宋体" w:hAnsi="宋体" w:cs="宋体"/>
      <w:sz w:val="24"/>
      <w:szCs w:val="26"/>
    </w:rPr>
  </w:style>
  <w:style w:type="paragraph" w:customStyle="1" w:styleId="1376">
    <w:name w:val="Char Char Char Char Char Char Char Char Char2"/>
    <w:basedOn w:val="1"/>
    <w:semiHidden/>
    <w:qFormat/>
    <w:uiPriority w:val="0"/>
    <w:pPr>
      <w:adjustRightInd/>
      <w:snapToGrid/>
      <w:spacing w:line="240" w:lineRule="auto"/>
      <w:ind w:firstLine="0" w:firstLineChars="0"/>
      <w:jc w:val="both"/>
    </w:pPr>
    <w:rPr>
      <w:sz w:val="21"/>
      <w:szCs w:val="24"/>
    </w:rPr>
  </w:style>
  <w:style w:type="paragraph" w:customStyle="1" w:styleId="1377">
    <w:name w:val="Char Char Char Char3"/>
    <w:basedOn w:val="1"/>
    <w:qFormat/>
    <w:uiPriority w:val="0"/>
    <w:pPr>
      <w:spacing w:line="360" w:lineRule="auto"/>
      <w:jc w:val="both"/>
    </w:pPr>
    <w:rPr>
      <w:rFonts w:ascii="宋体" w:hAnsi="宋体" w:cs="宋体"/>
      <w:sz w:val="24"/>
      <w:szCs w:val="26"/>
    </w:rPr>
  </w:style>
  <w:style w:type="paragraph" w:customStyle="1" w:styleId="1378">
    <w:name w:val="Char Char Char Char Char Char Char Char Char Char Char Char1 Char Char Char Char Char Char Char Char Char Char Char Char Char Char Char Char Char Char Char1"/>
    <w:basedOn w:val="1"/>
    <w:semiHidden/>
    <w:qFormat/>
    <w:uiPriority w:val="0"/>
    <w:pPr>
      <w:adjustRightInd/>
      <w:snapToGrid/>
      <w:spacing w:line="360" w:lineRule="auto"/>
      <w:jc w:val="both"/>
    </w:pPr>
    <w:rPr>
      <w:rFonts w:ascii="宋体" w:hAnsi="宋体" w:cs="宋体"/>
      <w:sz w:val="24"/>
      <w:szCs w:val="26"/>
    </w:rPr>
  </w:style>
  <w:style w:type="paragraph" w:customStyle="1" w:styleId="1379">
    <w:name w:val="Char4"/>
    <w:basedOn w:val="1"/>
    <w:qFormat/>
    <w:uiPriority w:val="0"/>
    <w:pPr>
      <w:adjustRightInd/>
      <w:snapToGrid/>
      <w:spacing w:line="240" w:lineRule="auto"/>
      <w:ind w:firstLine="0" w:firstLineChars="0"/>
      <w:jc w:val="both"/>
    </w:pPr>
    <w:rPr>
      <w:sz w:val="21"/>
      <w:szCs w:val="24"/>
    </w:rPr>
  </w:style>
  <w:style w:type="paragraph" w:customStyle="1" w:styleId="1380">
    <w:name w:val="Char Char Char Char Char Char Char2"/>
    <w:basedOn w:val="1"/>
    <w:link w:val="1410"/>
    <w:qFormat/>
    <w:uiPriority w:val="0"/>
    <w:pPr>
      <w:adjustRightInd/>
      <w:snapToGrid/>
      <w:spacing w:line="240" w:lineRule="auto"/>
      <w:ind w:firstLine="0" w:firstLineChars="0"/>
      <w:jc w:val="both"/>
    </w:pPr>
    <w:rPr>
      <w:sz w:val="21"/>
      <w:szCs w:val="24"/>
    </w:rPr>
  </w:style>
  <w:style w:type="paragraph" w:customStyle="1" w:styleId="1381">
    <w:name w:val="Char Char1 Char Char Char Char1"/>
    <w:basedOn w:val="1"/>
    <w:qFormat/>
    <w:uiPriority w:val="0"/>
    <w:pPr>
      <w:adjustRightInd/>
      <w:snapToGrid/>
      <w:spacing w:line="240" w:lineRule="auto"/>
      <w:ind w:firstLine="0" w:firstLineChars="0"/>
      <w:jc w:val="both"/>
    </w:pPr>
    <w:rPr>
      <w:sz w:val="24"/>
      <w:szCs w:val="24"/>
    </w:rPr>
  </w:style>
  <w:style w:type="paragraph" w:customStyle="1" w:styleId="1382">
    <w:name w:val="Char2 Char Char Char Char Char Char1"/>
    <w:basedOn w:val="1"/>
    <w:qFormat/>
    <w:uiPriority w:val="0"/>
    <w:pPr>
      <w:adjustRightInd/>
      <w:snapToGrid/>
      <w:spacing w:line="240" w:lineRule="auto"/>
      <w:ind w:firstLine="0" w:firstLineChars="0"/>
      <w:jc w:val="both"/>
    </w:pPr>
    <w:rPr>
      <w:sz w:val="21"/>
      <w:szCs w:val="24"/>
    </w:rPr>
  </w:style>
  <w:style w:type="paragraph" w:customStyle="1" w:styleId="1383">
    <w:name w:val="Char Char Char Char12"/>
    <w:basedOn w:val="1"/>
    <w:qFormat/>
    <w:uiPriority w:val="0"/>
    <w:pPr>
      <w:adjustRightInd/>
      <w:snapToGrid/>
      <w:spacing w:line="360" w:lineRule="auto"/>
      <w:jc w:val="both"/>
    </w:pPr>
    <w:rPr>
      <w:rFonts w:ascii="宋体" w:hAnsi="宋体" w:cs="宋体"/>
      <w:sz w:val="24"/>
      <w:szCs w:val="24"/>
    </w:rPr>
  </w:style>
  <w:style w:type="paragraph" w:customStyle="1" w:styleId="1384">
    <w:name w:val="Char22"/>
    <w:basedOn w:val="1"/>
    <w:qFormat/>
    <w:uiPriority w:val="0"/>
    <w:pPr>
      <w:adjustRightInd/>
      <w:snapToGrid/>
      <w:spacing w:line="240" w:lineRule="auto"/>
      <w:ind w:firstLine="0" w:firstLineChars="0"/>
      <w:jc w:val="both"/>
    </w:pPr>
    <w:rPr>
      <w:sz w:val="21"/>
      <w:szCs w:val="21"/>
    </w:rPr>
  </w:style>
  <w:style w:type="paragraph" w:customStyle="1" w:styleId="1385">
    <w:name w:val="Char Char Char Char Char Char2"/>
    <w:basedOn w:val="1"/>
    <w:qFormat/>
    <w:uiPriority w:val="0"/>
    <w:pPr>
      <w:adjustRightInd/>
      <w:snapToGrid/>
      <w:spacing w:line="240" w:lineRule="auto"/>
      <w:ind w:firstLine="0" w:firstLineChars="0"/>
      <w:jc w:val="both"/>
    </w:pPr>
    <w:rPr>
      <w:rFonts w:ascii="宋体" w:hAnsi="宋体"/>
      <w:sz w:val="24"/>
      <w:szCs w:val="24"/>
    </w:rPr>
  </w:style>
  <w:style w:type="paragraph" w:customStyle="1" w:styleId="1386">
    <w:name w:val="日期2"/>
    <w:basedOn w:val="1"/>
    <w:next w:val="1"/>
    <w:qFormat/>
    <w:uiPriority w:val="0"/>
    <w:pPr>
      <w:snapToGrid/>
      <w:spacing w:line="240" w:lineRule="auto"/>
      <w:ind w:firstLine="0" w:firstLineChars="0"/>
      <w:jc w:val="both"/>
      <w:textAlignment w:val="baseline"/>
    </w:pPr>
    <w:rPr>
      <w:sz w:val="21"/>
      <w:szCs w:val="20"/>
    </w:rPr>
  </w:style>
  <w:style w:type="character" w:customStyle="1" w:styleId="1387">
    <w:name w:val="Char Char72"/>
    <w:qFormat/>
    <w:uiPriority w:val="0"/>
    <w:rPr>
      <w:rFonts w:eastAsia="宋体"/>
      <w:b/>
      <w:bCs/>
      <w:kern w:val="44"/>
      <w:sz w:val="44"/>
      <w:szCs w:val="44"/>
      <w:lang w:val="en-US" w:eastAsia="zh-CN" w:bidi="ar-SA"/>
    </w:rPr>
  </w:style>
  <w:style w:type="paragraph" w:customStyle="1" w:styleId="1388">
    <w:name w:val="Char Char1 Char1"/>
    <w:basedOn w:val="1"/>
    <w:qFormat/>
    <w:uiPriority w:val="0"/>
    <w:pPr>
      <w:adjustRightInd/>
      <w:snapToGrid/>
      <w:spacing w:line="240" w:lineRule="auto"/>
      <w:ind w:firstLine="0" w:firstLineChars="0"/>
      <w:jc w:val="both"/>
    </w:pPr>
    <w:rPr>
      <w:sz w:val="21"/>
      <w:szCs w:val="24"/>
    </w:rPr>
  </w:style>
  <w:style w:type="paragraph" w:customStyle="1" w:styleId="1389">
    <w:name w:val="批注框文本3"/>
    <w:basedOn w:val="1"/>
    <w:semiHidden/>
    <w:qFormat/>
    <w:uiPriority w:val="0"/>
    <w:pPr>
      <w:widowControl/>
      <w:autoSpaceDE w:val="0"/>
      <w:autoSpaceDN w:val="0"/>
      <w:adjustRightInd/>
      <w:snapToGrid/>
      <w:spacing w:line="240" w:lineRule="auto"/>
      <w:ind w:firstLine="0" w:firstLineChars="0"/>
    </w:pPr>
    <w:rPr>
      <w:rFonts w:ascii="Tahoma" w:hAnsi="Tahoma" w:cs="幼圆"/>
      <w:kern w:val="0"/>
      <w:sz w:val="16"/>
      <w:szCs w:val="16"/>
      <w:lang w:val="en-GB" w:eastAsia="en-GB"/>
    </w:rPr>
  </w:style>
  <w:style w:type="paragraph" w:customStyle="1" w:styleId="1390">
    <w:name w:val="正文8"/>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391">
    <w:name w:val="普通(网站)2"/>
    <w:basedOn w:val="1"/>
    <w:qFormat/>
    <w:uiPriority w:val="0"/>
    <w:pPr>
      <w:adjustRightInd/>
      <w:snapToGrid/>
      <w:spacing w:line="240" w:lineRule="auto"/>
      <w:ind w:firstLine="0" w:firstLineChars="0"/>
      <w:jc w:val="both"/>
    </w:pPr>
    <w:rPr>
      <w:sz w:val="24"/>
      <w:szCs w:val="24"/>
    </w:rPr>
  </w:style>
  <w:style w:type="character" w:customStyle="1" w:styleId="1392">
    <w:name w:val="Char1 Char Char Char Char Char Char Char Char Char Char Char Char Char Char Char Char Char1"/>
    <w:qFormat/>
    <w:uiPriority w:val="0"/>
    <w:rPr>
      <w:rFonts w:ascii="Arial Narrow" w:hAnsi="Arial Narrow" w:eastAsia="仿宋_GB2312"/>
      <w:sz w:val="24"/>
      <w:szCs w:val="28"/>
      <w:lang w:val="en-US" w:eastAsia="zh-CN" w:bidi="ar-SA"/>
    </w:rPr>
  </w:style>
  <w:style w:type="paragraph" w:customStyle="1" w:styleId="1393">
    <w:name w:val="Char Char3 Char Char Char Char2"/>
    <w:basedOn w:val="1"/>
    <w:qFormat/>
    <w:uiPriority w:val="0"/>
    <w:pPr>
      <w:widowControl/>
      <w:adjustRightInd/>
      <w:snapToGrid/>
      <w:spacing w:after="160" w:line="240" w:lineRule="exact"/>
      <w:ind w:firstLine="0" w:firstLineChars="0"/>
    </w:pPr>
    <w:rPr>
      <w:rFonts w:ascii="Verdana" w:hAnsi="Verdana"/>
      <w:kern w:val="0"/>
      <w:sz w:val="20"/>
      <w:szCs w:val="20"/>
      <w:lang w:eastAsia="en-US"/>
    </w:rPr>
  </w:style>
  <w:style w:type="character" w:customStyle="1" w:styleId="1394">
    <w:name w:val="Char Char161"/>
    <w:qFormat/>
    <w:uiPriority w:val="0"/>
    <w:rPr>
      <w:rFonts w:ascii="Book Antiqua" w:hAnsi="Book Antiqua" w:eastAsia="宋体"/>
      <w:i/>
      <w:sz w:val="22"/>
      <w:lang w:val="en-GB" w:eastAsia="zh-CN" w:bidi="ar-SA"/>
    </w:rPr>
  </w:style>
  <w:style w:type="character" w:customStyle="1" w:styleId="1395">
    <w:name w:val="Char Char131"/>
    <w:qFormat/>
    <w:uiPriority w:val="0"/>
    <w:rPr>
      <w:rFonts w:ascii="宋体" w:eastAsia="宋体"/>
      <w:b/>
      <w:spacing w:val="6"/>
      <w:kern w:val="2"/>
      <w:sz w:val="24"/>
      <w:szCs w:val="26"/>
      <w:lang w:val="en-US" w:eastAsia="zh-CN" w:bidi="ar-SA"/>
    </w:rPr>
  </w:style>
  <w:style w:type="paragraph" w:customStyle="1" w:styleId="1396">
    <w:name w:val="Char Char Char Char Char Char Char Char Char Char Char Char Char Char Char Char Char Char Char1"/>
    <w:basedOn w:val="1"/>
    <w:qFormat/>
    <w:uiPriority w:val="0"/>
    <w:pPr>
      <w:adjustRightInd/>
      <w:snapToGrid/>
      <w:spacing w:line="240" w:lineRule="auto"/>
      <w:ind w:firstLine="0" w:firstLineChars="0"/>
      <w:jc w:val="both"/>
    </w:pPr>
    <w:rPr>
      <w:rFonts w:eastAsia="Times New Roman"/>
      <w:kern w:val="0"/>
      <w:sz w:val="20"/>
      <w:szCs w:val="20"/>
    </w:rPr>
  </w:style>
  <w:style w:type="character" w:customStyle="1" w:styleId="1397">
    <w:name w:val="Char Char101"/>
    <w:qFormat/>
    <w:uiPriority w:val="0"/>
    <w:rPr>
      <w:rFonts w:eastAsia="宋体"/>
      <w:sz w:val="18"/>
      <w:szCs w:val="18"/>
      <w:lang w:val="zh-CN" w:eastAsia="zh-CN" w:bidi="ar-SA"/>
    </w:rPr>
  </w:style>
  <w:style w:type="character" w:customStyle="1" w:styleId="1398">
    <w:name w:val="Char Char81"/>
    <w:qFormat/>
    <w:uiPriority w:val="0"/>
    <w:rPr>
      <w:rFonts w:ascii="宋体" w:hAnsi="宋体" w:eastAsia="宋体"/>
      <w:sz w:val="24"/>
      <w:szCs w:val="24"/>
      <w:lang w:val="zh-CN" w:eastAsia="zh-CN" w:bidi="ar-SA"/>
    </w:rPr>
  </w:style>
  <w:style w:type="paragraph" w:customStyle="1" w:styleId="1399">
    <w:name w:val="Char Char Char Char Char2 Char Char Char Char2"/>
    <w:basedOn w:val="1"/>
    <w:semiHidden/>
    <w:qFormat/>
    <w:uiPriority w:val="0"/>
    <w:pPr>
      <w:spacing w:line="360" w:lineRule="auto"/>
      <w:jc w:val="both"/>
    </w:pPr>
    <w:rPr>
      <w:rFonts w:ascii="宋体" w:hAnsi="宋体" w:cs="宋体"/>
      <w:sz w:val="24"/>
      <w:szCs w:val="26"/>
    </w:rPr>
  </w:style>
  <w:style w:type="character" w:customStyle="1" w:styleId="1400">
    <w:name w:val="标题9"/>
    <w:basedOn w:val="132"/>
    <w:qFormat/>
    <w:uiPriority w:val="0"/>
  </w:style>
  <w:style w:type="paragraph" w:customStyle="1" w:styleId="1401">
    <w:name w:val="Char Char Char Char Char Char Char Char Char Char Char Char Char Char Char Char Char Char1"/>
    <w:basedOn w:val="1"/>
    <w:qFormat/>
    <w:uiPriority w:val="0"/>
    <w:pPr>
      <w:adjustRightInd/>
      <w:snapToGrid/>
      <w:spacing w:line="240" w:lineRule="auto"/>
      <w:ind w:firstLine="0" w:firstLineChars="0"/>
      <w:jc w:val="both"/>
    </w:pPr>
    <w:rPr>
      <w:sz w:val="21"/>
      <w:szCs w:val="24"/>
    </w:rPr>
  </w:style>
  <w:style w:type="paragraph" w:customStyle="1" w:styleId="1402">
    <w:name w:val="Char Char Char Char Char Char Char Char Char Char1"/>
    <w:basedOn w:val="1"/>
    <w:next w:val="1"/>
    <w:qFormat/>
    <w:uiPriority w:val="0"/>
    <w:pPr>
      <w:adjustRightInd/>
      <w:snapToGrid/>
      <w:spacing w:line="360" w:lineRule="auto"/>
      <w:jc w:val="both"/>
    </w:pPr>
    <w:rPr>
      <w:rFonts w:ascii="宋体" w:hAnsi="宋体" w:cs="宋体"/>
      <w:sz w:val="24"/>
      <w:szCs w:val="24"/>
    </w:rPr>
  </w:style>
  <w:style w:type="paragraph" w:customStyle="1" w:styleId="1403">
    <w:name w:val="Char Char Char Char Char Char Char Char Char Char Char Char1"/>
    <w:basedOn w:val="1"/>
    <w:next w:val="1"/>
    <w:qFormat/>
    <w:uiPriority w:val="0"/>
    <w:pPr>
      <w:adjustRightInd/>
      <w:snapToGrid/>
      <w:spacing w:line="360" w:lineRule="auto"/>
      <w:jc w:val="both"/>
    </w:pPr>
    <w:rPr>
      <w:rFonts w:ascii="宋体" w:hAnsi="宋体" w:cs="宋体"/>
      <w:sz w:val="24"/>
      <w:szCs w:val="24"/>
    </w:rPr>
  </w:style>
  <w:style w:type="paragraph" w:customStyle="1" w:styleId="1404">
    <w:name w:val="Char Char Char Char Char Char Char Char Char Char Char Char1 Char1"/>
    <w:basedOn w:val="1"/>
    <w:next w:val="1"/>
    <w:qFormat/>
    <w:uiPriority w:val="0"/>
    <w:pPr>
      <w:adjustRightInd/>
      <w:snapToGrid/>
      <w:spacing w:line="360" w:lineRule="auto"/>
      <w:jc w:val="both"/>
    </w:pPr>
    <w:rPr>
      <w:rFonts w:ascii="宋体" w:hAnsi="宋体" w:cs="宋体"/>
      <w:sz w:val="24"/>
      <w:szCs w:val="24"/>
    </w:rPr>
  </w:style>
  <w:style w:type="paragraph" w:customStyle="1" w:styleId="1405">
    <w:name w:val="Char Char Char Char Char Char1 Char1"/>
    <w:basedOn w:val="1"/>
    <w:qFormat/>
    <w:uiPriority w:val="0"/>
    <w:pPr>
      <w:adjustRightInd/>
      <w:snapToGrid/>
      <w:spacing w:line="240" w:lineRule="auto"/>
      <w:ind w:firstLine="0" w:firstLineChars="0"/>
      <w:jc w:val="both"/>
    </w:pPr>
    <w:rPr>
      <w:sz w:val="21"/>
      <w:szCs w:val="24"/>
    </w:rPr>
  </w:style>
  <w:style w:type="paragraph" w:customStyle="1" w:styleId="1406">
    <w:name w:val="Char Char Char Char Char Char Char Char Char Char Char Char Char Char Char Char2"/>
    <w:basedOn w:val="1"/>
    <w:qFormat/>
    <w:uiPriority w:val="0"/>
    <w:pPr>
      <w:adjustRightInd/>
      <w:snapToGrid/>
      <w:spacing w:line="240" w:lineRule="auto"/>
      <w:ind w:firstLine="0" w:firstLineChars="0"/>
      <w:jc w:val="both"/>
    </w:pPr>
    <w:rPr>
      <w:sz w:val="21"/>
      <w:szCs w:val="24"/>
    </w:rPr>
  </w:style>
  <w:style w:type="paragraph" w:customStyle="1" w:styleId="1407">
    <w:name w:val="Char Char Char1 Char Char Char Char Char Char Char Char Char Char Char Char Char Char Char Char Char Char Char1"/>
    <w:basedOn w:val="1"/>
    <w:qFormat/>
    <w:uiPriority w:val="0"/>
    <w:pPr>
      <w:adjustRightInd/>
      <w:snapToGrid/>
      <w:spacing w:line="240" w:lineRule="auto"/>
      <w:ind w:firstLine="0" w:firstLineChars="0"/>
      <w:jc w:val="both"/>
    </w:pPr>
    <w:rPr>
      <w:sz w:val="21"/>
      <w:szCs w:val="24"/>
    </w:rPr>
  </w:style>
  <w:style w:type="paragraph" w:customStyle="1" w:styleId="1408">
    <w:name w:val="Char Char Char Char Char Char Char Char Char Char Char Char Char Char Char Char Char Char Char Char Char Char Char Char Char Char Char Char Char Char Char Char Char Char Char Char Char Char Char1"/>
    <w:basedOn w:val="1"/>
    <w:qFormat/>
    <w:uiPriority w:val="0"/>
    <w:pPr>
      <w:adjustRightInd/>
      <w:snapToGrid/>
      <w:spacing w:line="240" w:lineRule="auto"/>
      <w:ind w:firstLine="0" w:firstLineChars="0"/>
      <w:jc w:val="both"/>
    </w:pPr>
    <w:rPr>
      <w:sz w:val="21"/>
      <w:szCs w:val="24"/>
    </w:rPr>
  </w:style>
  <w:style w:type="paragraph" w:customStyle="1" w:styleId="1409">
    <w:name w:val="Char Char Char Char Char Char Char Char Char Char Char1"/>
    <w:basedOn w:val="1"/>
    <w:qFormat/>
    <w:uiPriority w:val="0"/>
    <w:pPr>
      <w:snapToGrid/>
      <w:spacing w:line="360" w:lineRule="auto"/>
      <w:ind w:firstLine="0" w:firstLineChars="0"/>
      <w:jc w:val="both"/>
    </w:pPr>
    <w:rPr>
      <w:kern w:val="0"/>
      <w:sz w:val="24"/>
      <w:szCs w:val="20"/>
    </w:rPr>
  </w:style>
  <w:style w:type="character" w:customStyle="1" w:styleId="1410">
    <w:name w:val="Char Char Char Char Char Char Char Char1"/>
    <w:link w:val="1380"/>
    <w:qFormat/>
    <w:uiPriority w:val="0"/>
    <w:rPr>
      <w:rFonts w:ascii="Times New Roman" w:hAnsi="Times New Roman"/>
      <w:kern w:val="2"/>
      <w:sz w:val="21"/>
      <w:szCs w:val="24"/>
    </w:rPr>
  </w:style>
  <w:style w:type="paragraph" w:customStyle="1" w:styleId="1411">
    <w:name w:val="Char Char Char Char Char2 Char1"/>
    <w:basedOn w:val="1"/>
    <w:qFormat/>
    <w:uiPriority w:val="0"/>
    <w:pPr>
      <w:spacing w:line="360" w:lineRule="auto"/>
      <w:jc w:val="both"/>
    </w:pPr>
    <w:rPr>
      <w:sz w:val="21"/>
      <w:szCs w:val="20"/>
    </w:rPr>
  </w:style>
  <w:style w:type="character" w:customStyle="1" w:styleId="1412">
    <w:name w:val="Char Char171"/>
    <w:qFormat/>
    <w:uiPriority w:val="0"/>
    <w:rPr>
      <w:rFonts w:eastAsia="宋体"/>
      <w:color w:val="000000"/>
      <w:kern w:val="2"/>
      <w:sz w:val="18"/>
      <w:szCs w:val="18"/>
      <w:lang w:val="en-US" w:eastAsia="zh-CN" w:bidi="ar-SA"/>
    </w:rPr>
  </w:style>
  <w:style w:type="paragraph" w:customStyle="1" w:styleId="1413">
    <w:name w:val="Char Char Char2"/>
    <w:basedOn w:val="1"/>
    <w:qFormat/>
    <w:uiPriority w:val="0"/>
    <w:pPr>
      <w:adjustRightInd/>
      <w:snapToGrid/>
      <w:spacing w:line="240" w:lineRule="auto"/>
      <w:ind w:firstLine="0" w:firstLineChars="0"/>
      <w:jc w:val="both"/>
    </w:pPr>
    <w:rPr>
      <w:sz w:val="24"/>
      <w:szCs w:val="24"/>
    </w:rPr>
  </w:style>
  <w:style w:type="character" w:customStyle="1" w:styleId="1414">
    <w:name w:val="Char Char221"/>
    <w:qFormat/>
    <w:uiPriority w:val="0"/>
    <w:rPr>
      <w:sz w:val="18"/>
      <w:lang w:eastAsia="en-US" w:bidi="en-US"/>
    </w:rPr>
  </w:style>
  <w:style w:type="character" w:customStyle="1" w:styleId="1415">
    <w:name w:val="Char Char211"/>
    <w:qFormat/>
    <w:uiPriority w:val="0"/>
    <w:rPr>
      <w:rFonts w:eastAsia="宋体"/>
      <w:sz w:val="18"/>
    </w:rPr>
  </w:style>
  <w:style w:type="character" w:customStyle="1" w:styleId="1416">
    <w:name w:val="Char Char201"/>
    <w:qFormat/>
    <w:uiPriority w:val="0"/>
    <w:rPr>
      <w:rFonts w:eastAsia="宋体"/>
      <w:sz w:val="18"/>
    </w:rPr>
  </w:style>
  <w:style w:type="character" w:customStyle="1" w:styleId="1417">
    <w:name w:val="Char Char191"/>
    <w:qFormat/>
    <w:uiPriority w:val="0"/>
    <w:rPr>
      <w:rFonts w:ascii="Cambria" w:hAnsi="Cambria" w:eastAsia="宋体"/>
      <w:b/>
      <w:kern w:val="28"/>
      <w:sz w:val="32"/>
    </w:rPr>
  </w:style>
  <w:style w:type="character" w:customStyle="1" w:styleId="1418">
    <w:name w:val="Char Char181"/>
    <w:qFormat/>
    <w:uiPriority w:val="0"/>
    <w:rPr>
      <w:rFonts w:eastAsia="宋体"/>
    </w:rPr>
  </w:style>
  <w:style w:type="character" w:customStyle="1" w:styleId="1419">
    <w:name w:val="Char Char25"/>
    <w:qFormat/>
    <w:uiPriority w:val="0"/>
    <w:rPr>
      <w:rFonts w:ascii="Times New Roman" w:hAnsi="Times New Roman" w:eastAsia="宋体" w:cs="Times New Roman"/>
      <w:szCs w:val="24"/>
    </w:rPr>
  </w:style>
  <w:style w:type="paragraph" w:customStyle="1" w:styleId="1420">
    <w:name w:val="Char Char Char1 Char"/>
    <w:basedOn w:val="1"/>
    <w:qFormat/>
    <w:uiPriority w:val="0"/>
    <w:pPr>
      <w:adjustRightInd/>
      <w:snapToGrid/>
      <w:spacing w:line="240" w:lineRule="auto"/>
      <w:ind w:firstLine="0" w:firstLineChars="0"/>
      <w:jc w:val="both"/>
    </w:pPr>
    <w:rPr>
      <w:rFonts w:ascii="宋体" w:hAnsi="Tahoma" w:cs="Tahoma"/>
      <w:sz w:val="20"/>
      <w:szCs w:val="21"/>
    </w:rPr>
  </w:style>
  <w:style w:type="paragraph" w:customStyle="1" w:styleId="1421">
    <w:name w:val="Char Char Char Char Char"/>
    <w:basedOn w:val="1"/>
    <w:qFormat/>
    <w:uiPriority w:val="0"/>
    <w:pPr>
      <w:adjustRightInd/>
      <w:snapToGrid/>
      <w:spacing w:line="240" w:lineRule="auto"/>
      <w:ind w:firstLine="0" w:firstLineChars="0"/>
      <w:jc w:val="both"/>
    </w:pPr>
    <w:rPr>
      <w:sz w:val="21"/>
      <w:szCs w:val="24"/>
    </w:rPr>
  </w:style>
  <w:style w:type="paragraph" w:customStyle="1" w:styleId="1422">
    <w:name w:val="表小5"/>
    <w:basedOn w:val="1"/>
    <w:qFormat/>
    <w:uiPriority w:val="0"/>
    <w:pPr>
      <w:tabs>
        <w:tab w:val="left" w:pos="0"/>
        <w:tab w:val="left" w:pos="2619"/>
      </w:tabs>
      <w:adjustRightInd/>
      <w:spacing w:line="240" w:lineRule="auto"/>
      <w:ind w:firstLine="0" w:firstLineChars="0"/>
      <w:jc w:val="center"/>
    </w:pPr>
    <w:rPr>
      <w:rFonts w:hAnsi="宋体"/>
      <w:spacing w:val="6"/>
      <w:sz w:val="21"/>
      <w:szCs w:val="20"/>
    </w:rPr>
  </w:style>
  <w:style w:type="paragraph" w:customStyle="1" w:styleId="1423">
    <w:name w:val="样式 小四 行距: 1.5 倍行距"/>
    <w:basedOn w:val="1"/>
    <w:qFormat/>
    <w:uiPriority w:val="0"/>
    <w:pPr>
      <w:adjustRightInd/>
      <w:snapToGrid/>
      <w:spacing w:line="360" w:lineRule="auto"/>
      <w:ind w:firstLine="480"/>
      <w:jc w:val="both"/>
    </w:pPr>
    <w:rPr>
      <w:kern w:val="0"/>
      <w:sz w:val="28"/>
      <w:szCs w:val="20"/>
    </w:rPr>
  </w:style>
  <w:style w:type="paragraph" w:customStyle="1" w:styleId="1424">
    <w:name w:val="1.1.1.1"/>
    <w:basedOn w:val="1"/>
    <w:link w:val="1425"/>
    <w:qFormat/>
    <w:uiPriority w:val="0"/>
    <w:pPr>
      <w:spacing w:before="40" w:after="40" w:line="288" w:lineRule="auto"/>
      <w:ind w:firstLine="0" w:firstLineChars="0"/>
      <w:textAlignment w:val="baseline"/>
    </w:pPr>
    <w:rPr>
      <w:rFonts w:ascii="黑体" w:hAnsi="华文仿宋" w:eastAsia="黑体"/>
      <w:spacing w:val="4"/>
      <w:kern w:val="0"/>
      <w:sz w:val="28"/>
      <w:szCs w:val="20"/>
    </w:rPr>
  </w:style>
  <w:style w:type="character" w:customStyle="1" w:styleId="1425">
    <w:name w:val="1.1.1.1 Char"/>
    <w:link w:val="1424"/>
    <w:qFormat/>
    <w:uiPriority w:val="0"/>
    <w:rPr>
      <w:rFonts w:ascii="黑体" w:hAnsi="华文仿宋" w:eastAsia="黑体"/>
      <w:spacing w:val="4"/>
      <w:sz w:val="28"/>
    </w:rPr>
  </w:style>
  <w:style w:type="character" w:customStyle="1" w:styleId="1426">
    <w:name w:val="Date Char"/>
    <w:semiHidden/>
    <w:qFormat/>
    <w:locked/>
    <w:uiPriority w:val="0"/>
    <w:rPr>
      <w:rFonts w:eastAsia="宋体"/>
      <w:kern w:val="2"/>
      <w:sz w:val="21"/>
      <w:szCs w:val="24"/>
      <w:lang w:val="en-US" w:eastAsia="zh-CN" w:bidi="ar-SA"/>
    </w:rPr>
  </w:style>
  <w:style w:type="paragraph" w:customStyle="1" w:styleId="1427">
    <w:name w:val="二级标题 Char Char Char"/>
    <w:basedOn w:val="1"/>
    <w:next w:val="1"/>
    <w:qFormat/>
    <w:uiPriority w:val="0"/>
    <w:pPr>
      <w:adjustRightInd/>
      <w:snapToGrid/>
      <w:spacing w:line="529" w:lineRule="exact"/>
      <w:jc w:val="both"/>
    </w:pPr>
    <w:rPr>
      <w:rFonts w:ascii="宋体" w:hAnsi="宋体" w:cs="宋体"/>
      <w:sz w:val="24"/>
      <w:szCs w:val="24"/>
    </w:rPr>
  </w:style>
  <w:style w:type="character" w:customStyle="1" w:styleId="1428">
    <w:name w:val="标题 3 Char1 Char Char1"/>
    <w:qFormat/>
    <w:uiPriority w:val="0"/>
    <w:rPr>
      <w:rFonts w:eastAsia="宋体"/>
      <w:b/>
      <w:bCs/>
      <w:kern w:val="2"/>
      <w:sz w:val="32"/>
      <w:szCs w:val="32"/>
      <w:lang w:val="en-US" w:eastAsia="zh-CN" w:bidi="ar-SA"/>
    </w:rPr>
  </w:style>
  <w:style w:type="character" w:customStyle="1" w:styleId="1429">
    <w:name w:val="c1"/>
    <w:qFormat/>
    <w:uiPriority w:val="0"/>
    <w:rPr>
      <w:rFonts w:hint="default" w:ascii="ˎ̥" w:hAnsi="ˎ̥"/>
      <w:color w:val="000000"/>
      <w:sz w:val="21"/>
      <w:szCs w:val="21"/>
      <w:u w:val="none"/>
    </w:rPr>
  </w:style>
  <w:style w:type="paragraph" w:customStyle="1" w:styleId="1430">
    <w:name w:val="正文排版"/>
    <w:basedOn w:val="1"/>
    <w:qFormat/>
    <w:uiPriority w:val="0"/>
    <w:pPr>
      <w:adjustRightInd/>
      <w:snapToGrid/>
      <w:spacing w:line="500" w:lineRule="exact"/>
      <w:ind w:firstLine="560"/>
      <w:jc w:val="both"/>
    </w:pPr>
    <w:rPr>
      <w:rFonts w:ascii="宋体" w:hAnsi="宋体"/>
      <w:color w:val="000000"/>
      <w:sz w:val="28"/>
      <w:szCs w:val="28"/>
    </w:rPr>
  </w:style>
  <w:style w:type="paragraph" w:customStyle="1" w:styleId="1431">
    <w:name w:val="Char Char Char Char Char Char Char Char Char Char Char Char Char"/>
    <w:basedOn w:val="1"/>
    <w:qFormat/>
    <w:uiPriority w:val="0"/>
    <w:pPr>
      <w:adjustRightInd/>
      <w:snapToGrid/>
      <w:spacing w:line="360" w:lineRule="auto"/>
      <w:jc w:val="both"/>
    </w:pPr>
    <w:rPr>
      <w:rFonts w:ascii="宋体" w:hAnsi="宋体" w:cs="宋体"/>
      <w:sz w:val="24"/>
      <w:szCs w:val="24"/>
    </w:rPr>
  </w:style>
  <w:style w:type="character" w:customStyle="1" w:styleId="1432">
    <w:name w:val="wbz2"/>
    <w:qFormat/>
    <w:uiPriority w:val="0"/>
    <w:rPr>
      <w:rFonts w:hint="default"/>
      <w:color w:val="000000"/>
      <w:spacing w:val="0"/>
      <w:sz w:val="18"/>
      <w:szCs w:val="18"/>
      <w:u w:val="none"/>
    </w:rPr>
  </w:style>
  <w:style w:type="character" w:customStyle="1" w:styleId="1433">
    <w:name w:val="ft42"/>
    <w:qFormat/>
    <w:uiPriority w:val="0"/>
    <w:rPr>
      <w:rFonts w:hint="default" w:ascii="Times" w:hAnsi="Times" w:cs="Times"/>
      <w:color w:val="000000"/>
      <w:sz w:val="27"/>
      <w:szCs w:val="27"/>
    </w:rPr>
  </w:style>
  <w:style w:type="character" w:customStyle="1" w:styleId="1434">
    <w:name w:val="ft44"/>
    <w:qFormat/>
    <w:uiPriority w:val="0"/>
    <w:rPr>
      <w:rFonts w:hint="default" w:ascii="Times" w:hAnsi="Times" w:cs="Times"/>
      <w:color w:val="000000"/>
      <w:sz w:val="11"/>
      <w:szCs w:val="11"/>
    </w:rPr>
  </w:style>
  <w:style w:type="character" w:customStyle="1" w:styleId="1435">
    <w:name w:val="ft610"/>
    <w:qFormat/>
    <w:uiPriority w:val="0"/>
    <w:rPr>
      <w:rFonts w:hint="default" w:ascii="Times" w:hAnsi="Times" w:cs="Times"/>
      <w:color w:val="000000"/>
      <w:sz w:val="24"/>
      <w:szCs w:val="24"/>
    </w:rPr>
  </w:style>
  <w:style w:type="character" w:customStyle="1" w:styleId="1436">
    <w:name w:val="ft183"/>
    <w:qFormat/>
    <w:uiPriority w:val="0"/>
    <w:rPr>
      <w:rFonts w:hint="default" w:ascii="Times" w:hAnsi="Times" w:cs="Times"/>
      <w:color w:val="000000"/>
      <w:sz w:val="24"/>
      <w:szCs w:val="24"/>
    </w:rPr>
  </w:style>
  <w:style w:type="character" w:customStyle="1" w:styleId="1437">
    <w:name w:val="jj1"/>
    <w:qFormat/>
    <w:uiPriority w:val="0"/>
  </w:style>
  <w:style w:type="character" w:customStyle="1" w:styleId="1438">
    <w:name w:val="wangyong1"/>
    <w:qFormat/>
    <w:uiPriority w:val="0"/>
    <w:rPr>
      <w:rFonts w:hint="default"/>
      <w:color w:val="000000"/>
      <w:sz w:val="18"/>
      <w:szCs w:val="18"/>
      <w:u w:val="none"/>
    </w:rPr>
  </w:style>
  <w:style w:type="character" w:customStyle="1" w:styleId="1439">
    <w:name w:val="第四层条 Char Char"/>
    <w:qFormat/>
    <w:uiPriority w:val="0"/>
    <w:rPr>
      <w:rFonts w:eastAsia="宋体"/>
      <w:b/>
      <w:kern w:val="2"/>
      <w:sz w:val="28"/>
      <w:lang w:val="en-US" w:eastAsia="zh-CN" w:bidi="ar-SA"/>
    </w:rPr>
  </w:style>
  <w:style w:type="character" w:customStyle="1" w:styleId="1440">
    <w:name w:val="第五层条 Char Char"/>
    <w:qFormat/>
    <w:uiPriority w:val="0"/>
    <w:rPr>
      <w:rFonts w:ascii="Arial" w:hAnsi="Arial" w:eastAsia="黑体"/>
      <w:b/>
      <w:bCs/>
      <w:kern w:val="2"/>
      <w:sz w:val="24"/>
      <w:szCs w:val="24"/>
      <w:lang w:val="en-US" w:eastAsia="zh-CN" w:bidi="ar-SA"/>
    </w:rPr>
  </w:style>
  <w:style w:type="character" w:customStyle="1" w:styleId="1441">
    <w:name w:val="表中文字 Char Char"/>
    <w:qFormat/>
    <w:uiPriority w:val="0"/>
    <w:rPr>
      <w:rFonts w:ascii="宋体" w:hAnsi="宋体" w:eastAsia="宋体"/>
      <w:kern w:val="2"/>
      <w:sz w:val="24"/>
      <w:szCs w:val="24"/>
      <w:lang w:val="en-US" w:eastAsia="zh-CN" w:bidi="ar-SA"/>
    </w:rPr>
  </w:style>
  <w:style w:type="character" w:customStyle="1" w:styleId="1442">
    <w:name w:val="14red1"/>
    <w:qFormat/>
    <w:uiPriority w:val="0"/>
    <w:rPr>
      <w:color w:val="FF0000"/>
      <w:sz w:val="21"/>
      <w:szCs w:val="21"/>
      <w:u w:val="none"/>
    </w:rPr>
  </w:style>
  <w:style w:type="paragraph" w:customStyle="1" w:styleId="1443">
    <w:name w:val="样式 标题 1 + 小四"/>
    <w:basedOn w:val="3"/>
    <w:qFormat/>
    <w:uiPriority w:val="0"/>
    <w:pPr>
      <w:keepLines/>
      <w:pageBreakBefore/>
      <w:widowControl w:val="0"/>
      <w:numPr>
        <w:numId w:val="0"/>
      </w:numPr>
      <w:tabs>
        <w:tab w:val="clear" w:pos="0"/>
      </w:tabs>
      <w:adjustRightInd/>
      <w:snapToGrid/>
      <w:spacing w:beforeLines="0" w:afterLines="0" w:line="360" w:lineRule="auto"/>
    </w:pPr>
    <w:rPr>
      <w:snapToGrid/>
      <w:spacing w:val="20"/>
      <w:kern w:val="28"/>
      <w:sz w:val="28"/>
      <w:szCs w:val="32"/>
    </w:rPr>
  </w:style>
  <w:style w:type="character" w:customStyle="1" w:styleId="1444">
    <w:name w:val="smessage_content"/>
    <w:basedOn w:val="132"/>
    <w:qFormat/>
    <w:uiPriority w:val="0"/>
  </w:style>
  <w:style w:type="paragraph" w:customStyle="1" w:styleId="1445">
    <w:name w:val="表格体"/>
    <w:basedOn w:val="1"/>
    <w:qFormat/>
    <w:uiPriority w:val="0"/>
    <w:pPr>
      <w:spacing w:line="240" w:lineRule="auto"/>
      <w:ind w:firstLine="0" w:firstLineChars="0"/>
      <w:jc w:val="center"/>
    </w:pPr>
    <w:rPr>
      <w:bCs/>
      <w:sz w:val="21"/>
      <w:szCs w:val="24"/>
    </w:rPr>
  </w:style>
  <w:style w:type="character" w:customStyle="1" w:styleId="1446">
    <w:name w:val="表头 Char Char"/>
    <w:qFormat/>
    <w:uiPriority w:val="0"/>
    <w:rPr>
      <w:rFonts w:ascii="黑体" w:eastAsia="黑体"/>
      <w:kern w:val="2"/>
      <w:sz w:val="21"/>
      <w:lang w:val="en-US" w:eastAsia="zh-CN" w:bidi="ar-SA"/>
    </w:rPr>
  </w:style>
  <w:style w:type="paragraph" w:customStyle="1" w:styleId="1447">
    <w:name w:val="表格字"/>
    <w:basedOn w:val="66"/>
    <w:qFormat/>
    <w:uiPriority w:val="0"/>
    <w:pPr>
      <w:spacing w:line="380" w:lineRule="exact"/>
      <w:textAlignment w:val="auto"/>
    </w:pPr>
  </w:style>
  <w:style w:type="paragraph" w:customStyle="1" w:styleId="1448">
    <w:name w:val="正文1 Char Char Char"/>
    <w:basedOn w:val="1"/>
    <w:qFormat/>
    <w:uiPriority w:val="0"/>
    <w:pPr>
      <w:adjustRightInd/>
      <w:snapToGrid/>
      <w:spacing w:line="560" w:lineRule="exact"/>
      <w:jc w:val="both"/>
    </w:pPr>
    <w:rPr>
      <w:rFonts w:ascii="宋体" w:hAnsi="宋体" w:cs="宋体"/>
      <w:sz w:val="24"/>
      <w:szCs w:val="24"/>
    </w:rPr>
  </w:style>
  <w:style w:type="paragraph" w:customStyle="1" w:styleId="1449">
    <w:name w:val="样式12q"/>
    <w:basedOn w:val="1"/>
    <w:link w:val="1450"/>
    <w:qFormat/>
    <w:uiPriority w:val="0"/>
    <w:pPr>
      <w:adjustRightInd/>
      <w:snapToGrid/>
      <w:spacing w:line="360" w:lineRule="auto"/>
      <w:ind w:firstLine="560"/>
      <w:jc w:val="both"/>
    </w:pPr>
    <w:rPr>
      <w:sz w:val="28"/>
      <w:szCs w:val="28"/>
    </w:rPr>
  </w:style>
  <w:style w:type="character" w:customStyle="1" w:styleId="1450">
    <w:name w:val="样式12q Char"/>
    <w:link w:val="1449"/>
    <w:qFormat/>
    <w:uiPriority w:val="0"/>
    <w:rPr>
      <w:rFonts w:ascii="Times New Roman" w:hAnsi="Times New Roman"/>
      <w:kern w:val="2"/>
      <w:sz w:val="28"/>
      <w:szCs w:val="28"/>
    </w:rPr>
  </w:style>
  <w:style w:type="paragraph" w:customStyle="1" w:styleId="1451">
    <w:name w:val="标题 3，BSH-3条标题1.1.1"/>
    <w:basedOn w:val="5"/>
    <w:link w:val="1452"/>
    <w:qFormat/>
    <w:uiPriority w:val="0"/>
    <w:pPr>
      <w:keepNext/>
      <w:keepLines/>
      <w:widowControl w:val="0"/>
      <w:tabs>
        <w:tab w:val="left" w:pos="1260"/>
        <w:tab w:val="clear" w:pos="0"/>
      </w:tabs>
      <w:adjustRightInd/>
      <w:snapToGrid/>
      <w:ind w:firstLine="200"/>
      <w:outlineLvl w:val="9"/>
    </w:pPr>
    <w:rPr>
      <w:rFonts w:ascii="宋体" w:hAnsi="宋体"/>
      <w:b w:val="0"/>
      <w:bCs/>
      <w:caps/>
      <w:snapToGrid/>
      <w:kern w:val="0"/>
      <w:szCs w:val="24"/>
    </w:rPr>
  </w:style>
  <w:style w:type="character" w:customStyle="1" w:styleId="1452">
    <w:name w:val="标题 3，BSH-3条标题1.1.1 Char Char"/>
    <w:link w:val="1451"/>
    <w:qFormat/>
    <w:uiPriority w:val="0"/>
    <w:rPr>
      <w:rFonts w:ascii="宋体" w:hAnsi="宋体"/>
      <w:caps/>
      <w:sz w:val="24"/>
      <w:szCs w:val="24"/>
    </w:rPr>
  </w:style>
  <w:style w:type="paragraph" w:customStyle="1" w:styleId="1453">
    <w:name w:val="样式 标题 2节标题 1.11.1标题2SeBSH-2h2l22nd levelTitre22Header ..."/>
    <w:basedOn w:val="4"/>
    <w:link w:val="1454"/>
    <w:qFormat/>
    <w:uiPriority w:val="0"/>
    <w:pPr>
      <w:keepNext/>
      <w:keepLines/>
      <w:widowControl w:val="0"/>
      <w:tabs>
        <w:tab w:val="clear" w:pos="0"/>
      </w:tabs>
      <w:spacing w:beforeLines="0" w:afterLines="0" w:line="415" w:lineRule="auto"/>
      <w:jc w:val="both"/>
    </w:pPr>
    <w:rPr>
      <w:rFonts w:ascii="宋体" w:hAnsi="宋体"/>
      <w:b w:val="0"/>
      <w:snapToGrid/>
      <w:sz w:val="24"/>
    </w:rPr>
  </w:style>
  <w:style w:type="character" w:customStyle="1" w:styleId="1454">
    <w:name w:val="样式 标题 2节标题 1.11.1标题2SeBSH-2h2l22nd levelTitre22Header ... Char"/>
    <w:link w:val="1453"/>
    <w:qFormat/>
    <w:uiPriority w:val="0"/>
    <w:rPr>
      <w:rFonts w:ascii="宋体" w:hAnsi="宋体" w:eastAsia="黑体"/>
      <w:bCs/>
      <w:kern w:val="2"/>
      <w:sz w:val="24"/>
      <w:szCs w:val="32"/>
    </w:rPr>
  </w:style>
  <w:style w:type="paragraph" w:customStyle="1" w:styleId="1455">
    <w:name w:val="正文：段落格式"/>
    <w:basedOn w:val="1"/>
    <w:link w:val="1456"/>
    <w:qFormat/>
    <w:uiPriority w:val="0"/>
    <w:pPr>
      <w:tabs>
        <w:tab w:val="left" w:pos="1440"/>
      </w:tabs>
      <w:spacing w:line="440" w:lineRule="atLeast"/>
      <w:ind w:left="1440" w:hanging="360" w:firstLineChars="0"/>
      <w:jc w:val="both"/>
    </w:pPr>
    <w:rPr>
      <w:rFonts w:ascii="宋体" w:hAnsi="宋体"/>
      <w:color w:val="000000"/>
      <w:kern w:val="15"/>
      <w:sz w:val="24"/>
      <w:szCs w:val="24"/>
    </w:rPr>
  </w:style>
  <w:style w:type="character" w:customStyle="1" w:styleId="1456">
    <w:name w:val="正文：段落格式 Char"/>
    <w:link w:val="1455"/>
    <w:qFormat/>
    <w:uiPriority w:val="0"/>
    <w:rPr>
      <w:rFonts w:ascii="宋体" w:hAnsi="宋体"/>
      <w:color w:val="000000"/>
      <w:kern w:val="15"/>
      <w:sz w:val="24"/>
      <w:szCs w:val="24"/>
    </w:rPr>
  </w:style>
  <w:style w:type="paragraph" w:customStyle="1" w:styleId="1457">
    <w:name w:val="样式 样式 正文缩进s4 + 首行缩进:  2 字符 + 首行缩进:  2 字符"/>
    <w:basedOn w:val="1"/>
    <w:qFormat/>
    <w:uiPriority w:val="0"/>
    <w:pPr>
      <w:spacing w:line="336" w:lineRule="auto"/>
      <w:ind w:firstLine="545" w:firstLineChars="227"/>
      <w:jc w:val="both"/>
    </w:pPr>
    <w:rPr>
      <w:rFonts w:ascii="宋体" w:hAnsi="宋体"/>
      <w:color w:val="000000"/>
      <w:sz w:val="28"/>
      <w:szCs w:val="20"/>
    </w:rPr>
  </w:style>
  <w:style w:type="paragraph" w:customStyle="1" w:styleId="1458">
    <w:name w:val="正文文本最新 Char Char Char Char1 Char"/>
    <w:basedOn w:val="1"/>
    <w:link w:val="1459"/>
    <w:qFormat/>
    <w:uiPriority w:val="0"/>
    <w:pPr>
      <w:adjustRightInd/>
      <w:snapToGrid/>
      <w:spacing w:line="360" w:lineRule="auto"/>
      <w:jc w:val="both"/>
    </w:pPr>
    <w:rPr>
      <w:bCs/>
      <w:sz w:val="28"/>
      <w:szCs w:val="24"/>
    </w:rPr>
  </w:style>
  <w:style w:type="character" w:customStyle="1" w:styleId="1459">
    <w:name w:val="正文文本最新 Char Char Char Char1 Char Char"/>
    <w:link w:val="1458"/>
    <w:qFormat/>
    <w:uiPriority w:val="0"/>
    <w:rPr>
      <w:rFonts w:ascii="Times New Roman" w:hAnsi="Times New Roman"/>
      <w:bCs/>
      <w:kern w:val="2"/>
      <w:sz w:val="28"/>
      <w:szCs w:val="24"/>
    </w:rPr>
  </w:style>
  <w:style w:type="paragraph" w:customStyle="1" w:styleId="1460">
    <w:name w:val="标题1q"/>
    <w:basedOn w:val="1"/>
    <w:next w:val="1"/>
    <w:qFormat/>
    <w:uiPriority w:val="0"/>
    <w:pPr>
      <w:adjustRightInd/>
      <w:snapToGrid/>
      <w:spacing w:line="360" w:lineRule="auto"/>
      <w:ind w:left="431"/>
      <w:jc w:val="center"/>
    </w:pPr>
    <w:rPr>
      <w:sz w:val="21"/>
      <w:szCs w:val="20"/>
    </w:rPr>
  </w:style>
  <w:style w:type="character" w:customStyle="1" w:styleId="1461">
    <w:name w:val="正文 宋体 小四 Char"/>
    <w:link w:val="1462"/>
    <w:qFormat/>
    <w:uiPriority w:val="0"/>
    <w:rPr>
      <w:rFonts w:ascii="宋体" w:hAnsi="宋体"/>
      <w:sz w:val="24"/>
    </w:rPr>
  </w:style>
  <w:style w:type="paragraph" w:customStyle="1" w:styleId="1462">
    <w:name w:val="正文 宋体 小四"/>
    <w:basedOn w:val="1"/>
    <w:link w:val="1461"/>
    <w:qFormat/>
    <w:uiPriority w:val="0"/>
    <w:pPr>
      <w:adjustRightInd/>
      <w:snapToGrid/>
      <w:spacing w:line="360" w:lineRule="auto"/>
      <w:ind w:firstLine="480" w:firstLineChars="0"/>
      <w:jc w:val="both"/>
    </w:pPr>
    <w:rPr>
      <w:rFonts w:ascii="宋体" w:hAnsi="宋体"/>
      <w:kern w:val="0"/>
      <w:sz w:val="24"/>
      <w:szCs w:val="20"/>
    </w:rPr>
  </w:style>
  <w:style w:type="character" w:customStyle="1" w:styleId="1463">
    <w:name w:val="四号仿宋左空1格行距1倍 Char Char"/>
    <w:qFormat/>
    <w:locked/>
    <w:uiPriority w:val="0"/>
    <w:rPr>
      <w:rFonts w:ascii="Arial" w:hAnsi="Arial" w:eastAsia="黑体"/>
      <w:b/>
      <w:kern w:val="2"/>
      <w:sz w:val="28"/>
      <w:lang w:val="en-US" w:eastAsia="zh-CN" w:bidi="ar-SA"/>
    </w:rPr>
  </w:style>
  <w:style w:type="paragraph" w:customStyle="1" w:styleId="1464">
    <w:name w:val="L正文"/>
    <w:basedOn w:val="1"/>
    <w:link w:val="1466"/>
    <w:qFormat/>
    <w:uiPriority w:val="0"/>
    <w:pPr>
      <w:autoSpaceDE w:val="0"/>
      <w:autoSpaceDN w:val="0"/>
      <w:spacing w:line="360" w:lineRule="auto"/>
      <w:jc w:val="both"/>
    </w:pPr>
    <w:rPr>
      <w:rFonts w:cs="宋体"/>
      <w:bCs/>
      <w:snapToGrid w:val="0"/>
      <w:kern w:val="0"/>
      <w:szCs w:val="26"/>
    </w:rPr>
  </w:style>
  <w:style w:type="character" w:customStyle="1" w:styleId="1465">
    <w:name w:val="图表名 Char1"/>
    <w:qFormat/>
    <w:uiPriority w:val="0"/>
    <w:rPr>
      <w:rFonts w:eastAsia="黑体"/>
      <w:sz w:val="28"/>
      <w:szCs w:val="28"/>
      <w:lang w:val="en-US" w:eastAsia="zh-CN" w:bidi="ar-SA"/>
    </w:rPr>
  </w:style>
  <w:style w:type="character" w:customStyle="1" w:styleId="1466">
    <w:name w:val="L正文 Char"/>
    <w:link w:val="1464"/>
    <w:qFormat/>
    <w:uiPriority w:val="0"/>
    <w:rPr>
      <w:rFonts w:ascii="Times New Roman" w:hAnsi="Times New Roman" w:cs="宋体"/>
      <w:bCs/>
      <w:snapToGrid w:val="0"/>
      <w:sz w:val="26"/>
      <w:szCs w:val="26"/>
    </w:rPr>
  </w:style>
  <w:style w:type="character" w:customStyle="1" w:styleId="1467">
    <w:name w:val="电脑标志 Char Char"/>
    <w:qFormat/>
    <w:uiPriority w:val="0"/>
    <w:rPr>
      <w:rFonts w:ascii="Arial" w:hAnsi="Arial" w:eastAsia="黑体"/>
      <w:b/>
      <w:bCs/>
      <w:kern w:val="2"/>
      <w:sz w:val="32"/>
      <w:szCs w:val="32"/>
      <w:lang w:val="en-US" w:eastAsia="zh-CN" w:bidi="ar-SA"/>
    </w:rPr>
  </w:style>
  <w:style w:type="paragraph" w:customStyle="1" w:styleId="1468">
    <w:name w:val="表格文字5号"/>
    <w:basedOn w:val="1"/>
    <w:qFormat/>
    <w:uiPriority w:val="0"/>
    <w:pPr>
      <w:adjustRightInd/>
      <w:snapToGrid/>
      <w:spacing w:line="280" w:lineRule="exact"/>
      <w:jc w:val="center"/>
    </w:pPr>
    <w:rPr>
      <w:rFonts w:ascii="仿宋_GB2312" w:eastAsia="仿宋_GB2312"/>
      <w:sz w:val="21"/>
      <w:szCs w:val="24"/>
    </w:rPr>
  </w:style>
  <w:style w:type="paragraph" w:customStyle="1" w:styleId="1469">
    <w:name w:val="表格文字小四号"/>
    <w:qFormat/>
    <w:uiPriority w:val="0"/>
    <w:pPr>
      <w:widowControl w:val="0"/>
      <w:spacing w:line="480" w:lineRule="exact"/>
      <w:jc w:val="center"/>
    </w:pPr>
    <w:rPr>
      <w:rFonts w:ascii="宋体" w:hAnsi="Times New Roman" w:eastAsia="宋体" w:cs="Times New Roman"/>
      <w:sz w:val="28"/>
      <w:szCs w:val="24"/>
      <w:lang w:val="en-US" w:eastAsia="zh-CN" w:bidi="ar-SA"/>
    </w:rPr>
  </w:style>
  <w:style w:type="paragraph" w:customStyle="1" w:styleId="1470">
    <w:name w:val="表格文字：灌溉制度"/>
    <w:basedOn w:val="45"/>
    <w:qFormat/>
    <w:uiPriority w:val="0"/>
    <w:pPr>
      <w:spacing w:line="240" w:lineRule="exact"/>
    </w:pPr>
    <w:rPr>
      <w:rFonts w:ascii="仿宋_GB2312" w:hAnsi="宋体" w:eastAsia="仿宋_GB2312"/>
      <w:sz w:val="24"/>
      <w:szCs w:val="24"/>
    </w:rPr>
  </w:style>
  <w:style w:type="character" w:customStyle="1" w:styleId="1471">
    <w:name w:val="表格文字1 Char"/>
    <w:qFormat/>
    <w:uiPriority w:val="0"/>
    <w:rPr>
      <w:rFonts w:ascii="宋体" w:eastAsia="宋体"/>
      <w:kern w:val="2"/>
      <w:sz w:val="24"/>
      <w:szCs w:val="24"/>
      <w:lang w:val="en-US" w:eastAsia="zh-CN" w:bidi="ar-SA"/>
    </w:rPr>
  </w:style>
  <w:style w:type="paragraph" w:customStyle="1" w:styleId="1472">
    <w:name w:val="样式 首行缩进:  2 字符1"/>
    <w:basedOn w:val="1"/>
    <w:qFormat/>
    <w:uiPriority w:val="0"/>
    <w:pPr>
      <w:adjustRightInd/>
      <w:snapToGrid/>
      <w:spacing w:line="560" w:lineRule="exact"/>
      <w:ind w:right="272" w:firstLine="480"/>
      <w:jc w:val="both"/>
    </w:pPr>
    <w:rPr>
      <w:rFonts w:ascii="仿宋_GB2312" w:eastAsia="仿宋_GB2312" w:cs="宋体"/>
      <w:kern w:val="0"/>
      <w:sz w:val="24"/>
      <w:szCs w:val="20"/>
    </w:rPr>
  </w:style>
  <w:style w:type="character" w:customStyle="1" w:styleId="1473">
    <w:name w:val="样式 自动设置"/>
    <w:qFormat/>
    <w:uiPriority w:val="0"/>
    <w:rPr>
      <w:color w:val="auto"/>
    </w:rPr>
  </w:style>
  <w:style w:type="paragraph" w:customStyle="1" w:styleId="1474">
    <w:name w:val="line20"/>
    <w:basedOn w:val="1"/>
    <w:qFormat/>
    <w:uiPriority w:val="0"/>
    <w:pPr>
      <w:widowControl/>
      <w:adjustRightInd/>
      <w:snapToGrid/>
      <w:spacing w:before="100" w:beforeAutospacing="1" w:after="100" w:afterAutospacing="1" w:line="315" w:lineRule="atLeast"/>
    </w:pPr>
    <w:rPr>
      <w:rFonts w:ascii="仿宋_GB2312" w:hAnsi="宋体" w:eastAsia="仿宋_GB2312" w:cs="宋体"/>
      <w:kern w:val="0"/>
      <w:sz w:val="24"/>
      <w:szCs w:val="24"/>
    </w:rPr>
  </w:style>
  <w:style w:type="character" w:customStyle="1" w:styleId="1475">
    <w:name w:val="content21"/>
    <w:qFormat/>
    <w:uiPriority w:val="0"/>
    <w:rPr>
      <w:color w:val="000000"/>
      <w:sz w:val="18"/>
      <w:szCs w:val="18"/>
    </w:rPr>
  </w:style>
  <w:style w:type="paragraph" w:customStyle="1" w:styleId="1476">
    <w:name w:val="表格文字小5号"/>
    <w:qFormat/>
    <w:uiPriority w:val="0"/>
    <w:pPr>
      <w:widowControl w:val="0"/>
      <w:spacing w:line="240" w:lineRule="exact"/>
      <w:jc w:val="center"/>
    </w:pPr>
    <w:rPr>
      <w:rFonts w:ascii="宋体" w:hAnsi="宋体" w:eastAsia="宋体" w:cs="Times New Roman"/>
      <w:kern w:val="2"/>
      <w:sz w:val="18"/>
      <w:szCs w:val="18"/>
      <w:lang w:val="en-US" w:eastAsia="zh-CN" w:bidi="ar-SA"/>
    </w:rPr>
  </w:style>
  <w:style w:type="character" w:customStyle="1" w:styleId="1477">
    <w:name w:val="14hei1"/>
    <w:qFormat/>
    <w:uiPriority w:val="0"/>
    <w:rPr>
      <w:color w:val="000000"/>
      <w:sz w:val="28"/>
      <w:szCs w:val="28"/>
      <w:u w:val="none"/>
    </w:rPr>
  </w:style>
  <w:style w:type="paragraph" w:customStyle="1" w:styleId="1478">
    <w:name w:val="扉页文字"/>
    <w:next w:val="1"/>
    <w:qFormat/>
    <w:uiPriority w:val="0"/>
    <w:pPr>
      <w:widowControl w:val="0"/>
      <w:spacing w:line="760" w:lineRule="exact"/>
      <w:ind w:firstLine="400" w:firstLineChars="400"/>
    </w:pPr>
    <w:rPr>
      <w:rFonts w:ascii="宋体" w:hAnsi="Times New Roman" w:eastAsia="宋体" w:cs="Times New Roman"/>
      <w:kern w:val="2"/>
      <w:sz w:val="28"/>
      <w:szCs w:val="32"/>
      <w:lang w:val="en-US" w:eastAsia="zh-CN" w:bidi="ar-SA"/>
    </w:rPr>
  </w:style>
  <w:style w:type="paragraph" w:customStyle="1" w:styleId="1479">
    <w:name w:val="表头+单位"/>
    <w:basedOn w:val="66"/>
    <w:qFormat/>
    <w:uiPriority w:val="0"/>
    <w:pPr>
      <w:keepNext/>
      <w:jc w:val="right"/>
      <w:textAlignment w:val="auto"/>
    </w:pPr>
    <w:rPr>
      <w:rFonts w:ascii="黑体" w:eastAsia="黑体"/>
      <w:sz w:val="28"/>
      <w:szCs w:val="24"/>
    </w:rPr>
  </w:style>
  <w:style w:type="paragraph" w:customStyle="1" w:styleId="1480">
    <w:name w:val="样式 表格文字 + (符号) 宋体 五号 首行缩进:  0.74 厘米"/>
    <w:basedOn w:val="45"/>
    <w:qFormat/>
    <w:uiPriority w:val="0"/>
    <w:pPr>
      <w:widowControl/>
      <w:spacing w:line="340" w:lineRule="exact"/>
    </w:pPr>
    <w:rPr>
      <w:rFonts w:ascii="仿宋_GB2312" w:hAnsi="宋体" w:eastAsia="仿宋_GB2312" w:cs="宋体"/>
      <w:kern w:val="0"/>
      <w:szCs w:val="20"/>
    </w:rPr>
  </w:style>
  <w:style w:type="paragraph" w:customStyle="1" w:styleId="1481">
    <w:name w:val="表格单位"/>
    <w:basedOn w:val="1"/>
    <w:qFormat/>
    <w:uiPriority w:val="0"/>
    <w:pPr>
      <w:adjustRightInd/>
      <w:snapToGrid/>
      <w:spacing w:line="320" w:lineRule="exact"/>
      <w:jc w:val="right"/>
    </w:pPr>
    <w:rPr>
      <w:rFonts w:ascii="仿宋_GB2312" w:eastAsia="仿宋_GB2312"/>
      <w:sz w:val="24"/>
      <w:szCs w:val="24"/>
    </w:rPr>
  </w:style>
  <w:style w:type="paragraph" w:customStyle="1" w:styleId="1482">
    <w:name w:val="样式 表头 + 首行缩进:  0.97 厘米"/>
    <w:basedOn w:val="66"/>
    <w:qFormat/>
    <w:uiPriority w:val="0"/>
    <w:pPr>
      <w:keepNext/>
      <w:textAlignment w:val="auto"/>
    </w:pPr>
    <w:rPr>
      <w:rFonts w:ascii="黑体" w:eastAsia="黑体" w:cs="宋体"/>
      <w:sz w:val="28"/>
      <w:szCs w:val="20"/>
    </w:rPr>
  </w:style>
  <w:style w:type="paragraph" w:customStyle="1" w:styleId="1483">
    <w:name w:val="样式 表头 + 首行缩进:  0.97 厘米1"/>
    <w:basedOn w:val="66"/>
    <w:qFormat/>
    <w:uiPriority w:val="0"/>
    <w:pPr>
      <w:keepNext/>
      <w:textAlignment w:val="auto"/>
    </w:pPr>
    <w:rPr>
      <w:rFonts w:ascii="黑体" w:eastAsia="黑体" w:cs="宋体"/>
      <w:sz w:val="28"/>
      <w:szCs w:val="20"/>
    </w:rPr>
  </w:style>
  <w:style w:type="paragraph" w:customStyle="1" w:styleId="1484">
    <w:name w:val="样式 表头 + 首行缩进:  0.99 厘米"/>
    <w:basedOn w:val="66"/>
    <w:qFormat/>
    <w:uiPriority w:val="0"/>
    <w:pPr>
      <w:keepNext/>
      <w:textAlignment w:val="auto"/>
    </w:pPr>
    <w:rPr>
      <w:rFonts w:ascii="黑体" w:eastAsia="黑体" w:cs="宋体"/>
      <w:sz w:val="28"/>
      <w:szCs w:val="20"/>
    </w:rPr>
  </w:style>
  <w:style w:type="paragraph" w:customStyle="1" w:styleId="1485">
    <w:name w:val="样式 表头 + 五号"/>
    <w:basedOn w:val="66"/>
    <w:link w:val="1486"/>
    <w:qFormat/>
    <w:uiPriority w:val="0"/>
    <w:pPr>
      <w:keepNext/>
      <w:textAlignment w:val="auto"/>
    </w:pPr>
    <w:rPr>
      <w:rFonts w:ascii="黑体" w:eastAsia="黑体"/>
      <w:sz w:val="24"/>
      <w:szCs w:val="24"/>
    </w:rPr>
  </w:style>
  <w:style w:type="character" w:customStyle="1" w:styleId="1486">
    <w:name w:val="样式 表头 + 五号 Char"/>
    <w:link w:val="1485"/>
    <w:qFormat/>
    <w:uiPriority w:val="0"/>
    <w:rPr>
      <w:rFonts w:ascii="黑体" w:hAnsi="Times New Roman" w:eastAsia="黑体"/>
      <w:kern w:val="2"/>
      <w:sz w:val="24"/>
      <w:szCs w:val="24"/>
    </w:rPr>
  </w:style>
  <w:style w:type="paragraph" w:customStyle="1" w:styleId="1487">
    <w:name w:val="4表中文字"/>
    <w:basedOn w:val="1"/>
    <w:qFormat/>
    <w:uiPriority w:val="0"/>
    <w:pPr>
      <w:tabs>
        <w:tab w:val="left" w:pos="6195"/>
      </w:tabs>
      <w:autoSpaceDE w:val="0"/>
      <w:autoSpaceDN w:val="0"/>
      <w:snapToGrid/>
      <w:spacing w:line="240" w:lineRule="auto"/>
      <w:jc w:val="center"/>
    </w:pPr>
    <w:rPr>
      <w:rFonts w:ascii="仿宋_GB2312" w:eastAsia="仿宋_GB2312"/>
      <w:kern w:val="0"/>
      <w:sz w:val="24"/>
      <w:szCs w:val="24"/>
    </w:rPr>
  </w:style>
  <w:style w:type="paragraph" w:customStyle="1" w:styleId="1488">
    <w:name w:val="参考文献"/>
    <w:basedOn w:val="1"/>
    <w:qFormat/>
    <w:uiPriority w:val="0"/>
    <w:pPr>
      <w:widowControl/>
      <w:autoSpaceDE w:val="0"/>
      <w:autoSpaceDN w:val="0"/>
      <w:snapToGrid/>
      <w:spacing w:line="318" w:lineRule="atLeast"/>
      <w:jc w:val="both"/>
      <w:textAlignment w:val="bottom"/>
    </w:pPr>
    <w:rPr>
      <w:rFonts w:eastAsia="仿宋_GB2312"/>
      <w:kern w:val="0"/>
      <w:sz w:val="21"/>
      <w:szCs w:val="20"/>
    </w:rPr>
  </w:style>
  <w:style w:type="paragraph" w:customStyle="1" w:styleId="1489">
    <w:name w:val="附件名"/>
    <w:qFormat/>
    <w:uiPriority w:val="0"/>
    <w:pPr>
      <w:jc w:val="center"/>
    </w:pPr>
    <w:rPr>
      <w:rFonts w:ascii="Times New Roman" w:hAnsi="Times New Roman" w:eastAsia="黑体" w:cs="Times New Roman"/>
      <w:sz w:val="36"/>
      <w:lang w:val="en-US" w:eastAsia="zh-CN" w:bidi="ar-SA"/>
    </w:rPr>
  </w:style>
  <w:style w:type="paragraph" w:customStyle="1" w:styleId="1490">
    <w:name w:val="样式 首行缩进:  0.85 厘米"/>
    <w:basedOn w:val="1"/>
    <w:qFormat/>
    <w:uiPriority w:val="0"/>
    <w:pPr>
      <w:autoSpaceDE w:val="0"/>
      <w:spacing w:line="240" w:lineRule="auto"/>
      <w:ind w:firstLine="482"/>
      <w:jc w:val="both"/>
    </w:pPr>
    <w:rPr>
      <w:sz w:val="28"/>
      <w:szCs w:val="20"/>
    </w:rPr>
  </w:style>
  <w:style w:type="paragraph" w:customStyle="1" w:styleId="1491">
    <w:name w:val="样式 正文 小四 行距: 1.5 倍行距 + 宋体 五号 首行缩进:  2 字符"/>
    <w:basedOn w:val="1"/>
    <w:qFormat/>
    <w:uiPriority w:val="0"/>
    <w:pPr>
      <w:widowControl/>
      <w:adjustRightInd/>
      <w:snapToGrid/>
      <w:spacing w:line="240" w:lineRule="auto"/>
      <w:jc w:val="center"/>
    </w:pPr>
    <w:rPr>
      <w:rFonts w:ascii="宋体" w:hAnsi="宋体" w:cs="宋体"/>
      <w:kern w:val="0"/>
      <w:sz w:val="21"/>
      <w:szCs w:val="20"/>
    </w:rPr>
  </w:style>
  <w:style w:type="paragraph" w:customStyle="1" w:styleId="1492">
    <w:name w:val="样式 样式 正文 小四 行距: 1.5 倍行距 + 宋体 五号 首行缩进:  2 字符 + 首行缩进:  2 字符"/>
    <w:basedOn w:val="1491"/>
    <w:qFormat/>
    <w:uiPriority w:val="0"/>
    <w:pPr>
      <w:ind w:firstLine="0" w:firstLineChars="0"/>
    </w:pPr>
  </w:style>
  <w:style w:type="paragraph" w:customStyle="1" w:styleId="1493">
    <w:name w:val="样式 正文 + 宋体 五号 首行缩进:  2 字符"/>
    <w:basedOn w:val="1"/>
    <w:qFormat/>
    <w:uiPriority w:val="0"/>
    <w:pPr>
      <w:adjustRightInd/>
      <w:snapToGrid/>
      <w:spacing w:line="240" w:lineRule="auto"/>
      <w:jc w:val="center"/>
    </w:pPr>
    <w:rPr>
      <w:rFonts w:ascii="宋体" w:hAnsi="宋体" w:cs="宋体"/>
      <w:kern w:val="0"/>
      <w:sz w:val="18"/>
      <w:szCs w:val="20"/>
    </w:rPr>
  </w:style>
  <w:style w:type="character" w:customStyle="1" w:styleId="1494">
    <w:name w:val="样式 正文表文字00 +"/>
    <w:qFormat/>
    <w:uiPriority w:val="0"/>
    <w:rPr>
      <w:rFonts w:eastAsia="宋体"/>
      <w:kern w:val="0"/>
      <w:sz w:val="21"/>
    </w:rPr>
  </w:style>
  <w:style w:type="paragraph" w:customStyle="1" w:styleId="1495">
    <w:name w:val="样式 正文00 + 首行缩进:  2 字符"/>
    <w:basedOn w:val="1"/>
    <w:qFormat/>
    <w:uiPriority w:val="0"/>
    <w:pPr>
      <w:adjustRightInd/>
      <w:snapToGrid/>
      <w:spacing w:line="240" w:lineRule="auto"/>
    </w:pPr>
    <w:rPr>
      <w:rFonts w:ascii="宋体" w:hAnsi="宋体" w:cs="宋体"/>
      <w:sz w:val="21"/>
      <w:szCs w:val="20"/>
    </w:rPr>
  </w:style>
  <w:style w:type="paragraph" w:customStyle="1" w:styleId="1496">
    <w:name w:val="段落1"/>
    <w:basedOn w:val="1"/>
    <w:link w:val="1497"/>
    <w:qFormat/>
    <w:uiPriority w:val="0"/>
    <w:pPr>
      <w:snapToGrid/>
      <w:spacing w:line="360" w:lineRule="auto"/>
      <w:ind w:right="210" w:rightChars="100" w:firstLine="480"/>
      <w:jc w:val="both"/>
      <w:textAlignment w:val="baseline"/>
    </w:pPr>
    <w:rPr>
      <w:rFonts w:ascii="宋体" w:hAnsi="宋体"/>
      <w:sz w:val="24"/>
      <w:szCs w:val="24"/>
      <w:lang w:val="en-AU"/>
    </w:rPr>
  </w:style>
  <w:style w:type="character" w:customStyle="1" w:styleId="1497">
    <w:name w:val="段落1 Char1"/>
    <w:link w:val="1496"/>
    <w:qFormat/>
    <w:uiPriority w:val="0"/>
    <w:rPr>
      <w:rFonts w:ascii="宋体" w:hAnsi="宋体"/>
      <w:kern w:val="2"/>
      <w:sz w:val="24"/>
      <w:szCs w:val="24"/>
      <w:lang w:val="en-AU"/>
    </w:rPr>
  </w:style>
  <w:style w:type="paragraph" w:customStyle="1" w:styleId="1498">
    <w:name w:val="样式 左侧:  0 厘米 首行缩进:  0.85 厘米"/>
    <w:basedOn w:val="1"/>
    <w:qFormat/>
    <w:uiPriority w:val="0"/>
    <w:pPr>
      <w:adjustRightInd/>
      <w:snapToGrid/>
      <w:spacing w:line="240" w:lineRule="auto"/>
      <w:ind w:firstLine="480"/>
      <w:jc w:val="both"/>
    </w:pPr>
    <w:rPr>
      <w:rFonts w:eastAsia="仿宋_GB2312"/>
      <w:sz w:val="24"/>
      <w:szCs w:val="20"/>
    </w:rPr>
  </w:style>
  <w:style w:type="paragraph" w:customStyle="1" w:styleId="1499">
    <w:name w:val="样式 标题 2电脑标志 + 首行缩进:  2 字符"/>
    <w:basedOn w:val="4"/>
    <w:qFormat/>
    <w:uiPriority w:val="0"/>
    <w:pPr>
      <w:widowControl w:val="0"/>
      <w:tabs>
        <w:tab w:val="clear" w:pos="0"/>
      </w:tabs>
      <w:spacing w:beforeLines="0" w:afterLines="0" w:line="240" w:lineRule="auto"/>
      <w:jc w:val="both"/>
    </w:pPr>
    <w:rPr>
      <w:rFonts w:ascii="黑体" w:hAnsi="Arial" w:cs="宋体"/>
      <w:b w:val="0"/>
      <w:bCs w:val="0"/>
      <w:snapToGrid/>
      <w:szCs w:val="20"/>
    </w:rPr>
  </w:style>
  <w:style w:type="paragraph" w:customStyle="1" w:styleId="1500">
    <w:name w:val="样式 标题 2电脑标志 + 首行缩进:  2 字符1"/>
    <w:basedOn w:val="4"/>
    <w:qFormat/>
    <w:uiPriority w:val="0"/>
    <w:pPr>
      <w:widowControl w:val="0"/>
      <w:tabs>
        <w:tab w:val="clear" w:pos="0"/>
      </w:tabs>
      <w:spacing w:beforeLines="0" w:afterLines="0" w:line="240" w:lineRule="auto"/>
      <w:jc w:val="both"/>
    </w:pPr>
    <w:rPr>
      <w:rFonts w:ascii="黑体" w:hAnsi="Arial" w:cs="宋体"/>
      <w:b w:val="0"/>
      <w:bCs w:val="0"/>
      <w:snapToGrid/>
      <w:szCs w:val="20"/>
    </w:rPr>
  </w:style>
  <w:style w:type="paragraph" w:customStyle="1" w:styleId="1501">
    <w:name w:val="样式 标题 4 + 首行缩进:  2 字符"/>
    <w:basedOn w:val="6"/>
    <w:qFormat/>
    <w:uiPriority w:val="0"/>
    <w:pPr>
      <w:widowControl w:val="0"/>
      <w:numPr>
        <w:numId w:val="0"/>
      </w:numPr>
      <w:tabs>
        <w:tab w:val="left" w:pos="1680"/>
        <w:tab w:val="clear" w:pos="0"/>
      </w:tabs>
      <w:adjustRightInd/>
      <w:snapToGrid/>
      <w:spacing w:line="240" w:lineRule="auto"/>
      <w:ind w:firstLine="200" w:firstLineChars="200"/>
      <w:jc w:val="both"/>
    </w:pPr>
    <w:rPr>
      <w:rFonts w:ascii="仿宋_GB2312" w:hAnsi="Arial" w:eastAsia="仿宋_GB2312" w:cs="宋体"/>
      <w:bCs w:val="0"/>
      <w:snapToGrid/>
      <w:sz w:val="28"/>
      <w:szCs w:val="20"/>
    </w:rPr>
  </w:style>
  <w:style w:type="paragraph" w:customStyle="1" w:styleId="1502">
    <w:name w:val="样式 标题 4 + 首行缩进:  28 磅"/>
    <w:basedOn w:val="6"/>
    <w:qFormat/>
    <w:uiPriority w:val="0"/>
    <w:pPr>
      <w:widowControl w:val="0"/>
      <w:numPr>
        <w:numId w:val="0"/>
      </w:numPr>
      <w:tabs>
        <w:tab w:val="left" w:pos="1680"/>
        <w:tab w:val="clear" w:pos="0"/>
      </w:tabs>
      <w:adjustRightInd/>
      <w:snapToGrid/>
      <w:spacing w:line="240" w:lineRule="auto"/>
      <w:ind w:firstLine="200" w:firstLineChars="200"/>
      <w:jc w:val="both"/>
    </w:pPr>
    <w:rPr>
      <w:rFonts w:ascii="仿宋_GB2312" w:hAnsi="Arial" w:eastAsia="仿宋_GB2312" w:cs="宋体"/>
      <w:bCs w:val="0"/>
      <w:snapToGrid/>
      <w:sz w:val="28"/>
      <w:szCs w:val="20"/>
    </w:rPr>
  </w:style>
  <w:style w:type="paragraph" w:customStyle="1" w:styleId="1503">
    <w:name w:val="样式 表格 + 居中"/>
    <w:basedOn w:val="1"/>
    <w:qFormat/>
    <w:uiPriority w:val="0"/>
    <w:pPr>
      <w:kinsoku w:val="0"/>
      <w:overflowPunct w:val="0"/>
      <w:spacing w:line="240" w:lineRule="auto"/>
      <w:jc w:val="center"/>
    </w:pPr>
    <w:rPr>
      <w:kern w:val="0"/>
      <w:sz w:val="24"/>
      <w:szCs w:val="28"/>
    </w:rPr>
  </w:style>
  <w:style w:type="character" w:customStyle="1" w:styleId="1504">
    <w:name w:val="图表名 Char"/>
    <w:link w:val="1014"/>
    <w:qFormat/>
    <w:uiPriority w:val="0"/>
    <w:rPr>
      <w:rFonts w:ascii="Times New Roman" w:hAnsi="Times New Roman" w:eastAsia="仿宋_GB2312"/>
      <w:b/>
      <w:kern w:val="2"/>
      <w:sz w:val="24"/>
    </w:rPr>
  </w:style>
  <w:style w:type="paragraph" w:customStyle="1" w:styleId="1505">
    <w:name w:val="样式 样式 表格 + 居中 + 两端对齐 首行缩进:  2 字符"/>
    <w:basedOn w:val="1503"/>
    <w:qFormat/>
    <w:uiPriority w:val="0"/>
    <w:pPr>
      <w:ind w:firstLine="0" w:firstLineChars="0"/>
      <w:jc w:val="both"/>
    </w:pPr>
    <w:rPr>
      <w:rFonts w:cs="宋体"/>
      <w:szCs w:val="20"/>
    </w:rPr>
  </w:style>
  <w:style w:type="paragraph" w:customStyle="1" w:styleId="1506">
    <w:name w:val="样式 样式 表格 + 居中 + 首行缩进:  2 字符"/>
    <w:basedOn w:val="1503"/>
    <w:qFormat/>
    <w:uiPriority w:val="0"/>
    <w:pPr>
      <w:ind w:firstLine="0" w:firstLineChars="0"/>
    </w:pPr>
    <w:rPr>
      <w:rFonts w:cs="宋体"/>
      <w:szCs w:val="20"/>
    </w:rPr>
  </w:style>
  <w:style w:type="paragraph" w:customStyle="1" w:styleId="1507">
    <w:name w:val="Char1 Char Char Char Char Char Char"/>
    <w:basedOn w:val="1"/>
    <w:qFormat/>
    <w:uiPriority w:val="0"/>
    <w:pPr>
      <w:keepNext/>
      <w:keepLines/>
      <w:adjustRightInd/>
      <w:snapToGrid/>
      <w:spacing w:after="160" w:line="240" w:lineRule="exact"/>
      <w:ind w:firstLine="0" w:firstLineChars="0"/>
    </w:pPr>
    <w:rPr>
      <w:rFonts w:ascii="宋体" w:hAnsi="宋体"/>
      <w:b/>
      <w:kern w:val="0"/>
      <w:sz w:val="44"/>
      <w:szCs w:val="44"/>
      <w:lang w:eastAsia="en-US"/>
    </w:rPr>
  </w:style>
  <w:style w:type="character" w:customStyle="1" w:styleId="1508">
    <w:name w:val="p11"/>
    <w:qFormat/>
    <w:uiPriority w:val="0"/>
    <w:rPr>
      <w:rFonts w:hint="default"/>
      <w:sz w:val="18"/>
      <w:szCs w:val="18"/>
    </w:rPr>
  </w:style>
  <w:style w:type="paragraph" w:customStyle="1" w:styleId="1509">
    <w:name w:val="表号文字"/>
    <w:basedOn w:val="1"/>
    <w:qFormat/>
    <w:uiPriority w:val="0"/>
    <w:pPr>
      <w:spacing w:before="120" w:line="300" w:lineRule="auto"/>
      <w:ind w:firstLine="0" w:firstLineChars="0"/>
    </w:pPr>
    <w:rPr>
      <w:rFonts w:eastAsia="黑体"/>
      <w:sz w:val="21"/>
      <w:szCs w:val="24"/>
    </w:rPr>
  </w:style>
  <w:style w:type="character" w:customStyle="1" w:styleId="1510">
    <w:name w:val="表文 Char2"/>
    <w:link w:val="303"/>
    <w:qFormat/>
    <w:uiPriority w:val="0"/>
    <w:rPr>
      <w:rFonts w:ascii="宋体" w:hAnsi="宋体"/>
      <w:sz w:val="24"/>
      <w:szCs w:val="18"/>
    </w:rPr>
  </w:style>
  <w:style w:type="character" w:customStyle="1" w:styleId="1511">
    <w:name w:val="三号宋体居中行距2倍距 Char"/>
    <w:qFormat/>
    <w:locked/>
    <w:uiPriority w:val="0"/>
    <w:rPr>
      <w:rFonts w:ascii="Arial" w:hAnsi="Arial" w:eastAsia="黑体"/>
      <w:b/>
      <w:bCs/>
      <w:kern w:val="2"/>
      <w:sz w:val="32"/>
      <w:szCs w:val="32"/>
      <w:lang w:val="en-US" w:eastAsia="zh-CN" w:bidi="ar-SA"/>
    </w:rPr>
  </w:style>
  <w:style w:type="character" w:customStyle="1" w:styleId="1512">
    <w:name w:val="正文文字1 Char Char"/>
    <w:qFormat/>
    <w:uiPriority w:val="0"/>
    <w:rPr>
      <w:rFonts w:eastAsia="宋体"/>
      <w:kern w:val="2"/>
      <w:sz w:val="21"/>
      <w:szCs w:val="24"/>
      <w:lang w:val="en-US" w:eastAsia="zh-CN" w:bidi="ar-SA"/>
    </w:rPr>
  </w:style>
  <w:style w:type="paragraph" w:customStyle="1" w:styleId="1513">
    <w:name w:val="标题  3"/>
    <w:basedOn w:val="5"/>
    <w:qFormat/>
    <w:uiPriority w:val="0"/>
    <w:pPr>
      <w:widowControl w:val="0"/>
      <w:tabs>
        <w:tab w:val="left" w:pos="1260"/>
      </w:tabs>
      <w:ind w:firstLine="564"/>
    </w:pPr>
    <w:rPr>
      <w:rFonts w:eastAsia="黑体" w:cs="宋体"/>
      <w:snapToGrid/>
      <w:kern w:val="0"/>
      <w:szCs w:val="20"/>
    </w:rPr>
  </w:style>
  <w:style w:type="paragraph" w:customStyle="1" w:styleId="1514">
    <w:name w:val="正文（唐）"/>
    <w:basedOn w:val="1"/>
    <w:semiHidden/>
    <w:qFormat/>
    <w:uiPriority w:val="0"/>
    <w:pPr>
      <w:autoSpaceDE w:val="0"/>
      <w:autoSpaceDN w:val="0"/>
      <w:snapToGrid/>
      <w:spacing w:line="460" w:lineRule="exact"/>
      <w:ind w:left="-45" w:firstLine="480"/>
      <w:jc w:val="both"/>
    </w:pPr>
    <w:rPr>
      <w:rFonts w:ascii="宋体" w:hAnsi="宋体" w:eastAsia="Times New Roman" w:cs="宋体"/>
      <w:b/>
      <w:sz w:val="24"/>
      <w:szCs w:val="24"/>
    </w:rPr>
  </w:style>
  <w:style w:type="character" w:customStyle="1" w:styleId="1515">
    <w:name w:val="页眉小5号 Char Char"/>
    <w:qFormat/>
    <w:uiPriority w:val="0"/>
    <w:rPr>
      <w:rFonts w:eastAsia="宋体"/>
      <w:kern w:val="2"/>
      <w:sz w:val="18"/>
      <w:szCs w:val="18"/>
      <w:lang w:val="en-US" w:eastAsia="zh-CN" w:bidi="ar-SA"/>
    </w:rPr>
  </w:style>
  <w:style w:type="paragraph" w:customStyle="1" w:styleId="1516">
    <w:name w:val="1 Char Char Char Char Char Char Char"/>
    <w:basedOn w:val="1"/>
    <w:qFormat/>
    <w:uiPriority w:val="0"/>
    <w:pPr>
      <w:adjustRightInd/>
      <w:snapToGrid/>
      <w:spacing w:line="240" w:lineRule="auto"/>
      <w:ind w:firstLine="0" w:firstLineChars="0"/>
      <w:jc w:val="both"/>
    </w:pPr>
    <w:rPr>
      <w:sz w:val="21"/>
      <w:szCs w:val="24"/>
    </w:rPr>
  </w:style>
  <w:style w:type="character" w:customStyle="1" w:styleId="1517">
    <w:name w:val="四号宋体左齐行距1.5倍 Char"/>
    <w:qFormat/>
    <w:locked/>
    <w:uiPriority w:val="0"/>
    <w:rPr>
      <w:rFonts w:eastAsia="宋体"/>
      <w:b/>
      <w:bCs/>
      <w:kern w:val="2"/>
      <w:sz w:val="32"/>
      <w:szCs w:val="32"/>
      <w:lang w:val="en-US" w:eastAsia="zh-CN" w:bidi="ar-SA"/>
    </w:rPr>
  </w:style>
  <w:style w:type="paragraph" w:customStyle="1" w:styleId="1518">
    <w:name w:val="111"/>
    <w:basedOn w:val="6"/>
    <w:next w:val="1"/>
    <w:qFormat/>
    <w:uiPriority w:val="0"/>
    <w:pPr>
      <w:keepNext/>
      <w:keepLines/>
      <w:widowControl w:val="0"/>
      <w:numPr>
        <w:numId w:val="0"/>
      </w:numPr>
      <w:tabs>
        <w:tab w:val="left" w:pos="1680"/>
        <w:tab w:val="left" w:pos="2880"/>
        <w:tab w:val="clear" w:pos="0"/>
      </w:tabs>
      <w:adjustRightInd/>
      <w:snapToGrid/>
      <w:spacing w:before="280" w:after="290" w:line="376" w:lineRule="auto"/>
      <w:ind w:left="2880" w:hanging="360" w:firstLineChars="200"/>
      <w:jc w:val="both"/>
    </w:pPr>
    <w:rPr>
      <w:rFonts w:ascii="Arial" w:hAnsi="Arial" w:eastAsia="黑体"/>
      <w:b w:val="0"/>
      <w:bCs w:val="0"/>
      <w:snapToGrid/>
      <w:sz w:val="28"/>
      <w:szCs w:val="20"/>
    </w:rPr>
  </w:style>
  <w:style w:type="paragraph" w:customStyle="1" w:styleId="1519">
    <w:name w:val="新"/>
    <w:basedOn w:val="7"/>
    <w:qFormat/>
    <w:uiPriority w:val="0"/>
    <w:pPr>
      <w:keepNext/>
      <w:keepLines/>
      <w:numPr>
        <w:numId w:val="0"/>
      </w:numPr>
      <w:tabs>
        <w:tab w:val="left" w:pos="2100"/>
        <w:tab w:val="left" w:pos="3600"/>
      </w:tabs>
      <w:adjustRightInd/>
      <w:snapToGrid/>
      <w:spacing w:before="280" w:after="290" w:line="376" w:lineRule="auto"/>
      <w:ind w:left="3600" w:hanging="360"/>
      <w:jc w:val="both"/>
    </w:pPr>
    <w:rPr>
      <w:b/>
      <w:bCs w:val="0"/>
      <w:sz w:val="24"/>
      <w:szCs w:val="20"/>
    </w:rPr>
  </w:style>
  <w:style w:type="character" w:customStyle="1" w:styleId="1520">
    <w:name w:val="页眉小5号 Char Char1"/>
    <w:qFormat/>
    <w:uiPriority w:val="0"/>
    <w:rPr>
      <w:rFonts w:eastAsia="宋体"/>
      <w:kern w:val="2"/>
      <w:sz w:val="18"/>
      <w:szCs w:val="18"/>
      <w:lang w:val="en-US" w:eastAsia="zh-CN" w:bidi="ar-SA"/>
    </w:rPr>
  </w:style>
  <w:style w:type="character" w:customStyle="1" w:styleId="1521">
    <w:name w:val="链接"/>
    <w:qFormat/>
    <w:uiPriority w:val="0"/>
    <w:rPr>
      <w:rFonts w:ascii="Times New Roman" w:eastAsia="宋体"/>
      <w:color w:val="0000FF"/>
      <w:sz w:val="21"/>
      <w:u w:val="single" w:color="0000FF"/>
      <w:vertAlign w:val="baseline"/>
      <w:lang w:val="en-US" w:eastAsia="zh-CN"/>
    </w:rPr>
  </w:style>
  <w:style w:type="paragraph" w:customStyle="1" w:styleId="1522">
    <w:name w:val="目录标题"/>
    <w:basedOn w:val="1"/>
    <w:next w:val="1"/>
    <w:qFormat/>
    <w:uiPriority w:val="0"/>
    <w:pPr>
      <w:widowControl/>
      <w:adjustRightInd/>
      <w:snapToGrid/>
      <w:spacing w:before="566" w:after="544" w:line="566" w:lineRule="atLeast"/>
      <w:ind w:firstLine="419" w:firstLineChars="0"/>
      <w:jc w:val="center"/>
      <w:textAlignment w:val="baseline"/>
    </w:pPr>
    <w:rPr>
      <w:rFonts w:ascii="Arial" w:eastAsia="黑体"/>
      <w:color w:val="000000"/>
      <w:spacing w:val="566"/>
      <w:kern w:val="0"/>
      <w:sz w:val="54"/>
      <w:szCs w:val="20"/>
      <w:u w:color="000000"/>
    </w:rPr>
  </w:style>
  <w:style w:type="paragraph" w:customStyle="1" w:styleId="1523">
    <w:name w:val="文章总标题"/>
    <w:basedOn w:val="1"/>
    <w:next w:val="1524"/>
    <w:qFormat/>
    <w:uiPriority w:val="0"/>
    <w:pPr>
      <w:widowControl/>
      <w:adjustRightInd/>
      <w:snapToGrid/>
      <w:spacing w:before="566" w:after="544" w:line="566" w:lineRule="atLeast"/>
      <w:ind w:firstLine="0" w:firstLineChars="0"/>
      <w:jc w:val="center"/>
      <w:textAlignment w:val="baseline"/>
    </w:pPr>
    <w:rPr>
      <w:rFonts w:ascii="Arial" w:eastAsia="黑体"/>
      <w:color w:val="000000"/>
      <w:kern w:val="0"/>
      <w:sz w:val="54"/>
      <w:szCs w:val="20"/>
      <w:u w:color="000000"/>
    </w:rPr>
  </w:style>
  <w:style w:type="paragraph" w:customStyle="1" w:styleId="1524">
    <w:name w:val="文章附标题"/>
    <w:basedOn w:val="1"/>
    <w:next w:val="387"/>
    <w:qFormat/>
    <w:uiPriority w:val="0"/>
    <w:pPr>
      <w:widowControl/>
      <w:adjustRightInd/>
      <w:snapToGrid/>
      <w:spacing w:before="187" w:after="175" w:line="374" w:lineRule="atLeast"/>
      <w:ind w:firstLine="0" w:firstLineChars="0"/>
      <w:jc w:val="center"/>
      <w:textAlignment w:val="baseline"/>
    </w:pPr>
    <w:rPr>
      <w:color w:val="000000"/>
      <w:kern w:val="0"/>
      <w:sz w:val="36"/>
      <w:szCs w:val="20"/>
      <w:u w:color="000000"/>
    </w:rPr>
  </w:style>
  <w:style w:type="paragraph" w:customStyle="1" w:styleId="1525">
    <w:name w:val="目录3"/>
    <w:basedOn w:val="1"/>
    <w:next w:val="1"/>
    <w:qFormat/>
    <w:uiPriority w:val="0"/>
    <w:pPr>
      <w:widowControl/>
      <w:tabs>
        <w:tab w:val="left" w:leader="dot" w:pos="8503"/>
      </w:tabs>
      <w:adjustRightInd/>
      <w:snapToGrid/>
      <w:spacing w:line="317" w:lineRule="atLeast"/>
      <w:ind w:firstLine="419" w:firstLineChars="0"/>
      <w:jc w:val="both"/>
      <w:textAlignment w:val="baseline"/>
    </w:pPr>
    <w:rPr>
      <w:color w:val="000000"/>
      <w:kern w:val="0"/>
      <w:sz w:val="21"/>
      <w:szCs w:val="20"/>
      <w:u w:color="000000"/>
    </w:rPr>
  </w:style>
  <w:style w:type="paragraph" w:customStyle="1" w:styleId="1526">
    <w:name w:val="目录4"/>
    <w:basedOn w:val="1"/>
    <w:next w:val="1"/>
    <w:qFormat/>
    <w:uiPriority w:val="0"/>
    <w:pPr>
      <w:widowControl/>
      <w:tabs>
        <w:tab w:val="left" w:leader="dot" w:pos="8503"/>
      </w:tabs>
      <w:adjustRightInd/>
      <w:snapToGrid/>
      <w:spacing w:line="317" w:lineRule="atLeast"/>
      <w:ind w:firstLine="629" w:firstLineChars="0"/>
      <w:jc w:val="both"/>
      <w:textAlignment w:val="baseline"/>
    </w:pPr>
    <w:rPr>
      <w:color w:val="000000"/>
      <w:kern w:val="0"/>
      <w:sz w:val="21"/>
      <w:szCs w:val="20"/>
      <w:u w:color="000000"/>
    </w:rPr>
  </w:style>
  <w:style w:type="paragraph" w:customStyle="1" w:styleId="1527">
    <w:name w:val="0005左缩2"/>
    <w:basedOn w:val="1"/>
    <w:qFormat/>
    <w:uiPriority w:val="0"/>
    <w:pPr>
      <w:widowControl/>
      <w:autoSpaceDE w:val="0"/>
      <w:autoSpaceDN w:val="0"/>
      <w:snapToGrid/>
      <w:spacing w:afterLines="30" w:line="500" w:lineRule="exact"/>
      <w:jc w:val="both"/>
    </w:pPr>
    <w:rPr>
      <w:rFonts w:ascii="宋体" w:hAnsi="宋体"/>
      <w:sz w:val="28"/>
      <w:szCs w:val="28"/>
    </w:rPr>
  </w:style>
  <w:style w:type="paragraph" w:customStyle="1" w:styleId="1528">
    <w:name w:val="正"/>
    <w:basedOn w:val="21"/>
    <w:link w:val="1529"/>
    <w:qFormat/>
    <w:uiPriority w:val="0"/>
    <w:pPr>
      <w:topLinePunct/>
      <w:autoSpaceDE w:val="0"/>
      <w:autoSpaceDN w:val="0"/>
      <w:adjustRightInd w:val="0"/>
      <w:snapToGrid w:val="0"/>
      <w:spacing w:line="500" w:lineRule="exact"/>
      <w:ind w:firstLine="560" w:firstLineChars="200"/>
      <w:jc w:val="both"/>
    </w:pPr>
    <w:rPr>
      <w:rFonts w:ascii="宋体" w:hAnsi="宋体"/>
      <w:b w:val="0"/>
      <w:color w:val="auto"/>
      <w:kern w:val="2"/>
      <w:sz w:val="28"/>
      <w:szCs w:val="28"/>
      <w:lang w:val="zh-CN"/>
    </w:rPr>
  </w:style>
  <w:style w:type="character" w:customStyle="1" w:styleId="1529">
    <w:name w:val="正 Char1"/>
    <w:link w:val="1528"/>
    <w:qFormat/>
    <w:uiPriority w:val="0"/>
    <w:rPr>
      <w:rFonts w:ascii="宋体" w:hAnsi="宋体"/>
      <w:kern w:val="2"/>
      <w:sz w:val="28"/>
      <w:szCs w:val="28"/>
      <w:lang w:val="zh-CN"/>
    </w:rPr>
  </w:style>
  <w:style w:type="paragraph" w:customStyle="1" w:styleId="1530">
    <w:name w:val="标题符"/>
    <w:basedOn w:val="1"/>
    <w:qFormat/>
    <w:uiPriority w:val="0"/>
    <w:pPr>
      <w:tabs>
        <w:tab w:val="left" w:pos="360"/>
      </w:tabs>
      <w:overflowPunct w:val="0"/>
      <w:adjustRightInd/>
      <w:ind w:firstLine="560"/>
      <w:jc w:val="both"/>
    </w:pPr>
    <w:rPr>
      <w:rFonts w:ascii="Arial" w:hAnsi="Arial" w:eastAsia="仿宋_GB2312"/>
      <w:sz w:val="28"/>
      <w:szCs w:val="20"/>
    </w:rPr>
  </w:style>
  <w:style w:type="paragraph" w:customStyle="1" w:styleId="1531">
    <w:name w:val="蒲标题2"/>
    <w:basedOn w:val="4"/>
    <w:qFormat/>
    <w:uiPriority w:val="0"/>
    <w:pPr>
      <w:keepNext/>
      <w:keepLines/>
      <w:widowControl w:val="0"/>
      <w:tabs>
        <w:tab w:val="clear" w:pos="0"/>
      </w:tabs>
      <w:autoSpaceDE w:val="0"/>
      <w:autoSpaceDN w:val="0"/>
      <w:spacing w:beforeLines="0" w:afterLines="0" w:line="360" w:lineRule="auto"/>
      <w:jc w:val="both"/>
      <w:outlineLvl w:val="0"/>
    </w:pPr>
    <w:rPr>
      <w:snapToGrid/>
      <w:color w:val="000000"/>
      <w:kern w:val="0"/>
      <w:sz w:val="24"/>
      <w:szCs w:val="24"/>
    </w:rPr>
  </w:style>
  <w:style w:type="paragraph" w:customStyle="1" w:styleId="1532">
    <w:name w:val="0002"/>
    <w:basedOn w:val="4"/>
    <w:qFormat/>
    <w:uiPriority w:val="0"/>
    <w:pPr>
      <w:widowControl w:val="0"/>
      <w:tabs>
        <w:tab w:val="clear" w:pos="0"/>
      </w:tabs>
      <w:spacing w:beforeLines="100" w:afterLines="0" w:line="360" w:lineRule="auto"/>
    </w:pPr>
    <w:rPr>
      <w:rFonts w:ascii="宋体" w:hAnsi="Arial"/>
      <w:snapToGrid/>
      <w:kern w:val="0"/>
      <w:sz w:val="32"/>
    </w:rPr>
  </w:style>
  <w:style w:type="character" w:customStyle="1" w:styleId="1533">
    <w:name w:val="hui141"/>
    <w:qFormat/>
    <w:uiPriority w:val="0"/>
    <w:rPr>
      <w:b/>
      <w:bCs/>
      <w:color w:val="333333"/>
      <w:sz w:val="21"/>
      <w:szCs w:val="21"/>
    </w:rPr>
  </w:style>
  <w:style w:type="character" w:customStyle="1" w:styleId="1534">
    <w:name w:val="小2号宋体居中行距2倍 Char"/>
    <w:qFormat/>
    <w:locked/>
    <w:uiPriority w:val="0"/>
    <w:rPr>
      <w:rFonts w:eastAsia="宋体"/>
      <w:b/>
      <w:bCs/>
      <w:kern w:val="44"/>
      <w:sz w:val="44"/>
      <w:szCs w:val="44"/>
      <w:lang w:val="en-US" w:eastAsia="zh-CN" w:bidi="ar-SA"/>
    </w:rPr>
  </w:style>
  <w:style w:type="character" w:customStyle="1" w:styleId="1535">
    <w:name w:val="节 Char1"/>
    <w:qFormat/>
    <w:locked/>
    <w:uiPriority w:val="0"/>
    <w:rPr>
      <w:rFonts w:ascii="Arial" w:hAnsi="Arial" w:eastAsia="黑体"/>
      <w:b/>
      <w:bCs/>
      <w:kern w:val="2"/>
      <w:sz w:val="32"/>
      <w:szCs w:val="32"/>
      <w:lang w:val="en-US" w:eastAsia="zh-CN" w:bidi="ar-SA"/>
    </w:rPr>
  </w:style>
  <w:style w:type="character" w:customStyle="1" w:styleId="1536">
    <w:name w:val="Char Char12"/>
    <w:qFormat/>
    <w:locked/>
    <w:uiPriority w:val="0"/>
    <w:rPr>
      <w:rFonts w:ascii="Arial" w:hAnsi="Arial" w:eastAsia="黑体"/>
      <w:b/>
      <w:bCs/>
      <w:kern w:val="2"/>
      <w:sz w:val="24"/>
      <w:szCs w:val="24"/>
      <w:lang w:val="en-US" w:eastAsia="zh-CN" w:bidi="ar-SA"/>
    </w:rPr>
  </w:style>
  <w:style w:type="character" w:customStyle="1" w:styleId="1537">
    <w:name w:val="5号宋体居中 Char Char"/>
    <w:qFormat/>
    <w:locked/>
    <w:uiPriority w:val="0"/>
    <w:rPr>
      <w:rFonts w:ascii="Arial" w:hAnsi="Arial" w:eastAsia="黑体"/>
      <w:kern w:val="2"/>
      <w:sz w:val="21"/>
      <w:lang w:val="en-US" w:eastAsia="zh-CN" w:bidi="ar-SA"/>
    </w:rPr>
  </w:style>
  <w:style w:type="character" w:customStyle="1" w:styleId="1538">
    <w:name w:val="Char Char6"/>
    <w:qFormat/>
    <w:locked/>
    <w:uiPriority w:val="0"/>
    <w:rPr>
      <w:rFonts w:ascii="宋体" w:hAnsi="宋体" w:eastAsia="宋体"/>
      <w:color w:val="FF0000"/>
      <w:kern w:val="2"/>
      <w:sz w:val="18"/>
      <w:szCs w:val="21"/>
      <w:lang w:val="en-US" w:eastAsia="zh-CN" w:bidi="ar-SA"/>
    </w:rPr>
  </w:style>
  <w:style w:type="character" w:customStyle="1" w:styleId="1539">
    <w:name w:val="Char Char4"/>
    <w:semiHidden/>
    <w:qFormat/>
    <w:locked/>
    <w:uiPriority w:val="0"/>
    <w:rPr>
      <w:rFonts w:eastAsia="宋体"/>
      <w:kern w:val="2"/>
      <w:sz w:val="21"/>
      <w:szCs w:val="24"/>
      <w:lang w:val="en-US" w:eastAsia="zh-CN" w:bidi="ar-SA"/>
    </w:rPr>
  </w:style>
  <w:style w:type="paragraph" w:customStyle="1" w:styleId="1540">
    <w:name w:val="样式 图格式"/>
    <w:basedOn w:val="4"/>
    <w:semiHidden/>
    <w:qFormat/>
    <w:uiPriority w:val="0"/>
    <w:pPr>
      <w:keepNext/>
      <w:keepLines/>
      <w:widowControl w:val="0"/>
      <w:shd w:val="clear" w:color="auto" w:fill="FFFFFF"/>
      <w:tabs>
        <w:tab w:val="clear" w:pos="0"/>
      </w:tabs>
      <w:kinsoku w:val="0"/>
      <w:overflowPunct w:val="0"/>
      <w:autoSpaceDE w:val="0"/>
      <w:autoSpaceDN w:val="0"/>
      <w:spacing w:beforeLines="0" w:afterLines="0" w:line="300" w:lineRule="atLeast"/>
      <w:outlineLvl w:val="9"/>
    </w:pPr>
    <w:rPr>
      <w:rFonts w:ascii="Arial" w:hAnsi="Arial" w:cs="宋体"/>
      <w:snapToGrid/>
      <w:color w:val="0000FF"/>
      <w:kern w:val="0"/>
      <w:sz w:val="24"/>
      <w:szCs w:val="24"/>
    </w:rPr>
  </w:style>
  <w:style w:type="paragraph" w:customStyle="1" w:styleId="1541">
    <w:name w:val="样式 5号表"/>
    <w:basedOn w:val="1"/>
    <w:qFormat/>
    <w:uiPriority w:val="0"/>
    <w:pPr>
      <w:shd w:val="clear" w:color="auto" w:fill="FFFFFF"/>
      <w:kinsoku w:val="0"/>
      <w:overflowPunct w:val="0"/>
      <w:autoSpaceDE w:val="0"/>
      <w:autoSpaceDN w:val="0"/>
      <w:adjustRightInd/>
      <w:spacing w:line="300" w:lineRule="exact"/>
      <w:ind w:firstLine="0" w:firstLineChars="0"/>
      <w:jc w:val="both"/>
    </w:pPr>
    <w:rPr>
      <w:rFonts w:ascii="宋体" w:hAnsi="宋体" w:cs="宋体"/>
      <w:bCs/>
      <w:sz w:val="21"/>
      <w:szCs w:val="20"/>
    </w:rPr>
  </w:style>
  <w:style w:type="paragraph" w:customStyle="1" w:styleId="1542">
    <w:name w:val="样式 标题 1 + 宋体 四号 居中"/>
    <w:basedOn w:val="3"/>
    <w:qFormat/>
    <w:uiPriority w:val="0"/>
    <w:pPr>
      <w:keepNext/>
      <w:keepLines/>
      <w:widowControl w:val="0"/>
      <w:numPr>
        <w:numId w:val="0"/>
      </w:numPr>
      <w:tabs>
        <w:tab w:val="clear" w:pos="0"/>
      </w:tabs>
      <w:adjustRightInd/>
      <w:snapToGrid/>
      <w:spacing w:beforeLines="0" w:afterLines="0" w:line="600" w:lineRule="exact"/>
    </w:pPr>
    <w:rPr>
      <w:bCs w:val="0"/>
      <w:snapToGrid/>
      <w:color w:val="FF0000"/>
      <w:sz w:val="32"/>
      <w:szCs w:val="28"/>
    </w:rPr>
  </w:style>
  <w:style w:type="character" w:customStyle="1" w:styleId="1543">
    <w:name w:val="样式 标题 2 + 首行缩进:  2 字符 Char"/>
    <w:link w:val="1016"/>
    <w:qFormat/>
    <w:locked/>
    <w:uiPriority w:val="0"/>
    <w:rPr>
      <w:rFonts w:ascii="Times New Roman" w:hAnsi="Times New Roman" w:eastAsia="黑体" w:cs="宋体"/>
      <w:b/>
      <w:kern w:val="2"/>
      <w:sz w:val="24"/>
    </w:rPr>
  </w:style>
  <w:style w:type="paragraph" w:customStyle="1" w:styleId="1544">
    <w:name w:val="样式 标题 1 + 首行缩进:  2 字符"/>
    <w:basedOn w:val="3"/>
    <w:qFormat/>
    <w:uiPriority w:val="0"/>
    <w:pPr>
      <w:keepNext/>
      <w:keepLines/>
      <w:widowControl w:val="0"/>
      <w:numPr>
        <w:numId w:val="0"/>
      </w:numPr>
      <w:tabs>
        <w:tab w:val="clear" w:pos="0"/>
      </w:tabs>
      <w:adjustRightInd/>
      <w:snapToGrid/>
      <w:spacing w:beforeLines="0" w:afterLines="0" w:line="360" w:lineRule="auto"/>
      <w:jc w:val="both"/>
    </w:pPr>
    <w:rPr>
      <w:rFonts w:ascii="宋体" w:hAnsi="宋体" w:cs="宋体"/>
      <w:snapToGrid/>
      <w:color w:val="FF0000"/>
      <w:sz w:val="36"/>
      <w:szCs w:val="20"/>
    </w:rPr>
  </w:style>
  <w:style w:type="paragraph" w:customStyle="1" w:styleId="1545">
    <w:name w:val="样式 样式 标题 2 + 宋体 小二 首行缩进:  2 字符 + 段前: 0.5 行 段后: 0.5 行"/>
    <w:basedOn w:val="1"/>
    <w:qFormat/>
    <w:uiPriority w:val="0"/>
    <w:pPr>
      <w:keepNext/>
      <w:keepLines/>
      <w:adjustRightInd/>
      <w:snapToGrid/>
      <w:spacing w:beforeLines="50" w:line="240" w:lineRule="auto"/>
      <w:ind w:firstLine="0" w:firstLineChars="0"/>
      <w:jc w:val="both"/>
      <w:outlineLvl w:val="1"/>
    </w:pPr>
    <w:rPr>
      <w:rFonts w:ascii="宋体" w:hAnsi="宋体" w:cs="宋体"/>
      <w:b/>
      <w:bCs/>
      <w:sz w:val="32"/>
      <w:szCs w:val="20"/>
    </w:rPr>
  </w:style>
  <w:style w:type="character" w:customStyle="1" w:styleId="1546">
    <w:name w:val="样式 标题 2 + 宋体 小二 首行缩进:  2 字符 Char"/>
    <w:link w:val="1547"/>
    <w:qFormat/>
    <w:locked/>
    <w:uiPriority w:val="0"/>
    <w:rPr>
      <w:rFonts w:ascii="宋体" w:hAnsi="宋体" w:cs="宋体"/>
      <w:b/>
      <w:bCs/>
      <w:sz w:val="32"/>
    </w:rPr>
  </w:style>
  <w:style w:type="paragraph" w:customStyle="1" w:styleId="1547">
    <w:name w:val="样式 标题 2 + 宋体 小二 首行缩进:  2 字符"/>
    <w:basedOn w:val="4"/>
    <w:link w:val="1546"/>
    <w:qFormat/>
    <w:uiPriority w:val="0"/>
    <w:pPr>
      <w:keepNext/>
      <w:keepLines/>
      <w:widowControl w:val="0"/>
      <w:tabs>
        <w:tab w:val="clear" w:pos="0"/>
      </w:tabs>
      <w:spacing w:line="240" w:lineRule="auto"/>
      <w:jc w:val="both"/>
    </w:pPr>
    <w:rPr>
      <w:rFonts w:ascii="宋体" w:hAnsi="宋体" w:cs="宋体"/>
      <w:snapToGrid/>
      <w:kern w:val="0"/>
      <w:sz w:val="32"/>
      <w:szCs w:val="20"/>
    </w:rPr>
  </w:style>
  <w:style w:type="paragraph" w:customStyle="1" w:styleId="1548">
    <w:name w:val="样式 标题 3 + 段前: 0.5 行 段后: 0.5 行"/>
    <w:basedOn w:val="5"/>
    <w:qFormat/>
    <w:uiPriority w:val="0"/>
    <w:pPr>
      <w:keepNext/>
      <w:keepLines/>
      <w:widowControl w:val="0"/>
      <w:tabs>
        <w:tab w:val="left" w:pos="1260"/>
        <w:tab w:val="clear" w:pos="0"/>
      </w:tabs>
      <w:adjustRightInd/>
      <w:snapToGrid/>
      <w:ind w:firstLine="200"/>
    </w:pPr>
    <w:rPr>
      <w:rFonts w:ascii="宋体" w:hAnsi="宋体" w:cs="宋体"/>
      <w:b w:val="0"/>
      <w:snapToGrid/>
      <w:sz w:val="30"/>
      <w:szCs w:val="20"/>
    </w:rPr>
  </w:style>
  <w:style w:type="paragraph" w:customStyle="1" w:styleId="1549">
    <w:name w:val="小标题"/>
    <w:basedOn w:val="1"/>
    <w:qFormat/>
    <w:uiPriority w:val="0"/>
    <w:pPr>
      <w:adjustRightInd/>
      <w:snapToGrid/>
      <w:spacing w:line="500" w:lineRule="exact"/>
      <w:ind w:firstLine="567" w:firstLineChars="0"/>
      <w:jc w:val="both"/>
    </w:pPr>
    <w:rPr>
      <w:sz w:val="28"/>
      <w:szCs w:val="28"/>
    </w:rPr>
  </w:style>
  <w:style w:type="paragraph" w:customStyle="1" w:styleId="1550">
    <w:name w:val="大标题"/>
    <w:basedOn w:val="1"/>
    <w:qFormat/>
    <w:uiPriority w:val="0"/>
    <w:pPr>
      <w:adjustRightInd/>
      <w:snapToGrid/>
      <w:spacing w:line="500" w:lineRule="exact"/>
      <w:ind w:firstLine="0" w:firstLineChars="0"/>
    </w:pPr>
    <w:rPr>
      <w:sz w:val="28"/>
      <w:szCs w:val="28"/>
    </w:rPr>
  </w:style>
  <w:style w:type="paragraph" w:customStyle="1" w:styleId="1551">
    <w:name w:val="样式 样式 首行缩进:  2 字符 + 居中"/>
    <w:basedOn w:val="352"/>
    <w:qFormat/>
    <w:uiPriority w:val="0"/>
    <w:pPr>
      <w:spacing w:beforeLines="0" w:afterLines="0" w:line="500" w:lineRule="exact"/>
      <w:ind w:firstLine="0" w:firstLineChars="0"/>
      <w:jc w:val="center"/>
    </w:pPr>
    <w:rPr>
      <w:rFonts w:ascii="宋体" w:hAnsi="宋体"/>
      <w:sz w:val="28"/>
    </w:rPr>
  </w:style>
  <w:style w:type="paragraph" w:customStyle="1" w:styleId="1552">
    <w:name w:val="样式 样式 首行缩进:  2 字符 + 居中1"/>
    <w:basedOn w:val="352"/>
    <w:qFormat/>
    <w:uiPriority w:val="0"/>
    <w:pPr>
      <w:spacing w:beforeLines="0" w:afterLines="0" w:line="500" w:lineRule="exact"/>
      <w:ind w:firstLine="0" w:firstLineChars="0"/>
      <w:jc w:val="center"/>
    </w:pPr>
    <w:rPr>
      <w:rFonts w:ascii="宋体" w:hAnsi="宋体"/>
      <w:sz w:val="28"/>
      <w:szCs w:val="28"/>
    </w:rPr>
  </w:style>
  <w:style w:type="paragraph" w:customStyle="1" w:styleId="1553">
    <w:name w:val="3字符"/>
    <w:basedOn w:val="1"/>
    <w:qFormat/>
    <w:uiPriority w:val="0"/>
    <w:pPr>
      <w:adjustRightInd/>
      <w:snapToGrid/>
      <w:spacing w:line="500" w:lineRule="exact"/>
      <w:ind w:left="561" w:firstLine="100" w:firstLineChars="100"/>
      <w:jc w:val="both"/>
    </w:pPr>
    <w:rPr>
      <w:sz w:val="28"/>
      <w:szCs w:val="28"/>
    </w:rPr>
  </w:style>
  <w:style w:type="paragraph" w:customStyle="1" w:styleId="1554">
    <w:name w:val="征文"/>
    <w:basedOn w:val="1"/>
    <w:qFormat/>
    <w:uiPriority w:val="0"/>
    <w:pPr>
      <w:adjustRightInd/>
      <w:snapToGrid/>
      <w:spacing w:line="400" w:lineRule="exact"/>
      <w:ind w:firstLine="480" w:firstLineChars="0"/>
      <w:jc w:val="both"/>
    </w:pPr>
    <w:rPr>
      <w:rFonts w:cs="宋体"/>
      <w:sz w:val="24"/>
      <w:szCs w:val="20"/>
    </w:rPr>
  </w:style>
  <w:style w:type="paragraph" w:customStyle="1" w:styleId="1555">
    <w:name w:val="样式 3字符 + 首行缩进:  1 字符"/>
    <w:basedOn w:val="1553"/>
    <w:qFormat/>
    <w:uiPriority w:val="0"/>
    <w:pPr>
      <w:ind w:firstLine="280"/>
    </w:pPr>
    <w:rPr>
      <w:rFonts w:cs="宋体"/>
      <w:szCs w:val="20"/>
    </w:rPr>
  </w:style>
  <w:style w:type="paragraph" w:customStyle="1" w:styleId="1556">
    <w:name w:val="5号字表"/>
    <w:basedOn w:val="1"/>
    <w:qFormat/>
    <w:uiPriority w:val="0"/>
    <w:pPr>
      <w:tabs>
        <w:tab w:val="left" w:pos="210"/>
      </w:tabs>
      <w:adjustRightInd/>
      <w:snapToGrid/>
      <w:spacing w:line="500" w:lineRule="exact"/>
    </w:pPr>
    <w:rPr>
      <w:rFonts w:ascii="宋体" w:hAnsi="宋体" w:cs="宋体"/>
      <w:bCs/>
      <w:sz w:val="28"/>
      <w:szCs w:val="20"/>
    </w:rPr>
  </w:style>
  <w:style w:type="paragraph" w:customStyle="1" w:styleId="1557">
    <w:name w:val="样式 目录 1 级别1"/>
    <w:basedOn w:val="1"/>
    <w:next w:val="1"/>
    <w:qFormat/>
    <w:uiPriority w:val="0"/>
    <w:pPr>
      <w:shd w:val="clear" w:color="auto" w:fill="FFFFFF"/>
      <w:tabs>
        <w:tab w:val="left" w:pos="210"/>
      </w:tabs>
      <w:kinsoku w:val="0"/>
      <w:overflowPunct w:val="0"/>
      <w:autoSpaceDE w:val="0"/>
      <w:autoSpaceDN w:val="0"/>
      <w:spacing w:line="400" w:lineRule="exact"/>
    </w:pPr>
    <w:rPr>
      <w:rFonts w:ascii="宋体" w:hAnsi="宋体" w:cs="宋体"/>
      <w:b/>
      <w:bCs/>
      <w:sz w:val="24"/>
      <w:szCs w:val="28"/>
    </w:rPr>
  </w:style>
  <w:style w:type="paragraph" w:customStyle="1" w:styleId="1558">
    <w:name w:val="设计封面"/>
    <w:basedOn w:val="4"/>
    <w:qFormat/>
    <w:uiPriority w:val="0"/>
    <w:pPr>
      <w:keepNext/>
      <w:keepLines/>
      <w:widowControl w:val="0"/>
      <w:tabs>
        <w:tab w:val="left" w:pos="210"/>
        <w:tab w:val="clear" w:pos="0"/>
      </w:tabs>
      <w:spacing w:beforeLines="0" w:afterLines="0" w:line="500" w:lineRule="exact"/>
      <w:ind w:firstLine="200" w:firstLineChars="200"/>
      <w:jc w:val="center"/>
      <w:outlineLvl w:val="9"/>
    </w:pPr>
    <w:rPr>
      <w:rFonts w:ascii="Arial" w:hAnsi="Arial" w:eastAsia="华文中宋"/>
      <w:bCs w:val="0"/>
      <w:snapToGrid/>
      <w:sz w:val="72"/>
      <w:szCs w:val="28"/>
    </w:rPr>
  </w:style>
  <w:style w:type="paragraph" w:customStyle="1" w:styleId="1559">
    <w:name w:val="设计封面矿名魏体1"/>
    <w:basedOn w:val="1"/>
    <w:qFormat/>
    <w:uiPriority w:val="0"/>
    <w:pPr>
      <w:tabs>
        <w:tab w:val="left" w:pos="210"/>
      </w:tabs>
      <w:autoSpaceDE w:val="0"/>
      <w:autoSpaceDN w:val="0"/>
      <w:adjustRightInd/>
      <w:snapToGrid/>
      <w:spacing w:line="500" w:lineRule="exact"/>
      <w:ind w:firstLine="0" w:firstLineChars="0"/>
      <w:jc w:val="center"/>
    </w:pPr>
    <w:rPr>
      <w:rFonts w:eastAsia="华文新魏"/>
      <w:bCs/>
      <w:sz w:val="52"/>
      <w:szCs w:val="28"/>
    </w:rPr>
  </w:style>
  <w:style w:type="paragraph" w:customStyle="1" w:styleId="1560">
    <w:name w:val="设计封面日期中宋2"/>
    <w:basedOn w:val="1"/>
    <w:next w:val="1"/>
    <w:qFormat/>
    <w:uiPriority w:val="0"/>
    <w:pPr>
      <w:tabs>
        <w:tab w:val="left" w:pos="210"/>
      </w:tabs>
      <w:adjustRightInd/>
      <w:spacing w:line="360" w:lineRule="auto"/>
      <w:ind w:firstLine="0" w:firstLineChars="0"/>
      <w:jc w:val="center"/>
    </w:pPr>
    <w:rPr>
      <w:rFonts w:ascii="宋体" w:hAnsi="宋体"/>
      <w:b/>
      <w:bCs/>
      <w:spacing w:val="60"/>
      <w:sz w:val="44"/>
      <w:szCs w:val="28"/>
    </w:rPr>
  </w:style>
  <w:style w:type="paragraph" w:customStyle="1" w:styleId="1561">
    <w:name w:val="设计著录宋2"/>
    <w:basedOn w:val="1560"/>
    <w:next w:val="1"/>
    <w:qFormat/>
    <w:uiPriority w:val="0"/>
    <w:pPr>
      <w:adjustRightInd w:val="0"/>
      <w:ind w:firstLine="300" w:firstLineChars="300"/>
      <w:jc w:val="both"/>
    </w:pPr>
    <w:rPr>
      <w:rFonts w:ascii="Times New Roman" w:hAnsi="Times New Roman" w:eastAsia="华文中宋"/>
      <w:kern w:val="4"/>
    </w:rPr>
  </w:style>
  <w:style w:type="paragraph" w:customStyle="1" w:styleId="1562">
    <w:name w:val="样式 标题 2 + 宋体 四号 首行缩进:  0.99 厘米"/>
    <w:basedOn w:val="4"/>
    <w:next w:val="1"/>
    <w:semiHidden/>
    <w:qFormat/>
    <w:uiPriority w:val="0"/>
    <w:pPr>
      <w:keepNext/>
      <w:keepLines/>
      <w:widowControl w:val="0"/>
      <w:tabs>
        <w:tab w:val="left" w:pos="210"/>
        <w:tab w:val="clear" w:pos="0"/>
      </w:tabs>
      <w:spacing w:beforeLines="0" w:afterLines="0" w:line="500" w:lineRule="exact"/>
      <w:ind w:firstLine="561" w:firstLineChars="200"/>
      <w:jc w:val="both"/>
    </w:pPr>
    <w:rPr>
      <w:rFonts w:ascii="宋体" w:hAnsi="宋体"/>
      <w:bCs w:val="0"/>
      <w:snapToGrid/>
      <w:szCs w:val="28"/>
    </w:rPr>
  </w:style>
  <w:style w:type="paragraph" w:customStyle="1" w:styleId="1563">
    <w:name w:val="样式 目录 1 + 首行缩进:  2 字符"/>
    <w:basedOn w:val="1"/>
    <w:next w:val="1"/>
    <w:qFormat/>
    <w:uiPriority w:val="0"/>
    <w:pPr>
      <w:tabs>
        <w:tab w:val="left" w:pos="210"/>
      </w:tabs>
      <w:snapToGrid/>
      <w:spacing w:line="360" w:lineRule="exact"/>
    </w:pPr>
    <w:rPr>
      <w:rFonts w:ascii="宋体" w:hAnsi="宋体" w:cs="宋体"/>
      <w:b/>
      <w:bCs/>
      <w:sz w:val="24"/>
      <w:szCs w:val="28"/>
    </w:rPr>
  </w:style>
  <w:style w:type="paragraph" w:customStyle="1" w:styleId="1564">
    <w:name w:val="样式 标题 1 + 首行缩进:  2.7 厘米"/>
    <w:basedOn w:val="3"/>
    <w:qFormat/>
    <w:uiPriority w:val="0"/>
    <w:pPr>
      <w:keepNext/>
      <w:keepLines/>
      <w:widowControl w:val="0"/>
      <w:numPr>
        <w:numId w:val="0"/>
      </w:numPr>
      <w:tabs>
        <w:tab w:val="left" w:pos="210"/>
        <w:tab w:val="clear" w:pos="0"/>
      </w:tabs>
      <w:adjustRightInd/>
      <w:snapToGrid/>
      <w:spacing w:beforeLines="0" w:afterLines="0" w:line="600" w:lineRule="exact"/>
      <w:ind w:firstLine="200" w:firstLineChars="200"/>
    </w:pPr>
    <w:rPr>
      <w:rFonts w:ascii="宋体" w:hAnsi="宋体" w:cs="宋体"/>
      <w:bCs w:val="0"/>
      <w:snapToGrid/>
      <w:color w:val="FF0000"/>
      <w:sz w:val="30"/>
      <w:szCs w:val="20"/>
    </w:rPr>
  </w:style>
  <w:style w:type="paragraph" w:customStyle="1" w:styleId="1565">
    <w:name w:val="标题 1红4号"/>
    <w:basedOn w:val="3"/>
    <w:qFormat/>
    <w:uiPriority w:val="0"/>
    <w:pPr>
      <w:keepNext/>
      <w:keepLines/>
      <w:widowControl w:val="0"/>
      <w:numPr>
        <w:numId w:val="0"/>
      </w:numPr>
      <w:shd w:val="clear" w:color="auto" w:fill="FFFFFF"/>
      <w:tabs>
        <w:tab w:val="left" w:pos="210"/>
        <w:tab w:val="clear" w:pos="0"/>
      </w:tabs>
      <w:kinsoku w:val="0"/>
      <w:overflowPunct w:val="0"/>
      <w:autoSpaceDE w:val="0"/>
      <w:autoSpaceDN w:val="0"/>
      <w:adjustRightInd/>
      <w:snapToGrid/>
      <w:spacing w:beforeLines="0" w:afterLines="0" w:line="240" w:lineRule="auto"/>
      <w:ind w:firstLine="200" w:firstLineChars="200"/>
    </w:pPr>
    <w:rPr>
      <w:rFonts w:ascii="宋体" w:hAnsi="宋体"/>
      <w:bCs w:val="0"/>
      <w:snapToGrid/>
      <w:color w:val="FF6600"/>
      <w:sz w:val="28"/>
      <w:szCs w:val="28"/>
    </w:rPr>
  </w:style>
  <w:style w:type="paragraph" w:customStyle="1" w:styleId="1566">
    <w:name w:val="标题 2 蓝四号"/>
    <w:basedOn w:val="4"/>
    <w:next w:val="1"/>
    <w:semiHidden/>
    <w:qFormat/>
    <w:uiPriority w:val="0"/>
    <w:pPr>
      <w:keepNext/>
      <w:keepLines/>
      <w:widowControl w:val="0"/>
      <w:shd w:val="clear" w:color="auto" w:fill="FFFFFF"/>
      <w:tabs>
        <w:tab w:val="left" w:pos="210"/>
        <w:tab w:val="clear" w:pos="0"/>
      </w:tabs>
      <w:kinsoku w:val="0"/>
      <w:overflowPunct w:val="0"/>
      <w:autoSpaceDE w:val="0"/>
      <w:autoSpaceDN w:val="0"/>
      <w:spacing w:beforeLines="0" w:afterLines="0" w:line="300" w:lineRule="exact"/>
      <w:jc w:val="both"/>
    </w:pPr>
    <w:rPr>
      <w:rFonts w:ascii="宋体" w:hAnsi="宋体"/>
      <w:bCs w:val="0"/>
      <w:snapToGrid/>
      <w:color w:val="0000FF"/>
      <w:sz w:val="24"/>
      <w:szCs w:val="24"/>
    </w:rPr>
  </w:style>
  <w:style w:type="paragraph" w:customStyle="1" w:styleId="1567">
    <w:name w:val="样式 居中 首行缩进:  0 厘米"/>
    <w:basedOn w:val="1"/>
    <w:qFormat/>
    <w:uiPriority w:val="0"/>
    <w:pPr>
      <w:spacing w:line="500" w:lineRule="exact"/>
      <w:ind w:firstLine="0" w:firstLineChars="0"/>
      <w:jc w:val="center"/>
    </w:pPr>
    <w:rPr>
      <w:rFonts w:ascii="宋体" w:hAnsi="宋体" w:cs="宋体"/>
      <w:sz w:val="28"/>
      <w:szCs w:val="20"/>
    </w:rPr>
  </w:style>
  <w:style w:type="paragraph" w:customStyle="1" w:styleId="1568">
    <w:name w:val="样式 样式 标题 2 + 首行缩进:  2 字符 + 首行缩进:  2 字符"/>
    <w:basedOn w:val="1016"/>
    <w:qFormat/>
    <w:uiPriority w:val="0"/>
    <w:pPr>
      <w:snapToGrid/>
      <w:spacing w:line="560" w:lineRule="exact"/>
      <w:ind w:firstLine="200" w:firstLineChars="200"/>
      <w:jc w:val="both"/>
    </w:pPr>
    <w:rPr>
      <w:rFonts w:ascii="楷体_GB2312" w:hAnsi="Arial"/>
      <w:bCs/>
      <w:sz w:val="28"/>
    </w:rPr>
  </w:style>
  <w:style w:type="paragraph" w:customStyle="1" w:styleId="1569">
    <w:name w:val="样式 样式 标题 2 + 首行缩进:  2 字符 + 段前: 0 磅 段后: 0 磅"/>
    <w:basedOn w:val="1016"/>
    <w:qFormat/>
    <w:uiPriority w:val="0"/>
    <w:pPr>
      <w:snapToGrid/>
      <w:spacing w:line="500" w:lineRule="exact"/>
      <w:ind w:firstLine="562" w:firstLineChars="200"/>
    </w:pPr>
    <w:rPr>
      <w:rFonts w:ascii="Arial" w:hAnsi="Arial"/>
      <w:bCs/>
      <w:sz w:val="28"/>
    </w:rPr>
  </w:style>
  <w:style w:type="paragraph" w:customStyle="1" w:styleId="1570">
    <w:name w:val="0001"/>
    <w:basedOn w:val="3"/>
    <w:qFormat/>
    <w:uiPriority w:val="0"/>
    <w:pPr>
      <w:keepNext/>
      <w:keepLines/>
      <w:pageBreakBefore/>
      <w:numPr>
        <w:ilvl w:val="0"/>
        <w:numId w:val="0"/>
      </w:numPr>
      <w:tabs>
        <w:tab w:val="clear" w:pos="0"/>
      </w:tabs>
      <w:adjustRightInd/>
      <w:snapToGrid/>
      <w:spacing w:beforeLines="200" w:afterLines="0" w:line="360" w:lineRule="auto"/>
    </w:pPr>
    <w:rPr>
      <w:rFonts w:ascii="宋体"/>
      <w:bCs w:val="0"/>
      <w:snapToGrid/>
      <w:kern w:val="0"/>
      <w:sz w:val="36"/>
      <w:szCs w:val="20"/>
    </w:rPr>
  </w:style>
  <w:style w:type="paragraph" w:customStyle="1" w:styleId="1571">
    <w:name w:val="0003"/>
    <w:basedOn w:val="5"/>
    <w:qFormat/>
    <w:uiPriority w:val="0"/>
    <w:pPr>
      <w:widowControl w:val="0"/>
      <w:tabs>
        <w:tab w:val="left" w:pos="1260"/>
        <w:tab w:val="clear" w:pos="0"/>
      </w:tabs>
      <w:adjustRightInd/>
      <w:snapToGrid/>
      <w:spacing w:beforeLines="100"/>
      <w:ind w:firstLine="200"/>
    </w:pPr>
    <w:rPr>
      <w:rFonts w:ascii="宋体"/>
      <w:snapToGrid/>
      <w:kern w:val="0"/>
    </w:rPr>
  </w:style>
  <w:style w:type="paragraph" w:customStyle="1" w:styleId="1572">
    <w:name w:val="0004正文"/>
    <w:basedOn w:val="1"/>
    <w:qFormat/>
    <w:uiPriority w:val="0"/>
    <w:pPr>
      <w:widowControl/>
      <w:autoSpaceDE w:val="0"/>
      <w:autoSpaceDN w:val="0"/>
      <w:snapToGrid/>
      <w:spacing w:line="500" w:lineRule="exact"/>
      <w:ind w:firstLine="0" w:firstLineChars="0"/>
      <w:jc w:val="both"/>
    </w:pPr>
    <w:rPr>
      <w:rFonts w:ascii="宋体" w:hAnsi="宋体"/>
      <w:sz w:val="28"/>
      <w:szCs w:val="28"/>
    </w:rPr>
  </w:style>
  <w:style w:type="paragraph" w:customStyle="1" w:styleId="1573">
    <w:name w:val="样式 0004正文 + 首行缩进:  2 字符"/>
    <w:basedOn w:val="1572"/>
    <w:qFormat/>
    <w:uiPriority w:val="0"/>
    <w:pPr>
      <w:spacing w:afterLines="20"/>
      <w:ind w:firstLine="560"/>
    </w:pPr>
    <w:rPr>
      <w:rFonts w:cs="宋体"/>
      <w:szCs w:val="20"/>
    </w:rPr>
  </w:style>
  <w:style w:type="paragraph" w:customStyle="1" w:styleId="1574">
    <w:name w:val="样式 0005左缩2 + 首行缩进:  2 字符 段后: 0.3 行"/>
    <w:basedOn w:val="1527"/>
    <w:qFormat/>
    <w:uiPriority w:val="0"/>
    <w:pPr>
      <w:ind w:firstLine="560"/>
    </w:pPr>
    <w:rPr>
      <w:rFonts w:cs="宋体"/>
      <w:szCs w:val="20"/>
    </w:rPr>
  </w:style>
  <w:style w:type="paragraph" w:customStyle="1" w:styleId="1575">
    <w:name w:val="0006"/>
    <w:basedOn w:val="1572"/>
    <w:qFormat/>
    <w:uiPriority w:val="0"/>
    <w:pPr>
      <w:snapToGrid w:val="0"/>
      <w:spacing w:afterLines="50"/>
    </w:pPr>
    <w:rPr>
      <w:b/>
      <w:bCs/>
      <w:kern w:val="0"/>
      <w:lang w:val="zh-CN"/>
    </w:rPr>
  </w:style>
  <w:style w:type="paragraph" w:customStyle="1" w:styleId="1576">
    <w:name w:val="0007小四 居中"/>
    <w:basedOn w:val="1572"/>
    <w:qFormat/>
    <w:uiPriority w:val="0"/>
    <w:pPr>
      <w:jc w:val="center"/>
    </w:pPr>
    <w:rPr>
      <w:sz w:val="24"/>
      <w:szCs w:val="24"/>
    </w:rPr>
  </w:style>
  <w:style w:type="character" w:customStyle="1" w:styleId="1577">
    <w:name w:val="左2 Char"/>
    <w:link w:val="1578"/>
    <w:qFormat/>
    <w:locked/>
    <w:uiPriority w:val="0"/>
    <w:rPr>
      <w:rFonts w:ascii="宋体" w:hAnsi="宋体"/>
      <w:sz w:val="28"/>
      <w:szCs w:val="28"/>
    </w:rPr>
  </w:style>
  <w:style w:type="paragraph" w:customStyle="1" w:styleId="1578">
    <w:name w:val="左2"/>
    <w:basedOn w:val="1"/>
    <w:next w:val="1"/>
    <w:link w:val="1577"/>
    <w:qFormat/>
    <w:uiPriority w:val="0"/>
    <w:pPr>
      <w:adjustRightInd/>
      <w:snapToGrid/>
      <w:spacing w:line="500" w:lineRule="exact"/>
      <w:ind w:firstLine="560"/>
      <w:jc w:val="both"/>
    </w:pPr>
    <w:rPr>
      <w:rFonts w:ascii="宋体" w:hAnsi="宋体"/>
      <w:kern w:val="0"/>
      <w:sz w:val="28"/>
      <w:szCs w:val="28"/>
    </w:rPr>
  </w:style>
  <w:style w:type="paragraph" w:customStyle="1" w:styleId="1579">
    <w:name w:val="正文小四缩"/>
    <w:basedOn w:val="1"/>
    <w:qFormat/>
    <w:uiPriority w:val="0"/>
    <w:pPr>
      <w:widowControl/>
      <w:snapToGrid/>
      <w:spacing w:before="120" w:line="420" w:lineRule="atLeast"/>
      <w:ind w:firstLine="510" w:firstLineChars="0"/>
    </w:pPr>
    <w:rPr>
      <w:rFonts w:ascii="宋体"/>
      <w:bCs/>
      <w:kern w:val="0"/>
      <w:sz w:val="24"/>
      <w:szCs w:val="20"/>
      <w:lang w:eastAsia="en-US" w:bidi="en-US"/>
    </w:rPr>
  </w:style>
  <w:style w:type="paragraph" w:customStyle="1" w:styleId="1580">
    <w:name w:val="样式 加粗 左侧:  0.32 厘米"/>
    <w:basedOn w:val="1"/>
    <w:qFormat/>
    <w:uiPriority w:val="0"/>
    <w:pPr>
      <w:adjustRightInd/>
      <w:snapToGrid/>
      <w:spacing w:line="500" w:lineRule="exact"/>
      <w:ind w:left="180" w:firstLine="0" w:firstLineChars="0"/>
      <w:jc w:val="both"/>
    </w:pPr>
    <w:rPr>
      <w:rFonts w:cs="宋体"/>
      <w:b/>
      <w:bCs/>
      <w:sz w:val="28"/>
      <w:szCs w:val="20"/>
    </w:rPr>
  </w:style>
  <w:style w:type="paragraph" w:customStyle="1" w:styleId="1581">
    <w:name w:val="缩2"/>
    <w:basedOn w:val="1"/>
    <w:qFormat/>
    <w:uiPriority w:val="0"/>
    <w:pPr>
      <w:adjustRightInd/>
      <w:snapToGrid/>
      <w:spacing w:line="500" w:lineRule="exact"/>
      <w:ind w:firstLine="560"/>
      <w:jc w:val="both"/>
    </w:pPr>
    <w:rPr>
      <w:sz w:val="28"/>
      <w:szCs w:val="24"/>
    </w:rPr>
  </w:style>
  <w:style w:type="paragraph" w:customStyle="1" w:styleId="1582">
    <w:name w:val="样式 标题 21.1标题 2 + 首行缩进:  2 字符"/>
    <w:basedOn w:val="4"/>
    <w:qFormat/>
    <w:uiPriority w:val="0"/>
    <w:pPr>
      <w:keepNext/>
      <w:keepLines/>
      <w:widowControl w:val="0"/>
      <w:tabs>
        <w:tab w:val="clear" w:pos="0"/>
      </w:tabs>
      <w:spacing w:beforeLines="0" w:afterLines="0" w:line="500" w:lineRule="exact"/>
      <w:ind w:firstLine="602" w:firstLineChars="200"/>
    </w:pPr>
    <w:rPr>
      <w:rFonts w:ascii="宋体" w:hAnsi="宋体" w:cs="宋体"/>
      <w:snapToGrid/>
      <w:kern w:val="44"/>
      <w:szCs w:val="30"/>
    </w:rPr>
  </w:style>
  <w:style w:type="paragraph" w:customStyle="1" w:styleId="1583">
    <w:name w:val="样式6 正文"/>
    <w:qFormat/>
    <w:uiPriority w:val="0"/>
    <w:pPr>
      <w:widowControl w:val="0"/>
      <w:spacing w:beforeLines="50" w:line="500" w:lineRule="exact"/>
      <w:ind w:firstLine="560" w:firstLineChars="200"/>
      <w:jc w:val="both"/>
    </w:pPr>
    <w:rPr>
      <w:rFonts w:ascii="仿宋_GB2312" w:hAnsi="Times New Roman" w:eastAsia="仿宋_GB2312" w:cs="Times New Roman"/>
      <w:sz w:val="28"/>
      <w:szCs w:val="28"/>
      <w:lang w:val="en-US" w:eastAsia="zh-CN" w:bidi="ar-SA"/>
    </w:rPr>
  </w:style>
  <w:style w:type="character" w:customStyle="1" w:styleId="1584">
    <w:name w:val="Char Char11"/>
    <w:qFormat/>
    <w:uiPriority w:val="0"/>
    <w:rPr>
      <w:rFonts w:hint="eastAsia" w:ascii="黑体" w:eastAsia="黑体"/>
      <w:bCs/>
      <w:kern w:val="2"/>
      <w:sz w:val="28"/>
      <w:szCs w:val="21"/>
    </w:rPr>
  </w:style>
  <w:style w:type="character" w:customStyle="1" w:styleId="1585">
    <w:name w:val="Char Char15"/>
    <w:qFormat/>
    <w:uiPriority w:val="0"/>
    <w:rPr>
      <w:rFonts w:hint="eastAsia" w:ascii="宋体" w:hAnsi="宋体" w:eastAsia="宋体"/>
      <w:b/>
      <w:kern w:val="2"/>
      <w:sz w:val="28"/>
      <w:szCs w:val="28"/>
      <w:lang w:val="en-US" w:eastAsia="zh-CN" w:bidi="ar-SA"/>
    </w:rPr>
  </w:style>
  <w:style w:type="character" w:customStyle="1" w:styleId="1586">
    <w:name w:val="标题 11 Char"/>
    <w:qFormat/>
    <w:uiPriority w:val="0"/>
    <w:rPr>
      <w:rFonts w:hint="eastAsia" w:ascii="宋体" w:hAnsi="宋体" w:eastAsia="宋体" w:cs="Times New Roman"/>
      <w:kern w:val="44"/>
      <w:sz w:val="32"/>
      <w:szCs w:val="32"/>
    </w:rPr>
  </w:style>
  <w:style w:type="character" w:customStyle="1" w:styleId="1587">
    <w:name w:val="1.1.1标题 3 Char Char"/>
    <w:qFormat/>
    <w:uiPriority w:val="0"/>
    <w:rPr>
      <w:rFonts w:hint="default" w:ascii="Arial" w:hAnsi="Arial" w:eastAsia="宋体" w:cs="Times New Roman"/>
      <w:b/>
      <w:kern w:val="44"/>
      <w:sz w:val="30"/>
      <w:szCs w:val="20"/>
    </w:rPr>
  </w:style>
  <w:style w:type="character" w:customStyle="1" w:styleId="1588">
    <w:name w:val="1.1标题 2 Char Char"/>
    <w:qFormat/>
    <w:uiPriority w:val="0"/>
    <w:rPr>
      <w:rFonts w:hint="default" w:ascii="Arial" w:hAnsi="Arial" w:eastAsia="宋体" w:cs="Times New Roman"/>
      <w:b/>
      <w:kern w:val="44"/>
      <w:sz w:val="28"/>
      <w:szCs w:val="20"/>
    </w:rPr>
  </w:style>
  <w:style w:type="paragraph" w:customStyle="1" w:styleId="1589">
    <w:name w:val="设计封面编号宋2"/>
    <w:basedOn w:val="1559"/>
    <w:next w:val="1558"/>
    <w:qFormat/>
    <w:uiPriority w:val="0"/>
    <w:rPr>
      <w:rFonts w:eastAsia="宋体"/>
      <w:sz w:val="44"/>
    </w:rPr>
  </w:style>
  <w:style w:type="paragraph" w:customStyle="1" w:styleId="1590">
    <w:name w:val="标题 1红4号1"/>
    <w:basedOn w:val="3"/>
    <w:qFormat/>
    <w:uiPriority w:val="0"/>
    <w:pPr>
      <w:keepNext/>
      <w:keepLines/>
      <w:widowControl w:val="0"/>
      <w:numPr>
        <w:numId w:val="0"/>
      </w:numPr>
      <w:shd w:val="clear" w:color="auto" w:fill="FFFFFF"/>
      <w:tabs>
        <w:tab w:val="left" w:pos="210"/>
        <w:tab w:val="clear" w:pos="0"/>
      </w:tabs>
      <w:kinsoku w:val="0"/>
      <w:overflowPunct w:val="0"/>
      <w:autoSpaceDE w:val="0"/>
      <w:autoSpaceDN w:val="0"/>
      <w:adjustRightInd/>
      <w:snapToGrid/>
      <w:spacing w:beforeLines="0" w:afterLines="0" w:line="240" w:lineRule="auto"/>
      <w:ind w:firstLine="200" w:firstLineChars="200"/>
    </w:pPr>
    <w:rPr>
      <w:rFonts w:ascii="宋体" w:hAnsi="宋体"/>
      <w:bCs w:val="0"/>
      <w:snapToGrid/>
      <w:color w:val="FF6600"/>
      <w:sz w:val="28"/>
      <w:szCs w:val="28"/>
    </w:rPr>
  </w:style>
  <w:style w:type="paragraph" w:customStyle="1" w:styleId="1591">
    <w:name w:val="标题 2 蓝四号1"/>
    <w:basedOn w:val="4"/>
    <w:next w:val="1"/>
    <w:semiHidden/>
    <w:qFormat/>
    <w:uiPriority w:val="0"/>
    <w:pPr>
      <w:keepNext/>
      <w:keepLines/>
      <w:widowControl w:val="0"/>
      <w:shd w:val="clear" w:color="auto" w:fill="FFFFFF"/>
      <w:tabs>
        <w:tab w:val="left" w:pos="210"/>
        <w:tab w:val="clear" w:pos="0"/>
      </w:tabs>
      <w:kinsoku w:val="0"/>
      <w:overflowPunct w:val="0"/>
      <w:autoSpaceDE w:val="0"/>
      <w:autoSpaceDN w:val="0"/>
      <w:spacing w:beforeLines="0" w:afterLines="0" w:line="300" w:lineRule="exact"/>
      <w:jc w:val="both"/>
    </w:pPr>
    <w:rPr>
      <w:rFonts w:ascii="宋体" w:hAnsi="宋体"/>
      <w:bCs w:val="0"/>
      <w:snapToGrid/>
      <w:color w:val="0000FF"/>
      <w:sz w:val="24"/>
      <w:szCs w:val="24"/>
    </w:rPr>
  </w:style>
  <w:style w:type="character" w:customStyle="1" w:styleId="1592">
    <w:name w:val="bold121"/>
    <w:qFormat/>
    <w:uiPriority w:val="0"/>
    <w:rPr>
      <w:b/>
      <w:bCs/>
      <w:sz w:val="18"/>
      <w:szCs w:val="18"/>
    </w:rPr>
  </w:style>
  <w:style w:type="paragraph" w:customStyle="1" w:styleId="1593">
    <w:name w:val="报告书"/>
    <w:basedOn w:val="1"/>
    <w:qFormat/>
    <w:uiPriority w:val="0"/>
    <w:pPr>
      <w:autoSpaceDE w:val="0"/>
      <w:autoSpaceDN w:val="0"/>
      <w:snapToGrid/>
      <w:spacing w:line="360" w:lineRule="auto"/>
      <w:ind w:firstLine="505" w:firstLineChars="0"/>
      <w:textAlignment w:val="bottom"/>
    </w:pPr>
    <w:rPr>
      <w:kern w:val="0"/>
      <w:sz w:val="24"/>
      <w:szCs w:val="20"/>
    </w:rPr>
  </w:style>
  <w:style w:type="character" w:customStyle="1" w:styleId="1594">
    <w:name w:val="上标"/>
    <w:qFormat/>
    <w:uiPriority w:val="0"/>
    <w:rPr>
      <w:vertAlign w:val="superscript"/>
    </w:rPr>
  </w:style>
  <w:style w:type="paragraph" w:customStyle="1" w:styleId="1595">
    <w:name w:val="样式 标题 3标题3小标题1.1.1标题 3 + 段后: 4 磅"/>
    <w:basedOn w:val="5"/>
    <w:qFormat/>
    <w:uiPriority w:val="0"/>
    <w:pPr>
      <w:keepNext/>
      <w:keepLines/>
      <w:tabs>
        <w:tab w:val="left" w:pos="1260"/>
        <w:tab w:val="clear" w:pos="0"/>
      </w:tabs>
      <w:adjustRightInd/>
      <w:snapToGrid/>
      <w:spacing w:after="80"/>
      <w:ind w:left="720" w:hanging="432"/>
    </w:pPr>
    <w:rPr>
      <w:rFonts w:eastAsia="黑体" w:cs="宋体"/>
      <w:b w:val="0"/>
      <w:bCs/>
      <w:snapToGrid/>
      <w:spacing w:val="-5"/>
      <w:kern w:val="28"/>
      <w:szCs w:val="20"/>
    </w:rPr>
  </w:style>
  <w:style w:type="paragraph" w:customStyle="1" w:styleId="1596">
    <w:name w:val="蒲表头"/>
    <w:basedOn w:val="1"/>
    <w:qFormat/>
    <w:uiPriority w:val="0"/>
    <w:pPr>
      <w:spacing w:line="240" w:lineRule="auto"/>
      <w:ind w:firstLine="0" w:firstLineChars="0"/>
      <w:jc w:val="center"/>
    </w:pPr>
    <w:rPr>
      <w:color w:val="0000FF"/>
      <w:sz w:val="21"/>
      <w:szCs w:val="21"/>
    </w:rPr>
  </w:style>
  <w:style w:type="paragraph" w:customStyle="1" w:styleId="1597">
    <w:name w:val="样式 首行缩进:  1.01 厘米"/>
    <w:basedOn w:val="1"/>
    <w:qFormat/>
    <w:uiPriority w:val="0"/>
    <w:pPr>
      <w:adjustRightInd/>
      <w:snapToGrid/>
      <w:spacing w:line="500" w:lineRule="exact"/>
      <w:ind w:firstLine="570" w:firstLineChars="0"/>
      <w:jc w:val="both"/>
    </w:pPr>
    <w:rPr>
      <w:rFonts w:cs="宋体"/>
      <w:kern w:val="28"/>
      <w:sz w:val="28"/>
      <w:szCs w:val="20"/>
    </w:rPr>
  </w:style>
  <w:style w:type="paragraph" w:customStyle="1" w:styleId="1598">
    <w:name w:val="3标题(治)"/>
    <w:basedOn w:val="5"/>
    <w:link w:val="1599"/>
    <w:qFormat/>
    <w:uiPriority w:val="0"/>
    <w:pPr>
      <w:keepNext/>
      <w:keepLines/>
      <w:widowControl w:val="0"/>
      <w:tabs>
        <w:tab w:val="left" w:pos="1260"/>
        <w:tab w:val="clear" w:pos="0"/>
      </w:tabs>
      <w:adjustRightInd/>
      <w:snapToGrid/>
      <w:spacing w:beforeLines="50" w:afterLines="50"/>
      <w:ind w:firstLine="200"/>
      <w:textAlignment w:val="baseline"/>
    </w:pPr>
    <w:rPr>
      <w:snapToGrid/>
      <w:szCs w:val="28"/>
    </w:rPr>
  </w:style>
  <w:style w:type="character" w:customStyle="1" w:styleId="1599">
    <w:name w:val="3标题(治) Char"/>
    <w:link w:val="1598"/>
    <w:qFormat/>
    <w:uiPriority w:val="0"/>
    <w:rPr>
      <w:rFonts w:ascii="Times New Roman" w:hAnsi="Times New Roman"/>
      <w:b/>
      <w:bCs/>
      <w:kern w:val="2"/>
      <w:sz w:val="28"/>
      <w:szCs w:val="28"/>
    </w:rPr>
  </w:style>
  <w:style w:type="paragraph" w:customStyle="1" w:styleId="1600">
    <w:name w:val="蒲标题1"/>
    <w:basedOn w:val="3"/>
    <w:qFormat/>
    <w:uiPriority w:val="0"/>
    <w:pPr>
      <w:keepNext/>
      <w:keepLines/>
      <w:widowControl w:val="0"/>
      <w:numPr>
        <w:numId w:val="0"/>
      </w:numPr>
      <w:tabs>
        <w:tab w:val="clear" w:pos="0"/>
      </w:tabs>
      <w:adjustRightInd/>
      <w:snapToGrid/>
      <w:spacing w:beforeLines="0" w:afterLines="0" w:line="360" w:lineRule="auto"/>
      <w:jc w:val="both"/>
    </w:pPr>
    <w:rPr>
      <w:snapToGrid/>
      <w:kern w:val="2"/>
      <w:sz w:val="32"/>
      <w:szCs w:val="32"/>
    </w:rPr>
  </w:style>
  <w:style w:type="paragraph" w:customStyle="1" w:styleId="1601">
    <w:name w:val="蒲标题3"/>
    <w:basedOn w:val="5"/>
    <w:link w:val="1602"/>
    <w:qFormat/>
    <w:uiPriority w:val="0"/>
    <w:pPr>
      <w:keepNext/>
      <w:keepLines/>
      <w:widowControl w:val="0"/>
      <w:tabs>
        <w:tab w:val="left" w:pos="1260"/>
        <w:tab w:val="clear" w:pos="0"/>
      </w:tabs>
      <w:autoSpaceDE w:val="0"/>
      <w:autoSpaceDN w:val="0"/>
      <w:ind w:firstLine="200"/>
      <w:outlineLvl w:val="0"/>
    </w:pPr>
    <w:rPr>
      <w:snapToGrid/>
      <w:color w:val="000000"/>
      <w:szCs w:val="24"/>
    </w:rPr>
  </w:style>
  <w:style w:type="character" w:customStyle="1" w:styleId="1602">
    <w:name w:val="蒲标题3 Char"/>
    <w:link w:val="1601"/>
    <w:qFormat/>
    <w:uiPriority w:val="0"/>
    <w:rPr>
      <w:rFonts w:ascii="Times New Roman" w:hAnsi="Times New Roman"/>
      <w:b/>
      <w:bCs/>
      <w:color w:val="000000"/>
      <w:kern w:val="2"/>
      <w:sz w:val="24"/>
      <w:szCs w:val="24"/>
    </w:rPr>
  </w:style>
  <w:style w:type="character" w:customStyle="1" w:styleId="1603">
    <w:name w:val="蒲正文 Char"/>
    <w:link w:val="413"/>
    <w:qFormat/>
    <w:uiPriority w:val="0"/>
    <w:rPr>
      <w:rFonts w:ascii="宋体" w:hAnsi="宋体"/>
      <w:b/>
      <w:sz w:val="24"/>
      <w:szCs w:val="24"/>
    </w:rPr>
  </w:style>
  <w:style w:type="paragraph" w:customStyle="1" w:styleId="1604">
    <w:name w:val="7表格(治)"/>
    <w:qFormat/>
    <w:uiPriority w:val="0"/>
    <w:pPr>
      <w:jc w:val="center"/>
    </w:pPr>
    <w:rPr>
      <w:rFonts w:ascii="宋体" w:hAnsi="宋体" w:eastAsia="宋体" w:cs="Times New Roman"/>
      <w:color w:val="0000FF"/>
      <w:sz w:val="21"/>
      <w:lang w:val="en-US" w:eastAsia="zh-CN" w:bidi="ar-SA"/>
    </w:rPr>
  </w:style>
  <w:style w:type="paragraph" w:customStyle="1" w:styleId="1605">
    <w:name w:val="6表(图)头(治)"/>
    <w:next w:val="1"/>
    <w:qFormat/>
    <w:uiPriority w:val="0"/>
    <w:pPr>
      <w:widowControl w:val="0"/>
      <w:adjustRightInd w:val="0"/>
      <w:snapToGrid w:val="0"/>
      <w:jc w:val="center"/>
    </w:pPr>
    <w:rPr>
      <w:rFonts w:ascii="Times New Roman" w:hAnsi="宋体" w:eastAsia="宋体" w:cs="Times New Roman"/>
      <w:sz w:val="21"/>
      <w:szCs w:val="21"/>
      <w:lang w:val="en-US" w:eastAsia="zh-CN" w:bidi="ar-SA"/>
    </w:rPr>
  </w:style>
  <w:style w:type="paragraph" w:customStyle="1" w:styleId="1606">
    <w:name w:val="1表格头"/>
    <w:basedOn w:val="1213"/>
    <w:qFormat/>
    <w:uiPriority w:val="0"/>
    <w:pPr>
      <w:spacing w:line="160" w:lineRule="atLeast"/>
      <w:jc w:val="both"/>
      <w:outlineLvl w:val="9"/>
    </w:pPr>
    <w:rPr>
      <w:b/>
      <w:color w:val="000000"/>
      <w:spacing w:val="0"/>
      <w:sz w:val="24"/>
    </w:rPr>
  </w:style>
  <w:style w:type="paragraph" w:customStyle="1" w:styleId="1607">
    <w:name w:val="a9"/>
    <w:basedOn w:val="1"/>
    <w:qFormat/>
    <w:uiPriority w:val="0"/>
    <w:pPr>
      <w:widowControl/>
      <w:snapToGrid/>
      <w:spacing w:before="100" w:beforeAutospacing="1" w:after="100" w:afterAutospacing="1" w:line="360" w:lineRule="atLeast"/>
      <w:ind w:firstLine="0" w:firstLineChars="0"/>
      <w:textAlignment w:val="baseline"/>
    </w:pPr>
    <w:rPr>
      <w:rFonts w:ascii="宋体" w:hAnsi="宋体"/>
      <w:color w:val="000000"/>
      <w:kern w:val="0"/>
      <w:sz w:val="24"/>
      <w:szCs w:val="20"/>
    </w:rPr>
  </w:style>
  <w:style w:type="character" w:customStyle="1" w:styleId="1608">
    <w:name w:val="infodetail"/>
    <w:basedOn w:val="132"/>
    <w:qFormat/>
    <w:uiPriority w:val="0"/>
  </w:style>
  <w:style w:type="paragraph" w:customStyle="1" w:styleId="1609">
    <w:name w:val="四级标题"/>
    <w:basedOn w:val="1"/>
    <w:qFormat/>
    <w:uiPriority w:val="2"/>
    <w:pPr>
      <w:spacing w:before="120" w:after="120" w:line="300" w:lineRule="auto"/>
      <w:ind w:firstLine="0" w:firstLineChars="0"/>
      <w:jc w:val="both"/>
      <w:outlineLvl w:val="3"/>
    </w:pPr>
    <w:rPr>
      <w:rFonts w:eastAsia="华文中宋"/>
      <w:sz w:val="28"/>
      <w:szCs w:val="24"/>
    </w:rPr>
  </w:style>
  <w:style w:type="paragraph" w:customStyle="1" w:styleId="1610">
    <w:name w:val="样式 样式 黑色 首行缩进:  2 字符 行距: 固定值 25 磅 + Times New Roman 首行缩进:  2 字符"/>
    <w:basedOn w:val="1"/>
    <w:qFormat/>
    <w:uiPriority w:val="0"/>
    <w:pPr>
      <w:adjustRightInd/>
      <w:snapToGrid/>
      <w:spacing w:line="580" w:lineRule="exact"/>
      <w:jc w:val="both"/>
    </w:pPr>
    <w:rPr>
      <w:rFonts w:eastAsia="仿宋_GB2312" w:cs="宋体"/>
      <w:b/>
      <w:bCs/>
      <w:color w:val="000000"/>
      <w:sz w:val="28"/>
      <w:szCs w:val="20"/>
    </w:rPr>
  </w:style>
  <w:style w:type="character" w:customStyle="1" w:styleId="1611">
    <w:name w:val="表号 Char1"/>
    <w:link w:val="392"/>
    <w:qFormat/>
    <w:uiPriority w:val="0"/>
    <w:rPr>
      <w:rFonts w:ascii="宋体" w:hAnsi="宋体"/>
      <w:color w:val="000000"/>
      <w:spacing w:val="6"/>
      <w:w w:val="95"/>
      <w:sz w:val="24"/>
      <w:szCs w:val="24"/>
    </w:rPr>
  </w:style>
  <w:style w:type="paragraph" w:customStyle="1" w:styleId="1612">
    <w:name w:val="样式 标题 4 + 黑色 首行缩进:  2 字符 段前: 7.5 磅 行距: 固定值 23 磅1"/>
    <w:basedOn w:val="6"/>
    <w:qFormat/>
    <w:uiPriority w:val="0"/>
    <w:pPr>
      <w:keepNext/>
      <w:keepLines/>
      <w:widowControl w:val="0"/>
      <w:numPr>
        <w:numId w:val="0"/>
      </w:numPr>
      <w:tabs>
        <w:tab w:val="left" w:pos="1680"/>
        <w:tab w:val="clear" w:pos="0"/>
      </w:tabs>
      <w:autoSpaceDE w:val="0"/>
      <w:autoSpaceDN w:val="0"/>
      <w:snapToGrid/>
      <w:spacing w:before="100" w:beforeAutospacing="1" w:after="290" w:line="440" w:lineRule="exact"/>
      <w:ind w:firstLine="480" w:firstLineChars="200"/>
      <w:jc w:val="both"/>
    </w:pPr>
    <w:rPr>
      <w:rFonts w:eastAsia="黑体"/>
      <w:snapToGrid/>
      <w:sz w:val="24"/>
      <w:szCs w:val="20"/>
    </w:rPr>
  </w:style>
  <w:style w:type="character" w:customStyle="1" w:styleId="1613">
    <w:name w:val="1.1标题2 Char Char"/>
    <w:qFormat/>
    <w:uiPriority w:val="0"/>
    <w:rPr>
      <w:rFonts w:ascii="Arial" w:hAnsi="Arial" w:eastAsia="黑体"/>
      <w:b/>
      <w:bCs/>
      <w:kern w:val="2"/>
      <w:sz w:val="32"/>
      <w:szCs w:val="32"/>
      <w:lang w:val="en-US" w:eastAsia="zh-CN" w:bidi="ar-SA"/>
    </w:rPr>
  </w:style>
  <w:style w:type="character" w:customStyle="1" w:styleId="1614">
    <w:name w:val="keywords"/>
    <w:qFormat/>
    <w:uiPriority w:val="0"/>
    <w:rPr>
      <w:b/>
      <w:bCs/>
      <w:color w:val="EE0033"/>
    </w:rPr>
  </w:style>
  <w:style w:type="character" w:customStyle="1" w:styleId="1615">
    <w:name w:val="copyright1"/>
    <w:qFormat/>
    <w:uiPriority w:val="0"/>
    <w:rPr>
      <w:rFonts w:hint="default"/>
      <w:color w:val="000000"/>
    </w:rPr>
  </w:style>
  <w:style w:type="paragraph" w:customStyle="1" w:styleId="1616">
    <w:name w:val="分目录2"/>
    <w:basedOn w:val="1"/>
    <w:qFormat/>
    <w:uiPriority w:val="0"/>
    <w:pPr>
      <w:tabs>
        <w:tab w:val="right" w:leader="dot" w:pos="8304"/>
      </w:tabs>
      <w:spacing w:line="360" w:lineRule="auto"/>
      <w:ind w:firstLine="560"/>
      <w:jc w:val="both"/>
    </w:pPr>
    <w:rPr>
      <w:kern w:val="0"/>
      <w:sz w:val="28"/>
      <w:szCs w:val="28"/>
    </w:rPr>
  </w:style>
  <w:style w:type="character" w:customStyle="1" w:styleId="1617">
    <w:name w:val="Char Char23"/>
    <w:qFormat/>
    <w:uiPriority w:val="0"/>
    <w:rPr>
      <w:rFonts w:ascii="Arial Narrow" w:hAnsi="Arial Narrow" w:eastAsia="仿宋_GB2312"/>
      <w:kern w:val="2"/>
      <w:sz w:val="24"/>
      <w:szCs w:val="24"/>
      <w:lang w:val="en-US" w:eastAsia="zh-CN" w:bidi="ar-SA"/>
    </w:rPr>
  </w:style>
  <w:style w:type="character" w:customStyle="1" w:styleId="1618">
    <w:name w:val="Char Char27"/>
    <w:qFormat/>
    <w:uiPriority w:val="0"/>
    <w:rPr>
      <w:rFonts w:eastAsia="宋体"/>
      <w:bCs/>
      <w:color w:val="000000"/>
      <w:sz w:val="24"/>
      <w:szCs w:val="19"/>
      <w:lang w:val="en-US" w:eastAsia="zh-CN" w:bidi="ar-SA"/>
    </w:rPr>
  </w:style>
  <w:style w:type="character" w:customStyle="1" w:styleId="1619">
    <w:name w:val="Char Char32"/>
    <w:qFormat/>
    <w:uiPriority w:val="0"/>
    <w:rPr>
      <w:rFonts w:eastAsia="宋体"/>
      <w:color w:val="000000"/>
      <w:kern w:val="2"/>
      <w:sz w:val="24"/>
      <w:szCs w:val="24"/>
      <w:lang w:val="en-US" w:eastAsia="zh-CN" w:bidi="ar-SA"/>
    </w:rPr>
  </w:style>
  <w:style w:type="character" w:customStyle="1" w:styleId="1620">
    <w:name w:val="正文-ls Char Char"/>
    <w:qFormat/>
    <w:uiPriority w:val="0"/>
    <w:rPr>
      <w:rFonts w:hAnsi="宋体" w:eastAsia="宋体" w:cs="宋体"/>
      <w:kern w:val="2"/>
      <w:sz w:val="24"/>
      <w:lang w:val="en-US" w:eastAsia="zh-CN" w:bidi="ar-SA"/>
    </w:rPr>
  </w:style>
  <w:style w:type="character" w:customStyle="1" w:styleId="1621">
    <w:name w:val="Char Char34"/>
    <w:qFormat/>
    <w:uiPriority w:val="0"/>
    <w:rPr>
      <w:rFonts w:eastAsia="宋体"/>
      <w:kern w:val="2"/>
      <w:sz w:val="21"/>
      <w:szCs w:val="24"/>
      <w:lang w:val="en-US" w:eastAsia="zh-CN" w:bidi="ar-SA"/>
    </w:rPr>
  </w:style>
  <w:style w:type="paragraph" w:customStyle="1" w:styleId="1622">
    <w:name w:val="谢谢谢谢谢"/>
    <w:basedOn w:val="1"/>
    <w:link w:val="1623"/>
    <w:qFormat/>
    <w:uiPriority w:val="0"/>
    <w:pPr>
      <w:adjustRightInd/>
      <w:snapToGrid/>
      <w:spacing w:line="440" w:lineRule="exact"/>
    </w:pPr>
    <w:rPr>
      <w:sz w:val="24"/>
      <w:szCs w:val="24"/>
    </w:rPr>
  </w:style>
  <w:style w:type="character" w:customStyle="1" w:styleId="1623">
    <w:name w:val="谢谢谢谢谢 Char"/>
    <w:link w:val="1622"/>
    <w:qFormat/>
    <w:uiPriority w:val="0"/>
    <w:rPr>
      <w:rFonts w:ascii="Times New Roman" w:hAnsi="Times New Roman"/>
      <w:kern w:val="2"/>
      <w:sz w:val="24"/>
      <w:szCs w:val="24"/>
    </w:rPr>
  </w:style>
  <w:style w:type="paragraph" w:customStyle="1" w:styleId="1624">
    <w:name w:val="正文9"/>
    <w:basedOn w:val="1"/>
    <w:link w:val="1625"/>
    <w:qFormat/>
    <w:uiPriority w:val="0"/>
    <w:pPr>
      <w:snapToGrid/>
      <w:spacing w:before="120" w:line="315" w:lineRule="atLeast"/>
      <w:ind w:firstLine="0" w:firstLineChars="0"/>
      <w:textAlignment w:val="baseline"/>
    </w:pPr>
    <w:rPr>
      <w:rFonts w:ascii="宋体"/>
      <w:kern w:val="0"/>
      <w:sz w:val="24"/>
      <w:szCs w:val="20"/>
    </w:rPr>
  </w:style>
  <w:style w:type="character" w:customStyle="1" w:styleId="1625">
    <w:name w:val="正文 Char4"/>
    <w:link w:val="1624"/>
    <w:qFormat/>
    <w:uiPriority w:val="0"/>
    <w:rPr>
      <w:rFonts w:ascii="宋体" w:hAnsi="Times New Roman"/>
      <w:sz w:val="24"/>
    </w:rPr>
  </w:style>
  <w:style w:type="paragraph" w:customStyle="1" w:styleId="1626">
    <w:name w:val="13"/>
    <w:qFormat/>
    <w:uiPriority w:val="0"/>
    <w:pPr>
      <w:widowControl w:val="0"/>
      <w:jc w:val="both"/>
    </w:pPr>
    <w:rPr>
      <w:rFonts w:ascii="Times New Roman" w:hAnsi="Times New Roman" w:eastAsia="宋体" w:cs="Times New Roman"/>
      <w:color w:val="000000"/>
      <w:kern w:val="2"/>
      <w:sz w:val="24"/>
      <w:szCs w:val="24"/>
      <w:lang w:val="en-US" w:eastAsia="zh-CN" w:bidi="ar-SA"/>
    </w:rPr>
  </w:style>
  <w:style w:type="paragraph" w:customStyle="1" w:styleId="1627">
    <w:name w:val="Char4 Char Char Char5"/>
    <w:basedOn w:val="1"/>
    <w:semiHidden/>
    <w:qFormat/>
    <w:uiPriority w:val="0"/>
    <w:pPr>
      <w:spacing w:line="360" w:lineRule="auto"/>
      <w:jc w:val="both"/>
    </w:pPr>
    <w:rPr>
      <w:rFonts w:ascii="宋体" w:hAnsi="宋体" w:cs="宋体"/>
      <w:sz w:val="24"/>
      <w:szCs w:val="26"/>
    </w:rPr>
  </w:style>
  <w:style w:type="paragraph" w:customStyle="1" w:styleId="1628">
    <w:name w:val="Char Char Char Char Char Char Char Char Char4"/>
    <w:basedOn w:val="1"/>
    <w:qFormat/>
    <w:uiPriority w:val="0"/>
    <w:pPr>
      <w:adjustRightInd/>
      <w:snapToGrid/>
      <w:spacing w:line="240" w:lineRule="auto"/>
      <w:ind w:firstLine="0" w:firstLineChars="0"/>
      <w:jc w:val="both"/>
    </w:pPr>
    <w:rPr>
      <w:sz w:val="21"/>
      <w:szCs w:val="24"/>
    </w:rPr>
  </w:style>
  <w:style w:type="paragraph" w:customStyle="1" w:styleId="1629">
    <w:name w:val="Char Char Char Char5"/>
    <w:basedOn w:val="1"/>
    <w:qFormat/>
    <w:uiPriority w:val="0"/>
    <w:pPr>
      <w:spacing w:line="360" w:lineRule="auto"/>
      <w:jc w:val="both"/>
    </w:pPr>
    <w:rPr>
      <w:rFonts w:ascii="宋体" w:hAnsi="宋体" w:cs="宋体"/>
      <w:sz w:val="24"/>
      <w:szCs w:val="26"/>
    </w:rPr>
  </w:style>
  <w:style w:type="paragraph" w:customStyle="1" w:styleId="1630">
    <w:name w:val="Char Char Char Char Char Char Char Char Char Char Char Char1 Char Char Char Char Char Char Char Char Char Char Char Char Char Char Char Char Char Char Char3"/>
    <w:basedOn w:val="1"/>
    <w:semiHidden/>
    <w:qFormat/>
    <w:uiPriority w:val="0"/>
    <w:pPr>
      <w:adjustRightInd/>
      <w:snapToGrid/>
      <w:spacing w:line="360" w:lineRule="auto"/>
      <w:jc w:val="both"/>
    </w:pPr>
    <w:rPr>
      <w:rFonts w:ascii="宋体" w:hAnsi="宋体" w:cs="宋体"/>
      <w:sz w:val="24"/>
      <w:szCs w:val="26"/>
    </w:rPr>
  </w:style>
  <w:style w:type="paragraph" w:customStyle="1" w:styleId="1631">
    <w:name w:val="Char7"/>
    <w:basedOn w:val="1"/>
    <w:qFormat/>
    <w:uiPriority w:val="0"/>
    <w:pPr>
      <w:adjustRightInd/>
      <w:snapToGrid/>
      <w:spacing w:line="240" w:lineRule="auto"/>
      <w:ind w:firstLine="0" w:firstLineChars="0"/>
      <w:jc w:val="both"/>
    </w:pPr>
    <w:rPr>
      <w:sz w:val="21"/>
      <w:szCs w:val="24"/>
    </w:rPr>
  </w:style>
  <w:style w:type="paragraph" w:customStyle="1" w:styleId="1632">
    <w:name w:val="Char Char Char Char Char Char Char4"/>
    <w:basedOn w:val="1"/>
    <w:link w:val="1663"/>
    <w:qFormat/>
    <w:uiPriority w:val="0"/>
    <w:pPr>
      <w:adjustRightInd/>
      <w:snapToGrid/>
      <w:spacing w:line="240" w:lineRule="auto"/>
      <w:ind w:firstLine="0" w:firstLineChars="0"/>
      <w:jc w:val="both"/>
    </w:pPr>
    <w:rPr>
      <w:sz w:val="21"/>
      <w:szCs w:val="24"/>
    </w:rPr>
  </w:style>
  <w:style w:type="paragraph" w:customStyle="1" w:styleId="1633">
    <w:name w:val="Char Char1 Char Char Char Char3"/>
    <w:basedOn w:val="1"/>
    <w:qFormat/>
    <w:uiPriority w:val="0"/>
    <w:pPr>
      <w:adjustRightInd/>
      <w:snapToGrid/>
      <w:spacing w:line="240" w:lineRule="auto"/>
      <w:ind w:firstLine="0" w:firstLineChars="0"/>
      <w:jc w:val="both"/>
    </w:pPr>
    <w:rPr>
      <w:sz w:val="24"/>
      <w:szCs w:val="24"/>
    </w:rPr>
  </w:style>
  <w:style w:type="paragraph" w:customStyle="1" w:styleId="1634">
    <w:name w:val="Char2 Char Char Char Char Char Char3"/>
    <w:basedOn w:val="1"/>
    <w:qFormat/>
    <w:uiPriority w:val="0"/>
    <w:pPr>
      <w:adjustRightInd/>
      <w:snapToGrid/>
      <w:spacing w:line="240" w:lineRule="auto"/>
      <w:ind w:firstLine="0" w:firstLineChars="0"/>
      <w:jc w:val="both"/>
    </w:pPr>
    <w:rPr>
      <w:sz w:val="21"/>
      <w:szCs w:val="24"/>
    </w:rPr>
  </w:style>
  <w:style w:type="paragraph" w:customStyle="1" w:styleId="1635">
    <w:name w:val="Char Char Char Char14"/>
    <w:basedOn w:val="1"/>
    <w:qFormat/>
    <w:uiPriority w:val="0"/>
    <w:pPr>
      <w:adjustRightInd/>
      <w:snapToGrid/>
      <w:spacing w:line="360" w:lineRule="auto"/>
      <w:jc w:val="both"/>
    </w:pPr>
    <w:rPr>
      <w:rFonts w:ascii="宋体" w:hAnsi="宋体" w:cs="宋体"/>
      <w:sz w:val="24"/>
      <w:szCs w:val="24"/>
    </w:rPr>
  </w:style>
  <w:style w:type="paragraph" w:customStyle="1" w:styleId="1636">
    <w:name w:val="Char25"/>
    <w:basedOn w:val="1"/>
    <w:qFormat/>
    <w:uiPriority w:val="0"/>
    <w:pPr>
      <w:adjustRightInd/>
      <w:snapToGrid/>
      <w:spacing w:line="240" w:lineRule="auto"/>
      <w:ind w:firstLine="0" w:firstLineChars="0"/>
      <w:jc w:val="both"/>
    </w:pPr>
    <w:rPr>
      <w:sz w:val="21"/>
      <w:szCs w:val="21"/>
    </w:rPr>
  </w:style>
  <w:style w:type="paragraph" w:customStyle="1" w:styleId="1637">
    <w:name w:val="Char Char Char Char Char Char4"/>
    <w:basedOn w:val="1"/>
    <w:qFormat/>
    <w:uiPriority w:val="0"/>
    <w:pPr>
      <w:adjustRightInd/>
      <w:snapToGrid/>
      <w:spacing w:line="240" w:lineRule="auto"/>
      <w:ind w:firstLine="0" w:firstLineChars="0"/>
      <w:jc w:val="both"/>
    </w:pPr>
    <w:rPr>
      <w:rFonts w:ascii="宋体" w:hAnsi="宋体"/>
      <w:sz w:val="24"/>
      <w:szCs w:val="24"/>
    </w:rPr>
  </w:style>
  <w:style w:type="paragraph" w:customStyle="1" w:styleId="1638">
    <w:name w:val="日期3"/>
    <w:basedOn w:val="1"/>
    <w:next w:val="1"/>
    <w:qFormat/>
    <w:uiPriority w:val="0"/>
    <w:pPr>
      <w:snapToGrid/>
      <w:spacing w:line="240" w:lineRule="auto"/>
      <w:ind w:firstLine="0" w:firstLineChars="0"/>
      <w:jc w:val="both"/>
      <w:textAlignment w:val="baseline"/>
    </w:pPr>
    <w:rPr>
      <w:sz w:val="21"/>
      <w:szCs w:val="20"/>
    </w:rPr>
  </w:style>
  <w:style w:type="character" w:customStyle="1" w:styleId="1639">
    <w:name w:val="Char Char74"/>
    <w:qFormat/>
    <w:uiPriority w:val="0"/>
    <w:rPr>
      <w:rFonts w:eastAsia="宋体"/>
      <w:b/>
      <w:bCs/>
      <w:kern w:val="44"/>
      <w:sz w:val="44"/>
      <w:szCs w:val="44"/>
      <w:lang w:val="en-US" w:eastAsia="zh-CN" w:bidi="ar-SA"/>
    </w:rPr>
  </w:style>
  <w:style w:type="paragraph" w:customStyle="1" w:styleId="1640">
    <w:name w:val="Char Char1 Char3"/>
    <w:basedOn w:val="1"/>
    <w:qFormat/>
    <w:uiPriority w:val="0"/>
    <w:pPr>
      <w:adjustRightInd/>
      <w:snapToGrid/>
      <w:spacing w:line="240" w:lineRule="auto"/>
      <w:ind w:firstLine="0" w:firstLineChars="0"/>
      <w:jc w:val="both"/>
    </w:pPr>
    <w:rPr>
      <w:sz w:val="21"/>
      <w:szCs w:val="24"/>
    </w:rPr>
  </w:style>
  <w:style w:type="paragraph" w:customStyle="1" w:styleId="1641">
    <w:name w:val="纯文本3"/>
    <w:basedOn w:val="1"/>
    <w:qFormat/>
    <w:uiPriority w:val="0"/>
    <w:pPr>
      <w:snapToGrid/>
      <w:spacing w:line="240" w:lineRule="auto"/>
      <w:ind w:firstLine="0" w:firstLineChars="0"/>
      <w:jc w:val="both"/>
      <w:textAlignment w:val="baseline"/>
    </w:pPr>
    <w:rPr>
      <w:rFonts w:ascii="宋体" w:hAnsi="Courier New"/>
      <w:sz w:val="21"/>
      <w:szCs w:val="24"/>
    </w:rPr>
  </w:style>
  <w:style w:type="paragraph" w:customStyle="1" w:styleId="1642">
    <w:name w:val="批注框文本4"/>
    <w:basedOn w:val="1"/>
    <w:semiHidden/>
    <w:qFormat/>
    <w:uiPriority w:val="0"/>
    <w:pPr>
      <w:widowControl/>
      <w:autoSpaceDE w:val="0"/>
      <w:autoSpaceDN w:val="0"/>
      <w:adjustRightInd/>
      <w:snapToGrid/>
      <w:spacing w:line="240" w:lineRule="auto"/>
      <w:ind w:firstLine="0" w:firstLineChars="0"/>
    </w:pPr>
    <w:rPr>
      <w:rFonts w:ascii="Tahoma" w:hAnsi="Tahoma" w:cs="幼圆"/>
      <w:kern w:val="0"/>
      <w:sz w:val="16"/>
      <w:szCs w:val="16"/>
      <w:lang w:val="en-GB" w:eastAsia="en-GB"/>
    </w:rPr>
  </w:style>
  <w:style w:type="paragraph" w:customStyle="1" w:styleId="1643">
    <w:name w:val="正文10"/>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644">
    <w:name w:val="普通(网站)3"/>
    <w:basedOn w:val="1"/>
    <w:qFormat/>
    <w:uiPriority w:val="0"/>
    <w:pPr>
      <w:adjustRightInd/>
      <w:snapToGrid/>
      <w:spacing w:line="240" w:lineRule="auto"/>
      <w:ind w:firstLine="0" w:firstLineChars="0"/>
      <w:jc w:val="both"/>
    </w:pPr>
    <w:rPr>
      <w:sz w:val="24"/>
      <w:szCs w:val="24"/>
    </w:rPr>
  </w:style>
  <w:style w:type="character" w:customStyle="1" w:styleId="1645">
    <w:name w:val="Char1 Char Char Char Char Char Char Char Char Char Char Char Char Char Char Char Char Char3"/>
    <w:qFormat/>
    <w:uiPriority w:val="0"/>
    <w:rPr>
      <w:rFonts w:ascii="Arial Narrow" w:hAnsi="Arial Narrow" w:eastAsia="仿宋_GB2312"/>
      <w:sz w:val="24"/>
      <w:szCs w:val="28"/>
      <w:lang w:val="en-US" w:eastAsia="zh-CN" w:bidi="ar-SA"/>
    </w:rPr>
  </w:style>
  <w:style w:type="paragraph" w:customStyle="1" w:styleId="1646">
    <w:name w:val="Char Char3 Char Char Char Char4"/>
    <w:basedOn w:val="1"/>
    <w:qFormat/>
    <w:uiPriority w:val="0"/>
    <w:pPr>
      <w:widowControl/>
      <w:adjustRightInd/>
      <w:snapToGrid/>
      <w:spacing w:after="160" w:line="240" w:lineRule="exact"/>
      <w:ind w:firstLine="0" w:firstLineChars="0"/>
    </w:pPr>
    <w:rPr>
      <w:rFonts w:ascii="Verdana" w:hAnsi="Verdana"/>
      <w:kern w:val="0"/>
      <w:sz w:val="20"/>
      <w:szCs w:val="20"/>
      <w:lang w:eastAsia="en-US"/>
    </w:rPr>
  </w:style>
  <w:style w:type="character" w:customStyle="1" w:styleId="1647">
    <w:name w:val="Char Char163"/>
    <w:qFormat/>
    <w:uiPriority w:val="0"/>
    <w:rPr>
      <w:rFonts w:ascii="Book Antiqua" w:hAnsi="Book Antiqua" w:eastAsia="宋体"/>
      <w:i/>
      <w:sz w:val="22"/>
      <w:lang w:val="en-GB" w:eastAsia="zh-CN" w:bidi="ar-SA"/>
    </w:rPr>
  </w:style>
  <w:style w:type="character" w:customStyle="1" w:styleId="1648">
    <w:name w:val="Char Char133"/>
    <w:qFormat/>
    <w:uiPriority w:val="0"/>
    <w:rPr>
      <w:rFonts w:ascii="宋体" w:eastAsia="宋体"/>
      <w:b/>
      <w:spacing w:val="6"/>
      <w:kern w:val="2"/>
      <w:sz w:val="24"/>
      <w:szCs w:val="26"/>
      <w:lang w:val="en-US" w:eastAsia="zh-CN" w:bidi="ar-SA"/>
    </w:rPr>
  </w:style>
  <w:style w:type="paragraph" w:customStyle="1" w:styleId="1649">
    <w:name w:val="Char Char Char Char Char Char Char Char Char Char Char Char Char Char Char Char Char Char Char3"/>
    <w:basedOn w:val="1"/>
    <w:qFormat/>
    <w:uiPriority w:val="0"/>
    <w:pPr>
      <w:adjustRightInd/>
      <w:snapToGrid/>
      <w:spacing w:line="240" w:lineRule="auto"/>
      <w:ind w:firstLine="0" w:firstLineChars="0"/>
      <w:jc w:val="both"/>
    </w:pPr>
    <w:rPr>
      <w:rFonts w:eastAsia="Times New Roman"/>
      <w:kern w:val="0"/>
      <w:sz w:val="20"/>
      <w:szCs w:val="20"/>
    </w:rPr>
  </w:style>
  <w:style w:type="character" w:customStyle="1" w:styleId="1650">
    <w:name w:val="Char Char103"/>
    <w:qFormat/>
    <w:uiPriority w:val="0"/>
    <w:rPr>
      <w:rFonts w:eastAsia="宋体"/>
      <w:sz w:val="18"/>
      <w:szCs w:val="18"/>
      <w:lang w:val="zh-CN" w:eastAsia="zh-CN" w:bidi="ar-SA"/>
    </w:rPr>
  </w:style>
  <w:style w:type="character" w:customStyle="1" w:styleId="1651">
    <w:name w:val="Char Char83"/>
    <w:qFormat/>
    <w:uiPriority w:val="0"/>
    <w:rPr>
      <w:rFonts w:ascii="宋体" w:hAnsi="宋体" w:eastAsia="宋体"/>
      <w:sz w:val="24"/>
      <w:szCs w:val="24"/>
      <w:lang w:val="zh-CN" w:eastAsia="zh-CN" w:bidi="ar-SA"/>
    </w:rPr>
  </w:style>
  <w:style w:type="paragraph" w:customStyle="1" w:styleId="1652">
    <w:name w:val="Char Char Char Char Char2 Char Char Char Char4"/>
    <w:basedOn w:val="1"/>
    <w:semiHidden/>
    <w:qFormat/>
    <w:uiPriority w:val="0"/>
    <w:pPr>
      <w:spacing w:line="360" w:lineRule="auto"/>
      <w:jc w:val="both"/>
    </w:pPr>
    <w:rPr>
      <w:rFonts w:ascii="宋体" w:hAnsi="宋体" w:cs="宋体"/>
      <w:sz w:val="24"/>
      <w:szCs w:val="26"/>
    </w:rPr>
  </w:style>
  <w:style w:type="character" w:customStyle="1" w:styleId="1653">
    <w:name w:val="标题10"/>
    <w:basedOn w:val="132"/>
    <w:qFormat/>
    <w:uiPriority w:val="0"/>
  </w:style>
  <w:style w:type="paragraph" w:customStyle="1" w:styleId="1654">
    <w:name w:val="Char Char Char Char Char Char Char Char Char Char Char Char Char Char Char Char Char Char3"/>
    <w:basedOn w:val="1"/>
    <w:qFormat/>
    <w:uiPriority w:val="0"/>
    <w:pPr>
      <w:adjustRightInd/>
      <w:snapToGrid/>
      <w:spacing w:line="240" w:lineRule="auto"/>
      <w:ind w:firstLine="0" w:firstLineChars="0"/>
      <w:jc w:val="both"/>
    </w:pPr>
    <w:rPr>
      <w:sz w:val="21"/>
      <w:szCs w:val="24"/>
    </w:rPr>
  </w:style>
  <w:style w:type="paragraph" w:customStyle="1" w:styleId="1655">
    <w:name w:val="Char Char Char Char Char Char Char Char Char Char3"/>
    <w:basedOn w:val="1"/>
    <w:next w:val="1"/>
    <w:qFormat/>
    <w:uiPriority w:val="0"/>
    <w:pPr>
      <w:adjustRightInd/>
      <w:snapToGrid/>
      <w:spacing w:line="360" w:lineRule="auto"/>
      <w:jc w:val="both"/>
    </w:pPr>
    <w:rPr>
      <w:rFonts w:ascii="宋体" w:hAnsi="宋体" w:cs="宋体"/>
      <w:sz w:val="24"/>
      <w:szCs w:val="24"/>
    </w:rPr>
  </w:style>
  <w:style w:type="paragraph" w:customStyle="1" w:styleId="1656">
    <w:name w:val="Char Char Char Char Char Char Char Char Char Char Char Char6"/>
    <w:basedOn w:val="1"/>
    <w:next w:val="1"/>
    <w:qFormat/>
    <w:uiPriority w:val="0"/>
    <w:pPr>
      <w:adjustRightInd/>
      <w:snapToGrid/>
      <w:spacing w:line="360" w:lineRule="auto"/>
      <w:jc w:val="both"/>
    </w:pPr>
    <w:rPr>
      <w:rFonts w:ascii="宋体" w:hAnsi="宋体" w:cs="宋体"/>
      <w:sz w:val="24"/>
      <w:szCs w:val="24"/>
    </w:rPr>
  </w:style>
  <w:style w:type="paragraph" w:customStyle="1" w:styleId="1657">
    <w:name w:val="Char Char Char Char Char Char Char Char Char Char Char Char1 Char3"/>
    <w:basedOn w:val="1"/>
    <w:next w:val="1"/>
    <w:qFormat/>
    <w:uiPriority w:val="0"/>
    <w:pPr>
      <w:adjustRightInd/>
      <w:snapToGrid/>
      <w:spacing w:line="360" w:lineRule="auto"/>
      <w:jc w:val="both"/>
    </w:pPr>
    <w:rPr>
      <w:rFonts w:ascii="宋体" w:hAnsi="宋体" w:cs="宋体"/>
      <w:sz w:val="24"/>
      <w:szCs w:val="24"/>
    </w:rPr>
  </w:style>
  <w:style w:type="paragraph" w:customStyle="1" w:styleId="1658">
    <w:name w:val="Char Char Char Char Char Char1 Char3"/>
    <w:basedOn w:val="1"/>
    <w:qFormat/>
    <w:uiPriority w:val="0"/>
    <w:pPr>
      <w:adjustRightInd/>
      <w:snapToGrid/>
      <w:spacing w:line="240" w:lineRule="auto"/>
      <w:ind w:firstLine="0" w:firstLineChars="0"/>
      <w:jc w:val="both"/>
    </w:pPr>
    <w:rPr>
      <w:sz w:val="21"/>
      <w:szCs w:val="24"/>
    </w:rPr>
  </w:style>
  <w:style w:type="paragraph" w:customStyle="1" w:styleId="1659">
    <w:name w:val="Char Char Char Char Char Char Char Char Char Char Char Char Char Char Char Char4"/>
    <w:basedOn w:val="1"/>
    <w:qFormat/>
    <w:uiPriority w:val="0"/>
    <w:pPr>
      <w:adjustRightInd/>
      <w:snapToGrid/>
      <w:spacing w:line="240" w:lineRule="auto"/>
      <w:ind w:firstLine="0" w:firstLineChars="0"/>
      <w:jc w:val="both"/>
    </w:pPr>
    <w:rPr>
      <w:sz w:val="21"/>
      <w:szCs w:val="24"/>
    </w:rPr>
  </w:style>
  <w:style w:type="paragraph" w:customStyle="1" w:styleId="1660">
    <w:name w:val="Char Char Char1 Char Char Char Char Char Char Char Char Char Char Char Char Char Char Char Char Char Char Char3"/>
    <w:basedOn w:val="1"/>
    <w:qFormat/>
    <w:uiPriority w:val="0"/>
    <w:pPr>
      <w:adjustRightInd/>
      <w:snapToGrid/>
      <w:spacing w:line="240" w:lineRule="auto"/>
      <w:ind w:firstLine="0" w:firstLineChars="0"/>
      <w:jc w:val="both"/>
    </w:pPr>
    <w:rPr>
      <w:sz w:val="21"/>
      <w:szCs w:val="24"/>
    </w:rPr>
  </w:style>
  <w:style w:type="paragraph" w:customStyle="1" w:styleId="1661">
    <w:name w:val="Char Char Char Char Char Char Char Char Char Char Char Char Char Char Char Char Char Char Char Char Char Char Char Char Char Char Char Char Char Char Char Char Char Char Char Char Char Char Char3"/>
    <w:basedOn w:val="1"/>
    <w:qFormat/>
    <w:uiPriority w:val="0"/>
    <w:pPr>
      <w:adjustRightInd/>
      <w:snapToGrid/>
      <w:spacing w:line="240" w:lineRule="auto"/>
      <w:ind w:firstLine="0" w:firstLineChars="0"/>
      <w:jc w:val="both"/>
    </w:pPr>
    <w:rPr>
      <w:sz w:val="21"/>
      <w:szCs w:val="24"/>
    </w:rPr>
  </w:style>
  <w:style w:type="paragraph" w:customStyle="1" w:styleId="1662">
    <w:name w:val="Char Char Char Char Char Char Char Char Char Char Char3"/>
    <w:basedOn w:val="1"/>
    <w:qFormat/>
    <w:uiPriority w:val="0"/>
    <w:pPr>
      <w:snapToGrid/>
      <w:spacing w:line="360" w:lineRule="auto"/>
      <w:ind w:firstLine="0" w:firstLineChars="0"/>
      <w:jc w:val="both"/>
    </w:pPr>
    <w:rPr>
      <w:kern w:val="0"/>
      <w:sz w:val="24"/>
      <w:szCs w:val="20"/>
    </w:rPr>
  </w:style>
  <w:style w:type="character" w:customStyle="1" w:styleId="1663">
    <w:name w:val="Char Char Char Char Char Char Char Char3"/>
    <w:link w:val="1632"/>
    <w:qFormat/>
    <w:uiPriority w:val="0"/>
    <w:rPr>
      <w:rFonts w:ascii="Times New Roman" w:hAnsi="Times New Roman"/>
      <w:kern w:val="2"/>
      <w:sz w:val="21"/>
      <w:szCs w:val="24"/>
    </w:rPr>
  </w:style>
  <w:style w:type="paragraph" w:customStyle="1" w:styleId="1664">
    <w:name w:val="Char Char Char Char Char2 Char4"/>
    <w:basedOn w:val="1"/>
    <w:qFormat/>
    <w:uiPriority w:val="0"/>
    <w:pPr>
      <w:spacing w:line="360" w:lineRule="auto"/>
      <w:jc w:val="both"/>
    </w:pPr>
    <w:rPr>
      <w:sz w:val="21"/>
      <w:szCs w:val="20"/>
    </w:rPr>
  </w:style>
  <w:style w:type="character" w:customStyle="1" w:styleId="1665">
    <w:name w:val="Char Char173"/>
    <w:qFormat/>
    <w:uiPriority w:val="0"/>
    <w:rPr>
      <w:rFonts w:eastAsia="宋体"/>
      <w:color w:val="000000"/>
      <w:kern w:val="2"/>
      <w:sz w:val="18"/>
      <w:szCs w:val="18"/>
      <w:lang w:val="en-US" w:eastAsia="zh-CN" w:bidi="ar-SA"/>
    </w:rPr>
  </w:style>
  <w:style w:type="paragraph" w:customStyle="1" w:styleId="1666">
    <w:name w:val="Char Char Char4"/>
    <w:basedOn w:val="1"/>
    <w:qFormat/>
    <w:uiPriority w:val="0"/>
    <w:pPr>
      <w:adjustRightInd/>
      <w:snapToGrid/>
      <w:spacing w:line="240" w:lineRule="auto"/>
      <w:ind w:firstLine="0" w:firstLineChars="0"/>
      <w:jc w:val="both"/>
    </w:pPr>
    <w:rPr>
      <w:sz w:val="24"/>
      <w:szCs w:val="24"/>
    </w:rPr>
  </w:style>
  <w:style w:type="character" w:customStyle="1" w:styleId="1667">
    <w:name w:val="Char Char223"/>
    <w:qFormat/>
    <w:uiPriority w:val="0"/>
    <w:rPr>
      <w:sz w:val="18"/>
      <w:lang w:eastAsia="en-US" w:bidi="en-US"/>
    </w:rPr>
  </w:style>
  <w:style w:type="character" w:customStyle="1" w:styleId="1668">
    <w:name w:val="Char Char213"/>
    <w:qFormat/>
    <w:uiPriority w:val="0"/>
    <w:rPr>
      <w:rFonts w:eastAsia="宋体"/>
      <w:sz w:val="18"/>
    </w:rPr>
  </w:style>
  <w:style w:type="character" w:customStyle="1" w:styleId="1669">
    <w:name w:val="Char Char203"/>
    <w:qFormat/>
    <w:uiPriority w:val="0"/>
    <w:rPr>
      <w:rFonts w:eastAsia="宋体"/>
      <w:sz w:val="18"/>
    </w:rPr>
  </w:style>
  <w:style w:type="character" w:customStyle="1" w:styleId="1670">
    <w:name w:val="Char Char193"/>
    <w:qFormat/>
    <w:uiPriority w:val="0"/>
    <w:rPr>
      <w:rFonts w:ascii="Cambria" w:hAnsi="Cambria" w:eastAsia="宋体"/>
      <w:b/>
      <w:kern w:val="28"/>
      <w:sz w:val="32"/>
    </w:rPr>
  </w:style>
  <w:style w:type="character" w:customStyle="1" w:styleId="1671">
    <w:name w:val="Char Char183"/>
    <w:qFormat/>
    <w:uiPriority w:val="0"/>
    <w:rPr>
      <w:rFonts w:eastAsia="宋体"/>
    </w:rPr>
  </w:style>
  <w:style w:type="character" w:customStyle="1" w:styleId="1672">
    <w:name w:val="Char Char252"/>
    <w:qFormat/>
    <w:uiPriority w:val="0"/>
    <w:rPr>
      <w:rFonts w:ascii="Times New Roman" w:hAnsi="Times New Roman" w:eastAsia="宋体" w:cs="Times New Roman"/>
      <w:szCs w:val="24"/>
    </w:rPr>
  </w:style>
  <w:style w:type="paragraph" w:customStyle="1" w:styleId="1673">
    <w:name w:val="Char Char Char1 Char2"/>
    <w:basedOn w:val="1"/>
    <w:qFormat/>
    <w:uiPriority w:val="0"/>
    <w:pPr>
      <w:adjustRightInd/>
      <w:snapToGrid/>
      <w:spacing w:line="240" w:lineRule="auto"/>
      <w:ind w:firstLine="0" w:firstLineChars="0"/>
      <w:jc w:val="both"/>
    </w:pPr>
    <w:rPr>
      <w:rFonts w:ascii="宋体" w:hAnsi="Tahoma" w:cs="Tahoma"/>
      <w:sz w:val="20"/>
      <w:szCs w:val="21"/>
    </w:rPr>
  </w:style>
  <w:style w:type="paragraph" w:customStyle="1" w:styleId="1674">
    <w:name w:val="Char Char Char Char Char2"/>
    <w:basedOn w:val="1"/>
    <w:qFormat/>
    <w:uiPriority w:val="0"/>
    <w:pPr>
      <w:adjustRightInd/>
      <w:snapToGrid/>
      <w:spacing w:line="240" w:lineRule="auto"/>
      <w:ind w:firstLine="0" w:firstLineChars="0"/>
      <w:jc w:val="both"/>
    </w:pPr>
    <w:rPr>
      <w:sz w:val="21"/>
      <w:szCs w:val="24"/>
    </w:rPr>
  </w:style>
  <w:style w:type="paragraph" w:customStyle="1" w:styleId="1675">
    <w:name w:val="Char Char Char Char Char Char Char Char Char Char Char Char Char2"/>
    <w:basedOn w:val="1"/>
    <w:qFormat/>
    <w:uiPriority w:val="0"/>
    <w:pPr>
      <w:adjustRightInd/>
      <w:snapToGrid/>
      <w:spacing w:line="360" w:lineRule="auto"/>
      <w:jc w:val="both"/>
    </w:pPr>
    <w:rPr>
      <w:rFonts w:ascii="宋体" w:hAnsi="宋体" w:cs="宋体"/>
      <w:sz w:val="24"/>
      <w:szCs w:val="24"/>
    </w:rPr>
  </w:style>
  <w:style w:type="paragraph" w:customStyle="1" w:styleId="1676">
    <w:name w:val="Char1 Char Char Char Char Char Char2"/>
    <w:basedOn w:val="1"/>
    <w:qFormat/>
    <w:uiPriority w:val="0"/>
    <w:pPr>
      <w:keepNext/>
      <w:keepLines/>
      <w:adjustRightInd/>
      <w:snapToGrid/>
      <w:spacing w:after="160" w:line="240" w:lineRule="exact"/>
      <w:ind w:firstLine="0" w:firstLineChars="0"/>
    </w:pPr>
    <w:rPr>
      <w:rFonts w:ascii="宋体" w:hAnsi="宋体"/>
      <w:b/>
      <w:kern w:val="0"/>
      <w:sz w:val="44"/>
      <w:szCs w:val="44"/>
      <w:lang w:eastAsia="en-US"/>
    </w:rPr>
  </w:style>
  <w:style w:type="paragraph" w:customStyle="1" w:styleId="1677">
    <w:name w:val="标题 1红4号3"/>
    <w:basedOn w:val="3"/>
    <w:qFormat/>
    <w:uiPriority w:val="0"/>
    <w:pPr>
      <w:keepNext/>
      <w:keepLines/>
      <w:widowControl w:val="0"/>
      <w:numPr>
        <w:numId w:val="0"/>
      </w:numPr>
      <w:shd w:val="clear" w:color="auto" w:fill="FFFFFF"/>
      <w:tabs>
        <w:tab w:val="left" w:pos="210"/>
        <w:tab w:val="clear" w:pos="0"/>
      </w:tabs>
      <w:kinsoku w:val="0"/>
      <w:overflowPunct w:val="0"/>
      <w:autoSpaceDE w:val="0"/>
      <w:autoSpaceDN w:val="0"/>
      <w:adjustRightInd/>
      <w:snapToGrid/>
      <w:spacing w:beforeLines="0" w:afterLines="0" w:line="240" w:lineRule="auto"/>
      <w:ind w:firstLine="200" w:firstLineChars="200"/>
    </w:pPr>
    <w:rPr>
      <w:rFonts w:ascii="宋体" w:hAnsi="宋体"/>
      <w:bCs w:val="0"/>
      <w:snapToGrid/>
      <w:color w:val="FF6600"/>
      <w:sz w:val="28"/>
      <w:szCs w:val="28"/>
    </w:rPr>
  </w:style>
  <w:style w:type="paragraph" w:customStyle="1" w:styleId="1678">
    <w:name w:val="标题 2 蓝四号3"/>
    <w:basedOn w:val="4"/>
    <w:next w:val="1"/>
    <w:semiHidden/>
    <w:qFormat/>
    <w:uiPriority w:val="0"/>
    <w:pPr>
      <w:keepNext/>
      <w:keepLines/>
      <w:widowControl w:val="0"/>
      <w:shd w:val="clear" w:color="auto" w:fill="FFFFFF"/>
      <w:tabs>
        <w:tab w:val="left" w:pos="210"/>
        <w:tab w:val="clear" w:pos="0"/>
      </w:tabs>
      <w:kinsoku w:val="0"/>
      <w:overflowPunct w:val="0"/>
      <w:autoSpaceDE w:val="0"/>
      <w:autoSpaceDN w:val="0"/>
      <w:spacing w:beforeLines="0" w:afterLines="0" w:line="300" w:lineRule="exact"/>
      <w:jc w:val="both"/>
    </w:pPr>
    <w:rPr>
      <w:rFonts w:ascii="宋体" w:hAnsi="宋体"/>
      <w:bCs w:val="0"/>
      <w:snapToGrid/>
      <w:color w:val="0000FF"/>
      <w:sz w:val="24"/>
      <w:szCs w:val="24"/>
    </w:rPr>
  </w:style>
  <w:style w:type="character" w:customStyle="1" w:styleId="1679">
    <w:name w:val="Char Char232"/>
    <w:qFormat/>
    <w:uiPriority w:val="0"/>
    <w:rPr>
      <w:rFonts w:ascii="Arial Narrow" w:hAnsi="Arial Narrow" w:eastAsia="仿宋_GB2312"/>
      <w:kern w:val="2"/>
      <w:sz w:val="24"/>
      <w:szCs w:val="24"/>
      <w:lang w:val="en-US" w:eastAsia="zh-CN" w:bidi="ar-SA"/>
    </w:rPr>
  </w:style>
  <w:style w:type="character" w:customStyle="1" w:styleId="1680">
    <w:name w:val="Char Char272"/>
    <w:qFormat/>
    <w:uiPriority w:val="0"/>
    <w:rPr>
      <w:rFonts w:eastAsia="宋体"/>
      <w:bCs/>
      <w:color w:val="000000"/>
      <w:sz w:val="24"/>
      <w:szCs w:val="19"/>
      <w:lang w:val="en-US" w:eastAsia="zh-CN" w:bidi="ar-SA"/>
    </w:rPr>
  </w:style>
  <w:style w:type="character" w:customStyle="1" w:styleId="1681">
    <w:name w:val="Char Char322"/>
    <w:qFormat/>
    <w:uiPriority w:val="0"/>
    <w:rPr>
      <w:rFonts w:eastAsia="宋体"/>
      <w:color w:val="000000"/>
      <w:kern w:val="2"/>
      <w:sz w:val="24"/>
      <w:szCs w:val="24"/>
      <w:lang w:val="en-US" w:eastAsia="zh-CN" w:bidi="ar-SA"/>
    </w:rPr>
  </w:style>
  <w:style w:type="character" w:customStyle="1" w:styleId="1682">
    <w:name w:val="Char Char342"/>
    <w:qFormat/>
    <w:uiPriority w:val="0"/>
    <w:rPr>
      <w:rFonts w:eastAsia="宋体"/>
      <w:kern w:val="2"/>
      <w:sz w:val="21"/>
      <w:szCs w:val="24"/>
      <w:lang w:val="en-US" w:eastAsia="zh-CN" w:bidi="ar-SA"/>
    </w:rPr>
  </w:style>
  <w:style w:type="paragraph" w:customStyle="1" w:styleId="1683">
    <w:name w:val="正文12"/>
    <w:basedOn w:val="1"/>
    <w:link w:val="1684"/>
    <w:qFormat/>
    <w:uiPriority w:val="0"/>
    <w:pPr>
      <w:snapToGrid/>
      <w:spacing w:before="120" w:line="315" w:lineRule="atLeast"/>
      <w:ind w:firstLine="0" w:firstLineChars="0"/>
      <w:textAlignment w:val="baseline"/>
    </w:pPr>
    <w:rPr>
      <w:rFonts w:ascii="宋体"/>
      <w:kern w:val="0"/>
      <w:sz w:val="24"/>
      <w:szCs w:val="20"/>
    </w:rPr>
  </w:style>
  <w:style w:type="character" w:customStyle="1" w:styleId="1684">
    <w:name w:val="正文 Char3"/>
    <w:link w:val="1683"/>
    <w:qFormat/>
    <w:uiPriority w:val="0"/>
    <w:rPr>
      <w:rFonts w:ascii="宋体" w:hAnsi="Times New Roman"/>
      <w:sz w:val="24"/>
    </w:rPr>
  </w:style>
  <w:style w:type="paragraph" w:customStyle="1" w:styleId="1685">
    <w:name w:val="12"/>
    <w:qFormat/>
    <w:uiPriority w:val="0"/>
    <w:pPr>
      <w:widowControl w:val="0"/>
      <w:jc w:val="both"/>
    </w:pPr>
    <w:rPr>
      <w:rFonts w:ascii="Times New Roman" w:hAnsi="Times New Roman" w:eastAsia="宋体" w:cs="Times New Roman"/>
      <w:color w:val="000000"/>
      <w:kern w:val="2"/>
      <w:sz w:val="24"/>
      <w:szCs w:val="24"/>
      <w:lang w:val="en-US" w:eastAsia="zh-CN" w:bidi="ar-SA"/>
    </w:rPr>
  </w:style>
  <w:style w:type="paragraph" w:customStyle="1" w:styleId="1686">
    <w:name w:val="Char4 Char Char Char4"/>
    <w:basedOn w:val="1"/>
    <w:semiHidden/>
    <w:qFormat/>
    <w:uiPriority w:val="0"/>
    <w:pPr>
      <w:spacing w:line="360" w:lineRule="auto"/>
      <w:jc w:val="both"/>
    </w:pPr>
    <w:rPr>
      <w:rFonts w:ascii="宋体" w:hAnsi="宋体" w:cs="宋体"/>
      <w:sz w:val="24"/>
      <w:szCs w:val="26"/>
    </w:rPr>
  </w:style>
  <w:style w:type="paragraph" w:customStyle="1" w:styleId="1687">
    <w:name w:val="Char Char Char Char Char Char Char Char Char3"/>
    <w:basedOn w:val="1"/>
    <w:qFormat/>
    <w:uiPriority w:val="0"/>
    <w:pPr>
      <w:adjustRightInd/>
      <w:snapToGrid/>
      <w:spacing w:line="240" w:lineRule="auto"/>
      <w:ind w:firstLine="0" w:firstLineChars="0"/>
      <w:jc w:val="both"/>
    </w:pPr>
    <w:rPr>
      <w:sz w:val="21"/>
      <w:szCs w:val="24"/>
    </w:rPr>
  </w:style>
  <w:style w:type="paragraph" w:customStyle="1" w:styleId="1688">
    <w:name w:val="Char Char Char Char4"/>
    <w:basedOn w:val="1"/>
    <w:qFormat/>
    <w:uiPriority w:val="0"/>
    <w:pPr>
      <w:spacing w:line="360" w:lineRule="auto"/>
      <w:jc w:val="both"/>
    </w:pPr>
    <w:rPr>
      <w:rFonts w:ascii="宋体" w:hAnsi="宋体" w:cs="宋体"/>
      <w:sz w:val="24"/>
      <w:szCs w:val="26"/>
    </w:rPr>
  </w:style>
  <w:style w:type="paragraph" w:customStyle="1" w:styleId="1689">
    <w:name w:val="Char Char Char Char Char Char Char Char Char Char Char Char1 Char Char Char Char Char Char Char Char Char Char Char Char Char Char Char Char Char Char Char2"/>
    <w:basedOn w:val="1"/>
    <w:semiHidden/>
    <w:qFormat/>
    <w:uiPriority w:val="0"/>
    <w:pPr>
      <w:adjustRightInd/>
      <w:snapToGrid/>
      <w:spacing w:line="360" w:lineRule="auto"/>
      <w:jc w:val="both"/>
    </w:pPr>
    <w:rPr>
      <w:rFonts w:ascii="宋体" w:hAnsi="宋体" w:cs="宋体"/>
      <w:sz w:val="24"/>
      <w:szCs w:val="26"/>
    </w:rPr>
  </w:style>
  <w:style w:type="paragraph" w:customStyle="1" w:styleId="1690">
    <w:name w:val="Char6"/>
    <w:basedOn w:val="1"/>
    <w:qFormat/>
    <w:uiPriority w:val="0"/>
    <w:pPr>
      <w:adjustRightInd/>
      <w:snapToGrid/>
      <w:spacing w:line="240" w:lineRule="auto"/>
      <w:ind w:firstLine="0" w:firstLineChars="0"/>
      <w:jc w:val="both"/>
    </w:pPr>
    <w:rPr>
      <w:sz w:val="21"/>
      <w:szCs w:val="24"/>
    </w:rPr>
  </w:style>
  <w:style w:type="paragraph" w:customStyle="1" w:styleId="1691">
    <w:name w:val="Char Char Char Char Char Char Char3"/>
    <w:basedOn w:val="1"/>
    <w:link w:val="1722"/>
    <w:qFormat/>
    <w:uiPriority w:val="0"/>
    <w:pPr>
      <w:adjustRightInd/>
      <w:snapToGrid/>
      <w:spacing w:line="240" w:lineRule="auto"/>
      <w:ind w:firstLine="0" w:firstLineChars="0"/>
      <w:jc w:val="both"/>
    </w:pPr>
    <w:rPr>
      <w:sz w:val="21"/>
      <w:szCs w:val="24"/>
    </w:rPr>
  </w:style>
  <w:style w:type="paragraph" w:customStyle="1" w:styleId="1692">
    <w:name w:val="Char Char1 Char Char Char Char2"/>
    <w:basedOn w:val="1"/>
    <w:qFormat/>
    <w:uiPriority w:val="0"/>
    <w:pPr>
      <w:adjustRightInd/>
      <w:snapToGrid/>
      <w:spacing w:line="240" w:lineRule="auto"/>
      <w:ind w:firstLine="0" w:firstLineChars="0"/>
      <w:jc w:val="both"/>
    </w:pPr>
    <w:rPr>
      <w:sz w:val="24"/>
      <w:szCs w:val="24"/>
    </w:rPr>
  </w:style>
  <w:style w:type="paragraph" w:customStyle="1" w:styleId="1693">
    <w:name w:val="Char2 Char Char Char Char Char Char2"/>
    <w:basedOn w:val="1"/>
    <w:qFormat/>
    <w:uiPriority w:val="0"/>
    <w:pPr>
      <w:adjustRightInd/>
      <w:snapToGrid/>
      <w:spacing w:line="240" w:lineRule="auto"/>
      <w:ind w:firstLine="0" w:firstLineChars="0"/>
      <w:jc w:val="both"/>
    </w:pPr>
    <w:rPr>
      <w:sz w:val="21"/>
      <w:szCs w:val="24"/>
    </w:rPr>
  </w:style>
  <w:style w:type="paragraph" w:customStyle="1" w:styleId="1694">
    <w:name w:val="Char Char Char Char13"/>
    <w:basedOn w:val="1"/>
    <w:qFormat/>
    <w:uiPriority w:val="0"/>
    <w:pPr>
      <w:adjustRightInd/>
      <w:snapToGrid/>
      <w:spacing w:line="360" w:lineRule="auto"/>
      <w:jc w:val="both"/>
    </w:pPr>
    <w:rPr>
      <w:rFonts w:ascii="宋体" w:hAnsi="宋体" w:cs="宋体"/>
      <w:sz w:val="24"/>
      <w:szCs w:val="24"/>
    </w:rPr>
  </w:style>
  <w:style w:type="paragraph" w:customStyle="1" w:styleId="1695">
    <w:name w:val="Char24"/>
    <w:basedOn w:val="1"/>
    <w:qFormat/>
    <w:uiPriority w:val="0"/>
    <w:pPr>
      <w:adjustRightInd/>
      <w:snapToGrid/>
      <w:spacing w:line="240" w:lineRule="auto"/>
      <w:ind w:firstLine="0" w:firstLineChars="0"/>
      <w:jc w:val="both"/>
    </w:pPr>
    <w:rPr>
      <w:sz w:val="21"/>
      <w:szCs w:val="21"/>
    </w:rPr>
  </w:style>
  <w:style w:type="paragraph" w:customStyle="1" w:styleId="1696">
    <w:name w:val="Char Char Char Char Char Char3"/>
    <w:basedOn w:val="1"/>
    <w:qFormat/>
    <w:uiPriority w:val="0"/>
    <w:pPr>
      <w:adjustRightInd/>
      <w:snapToGrid/>
      <w:spacing w:line="240" w:lineRule="auto"/>
      <w:ind w:firstLine="0" w:firstLineChars="0"/>
      <w:jc w:val="both"/>
    </w:pPr>
    <w:rPr>
      <w:rFonts w:ascii="宋体" w:hAnsi="宋体"/>
      <w:sz w:val="24"/>
      <w:szCs w:val="24"/>
    </w:rPr>
  </w:style>
  <w:style w:type="paragraph" w:customStyle="1" w:styleId="1697">
    <w:name w:val="日期4"/>
    <w:basedOn w:val="1"/>
    <w:next w:val="1"/>
    <w:qFormat/>
    <w:uiPriority w:val="0"/>
    <w:pPr>
      <w:snapToGrid/>
      <w:spacing w:line="240" w:lineRule="auto"/>
      <w:ind w:firstLine="0" w:firstLineChars="0"/>
      <w:jc w:val="both"/>
      <w:textAlignment w:val="baseline"/>
    </w:pPr>
    <w:rPr>
      <w:sz w:val="21"/>
      <w:szCs w:val="20"/>
    </w:rPr>
  </w:style>
  <w:style w:type="character" w:customStyle="1" w:styleId="1698">
    <w:name w:val="Char Char73"/>
    <w:qFormat/>
    <w:uiPriority w:val="0"/>
    <w:rPr>
      <w:rFonts w:eastAsia="宋体"/>
      <w:b/>
      <w:bCs/>
      <w:kern w:val="44"/>
      <w:sz w:val="44"/>
      <w:szCs w:val="44"/>
      <w:lang w:val="en-US" w:eastAsia="zh-CN" w:bidi="ar-SA"/>
    </w:rPr>
  </w:style>
  <w:style w:type="paragraph" w:customStyle="1" w:styleId="1699">
    <w:name w:val="Char Char1 Char2"/>
    <w:basedOn w:val="1"/>
    <w:qFormat/>
    <w:uiPriority w:val="0"/>
    <w:pPr>
      <w:adjustRightInd/>
      <w:snapToGrid/>
      <w:spacing w:line="240" w:lineRule="auto"/>
      <w:ind w:firstLine="0" w:firstLineChars="0"/>
      <w:jc w:val="both"/>
    </w:pPr>
    <w:rPr>
      <w:sz w:val="21"/>
      <w:szCs w:val="24"/>
    </w:rPr>
  </w:style>
  <w:style w:type="paragraph" w:customStyle="1" w:styleId="1700">
    <w:name w:val="纯文本4"/>
    <w:basedOn w:val="1"/>
    <w:qFormat/>
    <w:uiPriority w:val="0"/>
    <w:pPr>
      <w:snapToGrid/>
      <w:spacing w:line="240" w:lineRule="auto"/>
      <w:ind w:firstLine="0" w:firstLineChars="0"/>
      <w:jc w:val="both"/>
      <w:textAlignment w:val="baseline"/>
    </w:pPr>
    <w:rPr>
      <w:rFonts w:ascii="宋体" w:hAnsi="Courier New"/>
      <w:sz w:val="21"/>
      <w:szCs w:val="24"/>
    </w:rPr>
  </w:style>
  <w:style w:type="paragraph" w:customStyle="1" w:styleId="1701">
    <w:name w:val="批注框文本5"/>
    <w:basedOn w:val="1"/>
    <w:semiHidden/>
    <w:qFormat/>
    <w:uiPriority w:val="0"/>
    <w:pPr>
      <w:widowControl/>
      <w:autoSpaceDE w:val="0"/>
      <w:autoSpaceDN w:val="0"/>
      <w:adjustRightInd/>
      <w:snapToGrid/>
      <w:spacing w:line="240" w:lineRule="auto"/>
      <w:ind w:firstLine="0" w:firstLineChars="0"/>
    </w:pPr>
    <w:rPr>
      <w:rFonts w:ascii="Tahoma" w:hAnsi="Tahoma" w:cs="幼圆"/>
      <w:kern w:val="0"/>
      <w:sz w:val="16"/>
      <w:szCs w:val="16"/>
      <w:lang w:val="en-GB" w:eastAsia="en-GB"/>
    </w:rPr>
  </w:style>
  <w:style w:type="paragraph" w:customStyle="1" w:styleId="1702">
    <w:name w:val="正文13"/>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703">
    <w:name w:val="普通(网站)4"/>
    <w:basedOn w:val="1"/>
    <w:qFormat/>
    <w:uiPriority w:val="0"/>
    <w:pPr>
      <w:adjustRightInd/>
      <w:snapToGrid/>
      <w:spacing w:line="240" w:lineRule="auto"/>
      <w:ind w:firstLine="0" w:firstLineChars="0"/>
      <w:jc w:val="both"/>
    </w:pPr>
    <w:rPr>
      <w:sz w:val="24"/>
      <w:szCs w:val="24"/>
    </w:rPr>
  </w:style>
  <w:style w:type="character" w:customStyle="1" w:styleId="1704">
    <w:name w:val="Char1 Char Char Char Char Char Char Char Char Char Char Char Char Char Char Char Char Char2"/>
    <w:qFormat/>
    <w:uiPriority w:val="0"/>
    <w:rPr>
      <w:rFonts w:ascii="Arial Narrow" w:hAnsi="Arial Narrow" w:eastAsia="仿宋_GB2312"/>
      <w:sz w:val="24"/>
      <w:szCs w:val="28"/>
      <w:lang w:val="en-US" w:eastAsia="zh-CN" w:bidi="ar-SA"/>
    </w:rPr>
  </w:style>
  <w:style w:type="paragraph" w:customStyle="1" w:styleId="1705">
    <w:name w:val="Char Char3 Char Char Char Char3"/>
    <w:basedOn w:val="1"/>
    <w:qFormat/>
    <w:uiPriority w:val="0"/>
    <w:pPr>
      <w:widowControl/>
      <w:adjustRightInd/>
      <w:snapToGrid/>
      <w:spacing w:after="160" w:line="240" w:lineRule="exact"/>
      <w:ind w:firstLine="0" w:firstLineChars="0"/>
    </w:pPr>
    <w:rPr>
      <w:rFonts w:ascii="Verdana" w:hAnsi="Verdana"/>
      <w:kern w:val="0"/>
      <w:sz w:val="20"/>
      <w:szCs w:val="20"/>
      <w:lang w:eastAsia="en-US"/>
    </w:rPr>
  </w:style>
  <w:style w:type="character" w:customStyle="1" w:styleId="1706">
    <w:name w:val="Char Char162"/>
    <w:qFormat/>
    <w:uiPriority w:val="0"/>
    <w:rPr>
      <w:rFonts w:ascii="Book Antiqua" w:hAnsi="Book Antiqua" w:eastAsia="宋体"/>
      <w:i/>
      <w:sz w:val="22"/>
      <w:lang w:val="en-GB" w:eastAsia="zh-CN" w:bidi="ar-SA"/>
    </w:rPr>
  </w:style>
  <w:style w:type="character" w:customStyle="1" w:styleId="1707">
    <w:name w:val="Char Char132"/>
    <w:qFormat/>
    <w:uiPriority w:val="0"/>
    <w:rPr>
      <w:rFonts w:ascii="宋体" w:eastAsia="宋体"/>
      <w:b/>
      <w:spacing w:val="6"/>
      <w:kern w:val="2"/>
      <w:sz w:val="24"/>
      <w:szCs w:val="26"/>
      <w:lang w:val="en-US" w:eastAsia="zh-CN" w:bidi="ar-SA"/>
    </w:rPr>
  </w:style>
  <w:style w:type="paragraph" w:customStyle="1" w:styleId="1708">
    <w:name w:val="Char Char Char Char Char Char Char Char Char Char Char Char Char Char Char Char Char Char Char2"/>
    <w:basedOn w:val="1"/>
    <w:qFormat/>
    <w:uiPriority w:val="0"/>
    <w:pPr>
      <w:adjustRightInd/>
      <w:snapToGrid/>
      <w:spacing w:line="240" w:lineRule="auto"/>
      <w:ind w:firstLine="0" w:firstLineChars="0"/>
      <w:jc w:val="both"/>
    </w:pPr>
    <w:rPr>
      <w:rFonts w:eastAsia="Times New Roman"/>
      <w:kern w:val="0"/>
      <w:sz w:val="20"/>
      <w:szCs w:val="20"/>
    </w:rPr>
  </w:style>
  <w:style w:type="character" w:customStyle="1" w:styleId="1709">
    <w:name w:val="Char Char102"/>
    <w:qFormat/>
    <w:uiPriority w:val="0"/>
    <w:rPr>
      <w:rFonts w:eastAsia="宋体"/>
      <w:sz w:val="18"/>
      <w:szCs w:val="18"/>
      <w:lang w:val="zh-CN" w:eastAsia="zh-CN" w:bidi="ar-SA"/>
    </w:rPr>
  </w:style>
  <w:style w:type="character" w:customStyle="1" w:styleId="1710">
    <w:name w:val="Char Char82"/>
    <w:qFormat/>
    <w:uiPriority w:val="0"/>
    <w:rPr>
      <w:rFonts w:ascii="宋体" w:hAnsi="宋体" w:eastAsia="宋体"/>
      <w:sz w:val="24"/>
      <w:szCs w:val="24"/>
      <w:lang w:val="zh-CN" w:eastAsia="zh-CN" w:bidi="ar-SA"/>
    </w:rPr>
  </w:style>
  <w:style w:type="paragraph" w:customStyle="1" w:styleId="1711">
    <w:name w:val="Char Char Char Char Char2 Char Char Char Char3"/>
    <w:basedOn w:val="1"/>
    <w:semiHidden/>
    <w:qFormat/>
    <w:uiPriority w:val="0"/>
    <w:pPr>
      <w:spacing w:line="360" w:lineRule="auto"/>
      <w:jc w:val="both"/>
    </w:pPr>
    <w:rPr>
      <w:rFonts w:ascii="宋体" w:hAnsi="宋体" w:cs="宋体"/>
      <w:sz w:val="24"/>
      <w:szCs w:val="26"/>
    </w:rPr>
  </w:style>
  <w:style w:type="character" w:customStyle="1" w:styleId="1712">
    <w:name w:val="标题12"/>
    <w:basedOn w:val="132"/>
    <w:qFormat/>
    <w:uiPriority w:val="0"/>
  </w:style>
  <w:style w:type="paragraph" w:customStyle="1" w:styleId="1713">
    <w:name w:val="Char Char Char Char Char Char Char Char Char Char Char Char Char Char Char Char Char Char2"/>
    <w:basedOn w:val="1"/>
    <w:qFormat/>
    <w:uiPriority w:val="0"/>
    <w:pPr>
      <w:adjustRightInd/>
      <w:snapToGrid/>
      <w:spacing w:line="240" w:lineRule="auto"/>
      <w:ind w:firstLine="0" w:firstLineChars="0"/>
      <w:jc w:val="both"/>
    </w:pPr>
    <w:rPr>
      <w:sz w:val="21"/>
      <w:szCs w:val="24"/>
    </w:rPr>
  </w:style>
  <w:style w:type="paragraph" w:customStyle="1" w:styleId="1714">
    <w:name w:val="Char Char Char Char Char Char Char Char Char Char2"/>
    <w:basedOn w:val="1"/>
    <w:next w:val="1"/>
    <w:qFormat/>
    <w:uiPriority w:val="0"/>
    <w:pPr>
      <w:adjustRightInd/>
      <w:snapToGrid/>
      <w:spacing w:line="360" w:lineRule="auto"/>
      <w:jc w:val="both"/>
    </w:pPr>
    <w:rPr>
      <w:rFonts w:ascii="宋体" w:hAnsi="宋体" w:cs="宋体"/>
      <w:sz w:val="24"/>
      <w:szCs w:val="24"/>
    </w:rPr>
  </w:style>
  <w:style w:type="paragraph" w:customStyle="1" w:styleId="1715">
    <w:name w:val="Char Char Char Char Char Char Char Char Char Char Char Char5"/>
    <w:basedOn w:val="1"/>
    <w:next w:val="1"/>
    <w:qFormat/>
    <w:uiPriority w:val="0"/>
    <w:pPr>
      <w:adjustRightInd/>
      <w:snapToGrid/>
      <w:spacing w:line="360" w:lineRule="auto"/>
      <w:jc w:val="both"/>
    </w:pPr>
    <w:rPr>
      <w:rFonts w:ascii="宋体" w:hAnsi="宋体" w:cs="宋体"/>
      <w:sz w:val="24"/>
      <w:szCs w:val="24"/>
    </w:rPr>
  </w:style>
  <w:style w:type="paragraph" w:customStyle="1" w:styleId="1716">
    <w:name w:val="Char Char Char Char Char Char Char Char Char Char Char Char1 Char2"/>
    <w:basedOn w:val="1"/>
    <w:next w:val="1"/>
    <w:qFormat/>
    <w:uiPriority w:val="0"/>
    <w:pPr>
      <w:adjustRightInd/>
      <w:snapToGrid/>
      <w:spacing w:line="360" w:lineRule="auto"/>
      <w:jc w:val="both"/>
    </w:pPr>
    <w:rPr>
      <w:rFonts w:ascii="宋体" w:hAnsi="宋体" w:cs="宋体"/>
      <w:sz w:val="24"/>
      <w:szCs w:val="24"/>
    </w:rPr>
  </w:style>
  <w:style w:type="paragraph" w:customStyle="1" w:styleId="1717">
    <w:name w:val="Char Char Char Char Char Char1 Char2"/>
    <w:basedOn w:val="1"/>
    <w:qFormat/>
    <w:uiPriority w:val="0"/>
    <w:pPr>
      <w:adjustRightInd/>
      <w:snapToGrid/>
      <w:spacing w:line="240" w:lineRule="auto"/>
      <w:ind w:firstLine="0" w:firstLineChars="0"/>
      <w:jc w:val="both"/>
    </w:pPr>
    <w:rPr>
      <w:sz w:val="21"/>
      <w:szCs w:val="24"/>
    </w:rPr>
  </w:style>
  <w:style w:type="paragraph" w:customStyle="1" w:styleId="1718">
    <w:name w:val="Char Char Char Char Char Char Char Char Char Char Char Char Char Char Char Char3"/>
    <w:basedOn w:val="1"/>
    <w:qFormat/>
    <w:uiPriority w:val="0"/>
    <w:pPr>
      <w:adjustRightInd/>
      <w:snapToGrid/>
      <w:spacing w:line="240" w:lineRule="auto"/>
      <w:ind w:firstLine="0" w:firstLineChars="0"/>
      <w:jc w:val="both"/>
    </w:pPr>
    <w:rPr>
      <w:sz w:val="21"/>
      <w:szCs w:val="24"/>
    </w:rPr>
  </w:style>
  <w:style w:type="paragraph" w:customStyle="1" w:styleId="1719">
    <w:name w:val="Char Char Char1 Char Char Char Char Char Char Char Char Char Char Char Char Char Char Char Char Char Char Char2"/>
    <w:basedOn w:val="1"/>
    <w:qFormat/>
    <w:uiPriority w:val="0"/>
    <w:pPr>
      <w:adjustRightInd/>
      <w:snapToGrid/>
      <w:spacing w:line="240" w:lineRule="auto"/>
      <w:ind w:firstLine="0" w:firstLineChars="0"/>
      <w:jc w:val="both"/>
    </w:pPr>
    <w:rPr>
      <w:sz w:val="21"/>
      <w:szCs w:val="24"/>
    </w:rPr>
  </w:style>
  <w:style w:type="paragraph" w:customStyle="1" w:styleId="1720">
    <w:name w:val="Char Char Char Char Char Char Char Char Char Char Char Char Char Char Char Char Char Char Char Char Char Char Char Char Char Char Char Char Char Char Char Char Char Char Char Char Char Char Char2"/>
    <w:basedOn w:val="1"/>
    <w:qFormat/>
    <w:uiPriority w:val="0"/>
    <w:pPr>
      <w:adjustRightInd/>
      <w:snapToGrid/>
      <w:spacing w:line="240" w:lineRule="auto"/>
      <w:ind w:firstLine="0" w:firstLineChars="0"/>
      <w:jc w:val="both"/>
    </w:pPr>
    <w:rPr>
      <w:sz w:val="21"/>
      <w:szCs w:val="24"/>
    </w:rPr>
  </w:style>
  <w:style w:type="paragraph" w:customStyle="1" w:styleId="1721">
    <w:name w:val="Char Char Char Char Char Char Char Char Char Char Char2"/>
    <w:basedOn w:val="1"/>
    <w:qFormat/>
    <w:uiPriority w:val="0"/>
    <w:pPr>
      <w:snapToGrid/>
      <w:spacing w:line="360" w:lineRule="auto"/>
      <w:ind w:firstLine="0" w:firstLineChars="0"/>
      <w:jc w:val="both"/>
    </w:pPr>
    <w:rPr>
      <w:kern w:val="0"/>
      <w:sz w:val="24"/>
      <w:szCs w:val="20"/>
    </w:rPr>
  </w:style>
  <w:style w:type="character" w:customStyle="1" w:styleId="1722">
    <w:name w:val="Char Char Char Char Char Char Char Char2"/>
    <w:link w:val="1691"/>
    <w:qFormat/>
    <w:uiPriority w:val="0"/>
    <w:rPr>
      <w:rFonts w:ascii="Times New Roman" w:hAnsi="Times New Roman"/>
      <w:kern w:val="2"/>
      <w:sz w:val="21"/>
      <w:szCs w:val="24"/>
    </w:rPr>
  </w:style>
  <w:style w:type="paragraph" w:customStyle="1" w:styleId="1723">
    <w:name w:val="Char Char Char Char Char2 Char3"/>
    <w:basedOn w:val="1"/>
    <w:qFormat/>
    <w:uiPriority w:val="0"/>
    <w:pPr>
      <w:spacing w:line="360" w:lineRule="auto"/>
      <w:jc w:val="both"/>
    </w:pPr>
    <w:rPr>
      <w:sz w:val="21"/>
      <w:szCs w:val="20"/>
    </w:rPr>
  </w:style>
  <w:style w:type="character" w:customStyle="1" w:styleId="1724">
    <w:name w:val="Char Char172"/>
    <w:qFormat/>
    <w:uiPriority w:val="0"/>
    <w:rPr>
      <w:rFonts w:eastAsia="宋体"/>
      <w:color w:val="000000"/>
      <w:kern w:val="2"/>
      <w:sz w:val="18"/>
      <w:szCs w:val="18"/>
      <w:lang w:val="en-US" w:eastAsia="zh-CN" w:bidi="ar-SA"/>
    </w:rPr>
  </w:style>
  <w:style w:type="paragraph" w:customStyle="1" w:styleId="1725">
    <w:name w:val="Char Char Char3"/>
    <w:basedOn w:val="1"/>
    <w:qFormat/>
    <w:uiPriority w:val="0"/>
    <w:pPr>
      <w:adjustRightInd/>
      <w:snapToGrid/>
      <w:spacing w:line="240" w:lineRule="auto"/>
      <w:ind w:firstLine="0" w:firstLineChars="0"/>
      <w:jc w:val="both"/>
    </w:pPr>
    <w:rPr>
      <w:sz w:val="24"/>
      <w:szCs w:val="24"/>
    </w:rPr>
  </w:style>
  <w:style w:type="character" w:customStyle="1" w:styleId="1726">
    <w:name w:val="Char Char222"/>
    <w:qFormat/>
    <w:uiPriority w:val="0"/>
    <w:rPr>
      <w:sz w:val="18"/>
      <w:lang w:eastAsia="en-US" w:bidi="en-US"/>
    </w:rPr>
  </w:style>
  <w:style w:type="character" w:customStyle="1" w:styleId="1727">
    <w:name w:val="Char Char212"/>
    <w:qFormat/>
    <w:uiPriority w:val="0"/>
    <w:rPr>
      <w:rFonts w:eastAsia="宋体"/>
      <w:sz w:val="18"/>
    </w:rPr>
  </w:style>
  <w:style w:type="character" w:customStyle="1" w:styleId="1728">
    <w:name w:val="Char Char202"/>
    <w:qFormat/>
    <w:uiPriority w:val="0"/>
    <w:rPr>
      <w:rFonts w:eastAsia="宋体"/>
      <w:sz w:val="18"/>
    </w:rPr>
  </w:style>
  <w:style w:type="character" w:customStyle="1" w:styleId="1729">
    <w:name w:val="Char Char192"/>
    <w:qFormat/>
    <w:uiPriority w:val="0"/>
    <w:rPr>
      <w:rFonts w:ascii="Cambria" w:hAnsi="Cambria" w:eastAsia="宋体"/>
      <w:b/>
      <w:kern w:val="28"/>
      <w:sz w:val="32"/>
    </w:rPr>
  </w:style>
  <w:style w:type="character" w:customStyle="1" w:styleId="1730">
    <w:name w:val="Char Char182"/>
    <w:qFormat/>
    <w:uiPriority w:val="0"/>
    <w:rPr>
      <w:rFonts w:eastAsia="宋体"/>
    </w:rPr>
  </w:style>
  <w:style w:type="character" w:customStyle="1" w:styleId="1731">
    <w:name w:val="Char Char251"/>
    <w:qFormat/>
    <w:uiPriority w:val="0"/>
    <w:rPr>
      <w:rFonts w:ascii="Times New Roman" w:hAnsi="Times New Roman" w:eastAsia="宋体" w:cs="Times New Roman"/>
      <w:szCs w:val="24"/>
    </w:rPr>
  </w:style>
  <w:style w:type="paragraph" w:customStyle="1" w:styleId="1732">
    <w:name w:val="Char Char Char1 Char1"/>
    <w:basedOn w:val="1"/>
    <w:qFormat/>
    <w:uiPriority w:val="0"/>
    <w:pPr>
      <w:adjustRightInd/>
      <w:snapToGrid/>
      <w:spacing w:line="240" w:lineRule="auto"/>
      <w:ind w:firstLine="0" w:firstLineChars="0"/>
      <w:jc w:val="both"/>
    </w:pPr>
    <w:rPr>
      <w:rFonts w:ascii="宋体" w:hAnsi="Tahoma" w:cs="Tahoma"/>
      <w:sz w:val="20"/>
      <w:szCs w:val="21"/>
    </w:rPr>
  </w:style>
  <w:style w:type="paragraph" w:customStyle="1" w:styleId="1733">
    <w:name w:val="Char Char Char Char Char1"/>
    <w:basedOn w:val="1"/>
    <w:qFormat/>
    <w:uiPriority w:val="0"/>
    <w:pPr>
      <w:adjustRightInd/>
      <w:snapToGrid/>
      <w:spacing w:line="240" w:lineRule="auto"/>
      <w:ind w:firstLine="0" w:firstLineChars="0"/>
      <w:jc w:val="both"/>
    </w:pPr>
    <w:rPr>
      <w:sz w:val="21"/>
      <w:szCs w:val="24"/>
    </w:rPr>
  </w:style>
  <w:style w:type="paragraph" w:customStyle="1" w:styleId="1734">
    <w:name w:val="Char Char Char Char Char Char Char Char Char Char Char Char Char1"/>
    <w:basedOn w:val="1"/>
    <w:qFormat/>
    <w:uiPriority w:val="0"/>
    <w:pPr>
      <w:adjustRightInd/>
      <w:snapToGrid/>
      <w:spacing w:line="360" w:lineRule="auto"/>
      <w:jc w:val="both"/>
    </w:pPr>
    <w:rPr>
      <w:rFonts w:ascii="宋体" w:hAnsi="宋体" w:cs="宋体"/>
      <w:sz w:val="24"/>
      <w:szCs w:val="24"/>
    </w:rPr>
  </w:style>
  <w:style w:type="paragraph" w:customStyle="1" w:styleId="1735">
    <w:name w:val="Char1 Char Char Char Char Char Char1"/>
    <w:basedOn w:val="1"/>
    <w:qFormat/>
    <w:uiPriority w:val="0"/>
    <w:pPr>
      <w:keepNext/>
      <w:keepLines/>
      <w:adjustRightInd/>
      <w:snapToGrid/>
      <w:spacing w:after="160" w:line="240" w:lineRule="exact"/>
      <w:ind w:firstLine="0" w:firstLineChars="0"/>
    </w:pPr>
    <w:rPr>
      <w:rFonts w:ascii="宋体" w:hAnsi="宋体"/>
      <w:b/>
      <w:kern w:val="0"/>
      <w:sz w:val="44"/>
      <w:szCs w:val="44"/>
      <w:lang w:eastAsia="en-US"/>
    </w:rPr>
  </w:style>
  <w:style w:type="paragraph" w:customStyle="1" w:styleId="1736">
    <w:name w:val="标题 1红4号2"/>
    <w:basedOn w:val="3"/>
    <w:qFormat/>
    <w:uiPriority w:val="0"/>
    <w:pPr>
      <w:keepNext/>
      <w:keepLines/>
      <w:widowControl w:val="0"/>
      <w:numPr>
        <w:numId w:val="0"/>
      </w:numPr>
      <w:shd w:val="clear" w:color="auto" w:fill="FFFFFF"/>
      <w:tabs>
        <w:tab w:val="left" w:pos="210"/>
        <w:tab w:val="clear" w:pos="0"/>
      </w:tabs>
      <w:kinsoku w:val="0"/>
      <w:overflowPunct w:val="0"/>
      <w:autoSpaceDE w:val="0"/>
      <w:autoSpaceDN w:val="0"/>
      <w:adjustRightInd/>
      <w:snapToGrid/>
      <w:spacing w:beforeLines="0" w:afterLines="0" w:line="240" w:lineRule="auto"/>
      <w:ind w:firstLine="200" w:firstLineChars="200"/>
    </w:pPr>
    <w:rPr>
      <w:rFonts w:ascii="宋体" w:hAnsi="宋体"/>
      <w:bCs w:val="0"/>
      <w:snapToGrid/>
      <w:color w:val="FF6600"/>
      <w:sz w:val="28"/>
      <w:szCs w:val="28"/>
    </w:rPr>
  </w:style>
  <w:style w:type="paragraph" w:customStyle="1" w:styleId="1737">
    <w:name w:val="标题 2 蓝四号2"/>
    <w:basedOn w:val="4"/>
    <w:next w:val="1"/>
    <w:semiHidden/>
    <w:qFormat/>
    <w:uiPriority w:val="0"/>
    <w:pPr>
      <w:keepNext/>
      <w:keepLines/>
      <w:widowControl w:val="0"/>
      <w:shd w:val="clear" w:color="auto" w:fill="FFFFFF"/>
      <w:tabs>
        <w:tab w:val="left" w:pos="210"/>
        <w:tab w:val="clear" w:pos="0"/>
      </w:tabs>
      <w:kinsoku w:val="0"/>
      <w:overflowPunct w:val="0"/>
      <w:autoSpaceDE w:val="0"/>
      <w:autoSpaceDN w:val="0"/>
      <w:spacing w:beforeLines="0" w:afterLines="0" w:line="300" w:lineRule="exact"/>
      <w:jc w:val="both"/>
    </w:pPr>
    <w:rPr>
      <w:rFonts w:ascii="宋体" w:hAnsi="宋体"/>
      <w:bCs w:val="0"/>
      <w:snapToGrid/>
      <w:color w:val="0000FF"/>
      <w:sz w:val="24"/>
      <w:szCs w:val="24"/>
    </w:rPr>
  </w:style>
  <w:style w:type="character" w:customStyle="1" w:styleId="1738">
    <w:name w:val="Char Char231"/>
    <w:qFormat/>
    <w:uiPriority w:val="0"/>
    <w:rPr>
      <w:rFonts w:ascii="Arial Narrow" w:hAnsi="Arial Narrow" w:eastAsia="仿宋_GB2312"/>
      <w:kern w:val="2"/>
      <w:sz w:val="24"/>
      <w:szCs w:val="24"/>
      <w:lang w:val="en-US" w:eastAsia="zh-CN" w:bidi="ar-SA"/>
    </w:rPr>
  </w:style>
  <w:style w:type="character" w:customStyle="1" w:styleId="1739">
    <w:name w:val="Char Char271"/>
    <w:qFormat/>
    <w:uiPriority w:val="0"/>
    <w:rPr>
      <w:rFonts w:eastAsia="宋体"/>
      <w:bCs/>
      <w:color w:val="000000"/>
      <w:sz w:val="24"/>
      <w:szCs w:val="19"/>
      <w:lang w:val="en-US" w:eastAsia="zh-CN" w:bidi="ar-SA"/>
    </w:rPr>
  </w:style>
  <w:style w:type="character" w:customStyle="1" w:styleId="1740">
    <w:name w:val="Char Char321"/>
    <w:qFormat/>
    <w:uiPriority w:val="0"/>
    <w:rPr>
      <w:rFonts w:eastAsia="宋体"/>
      <w:color w:val="000000"/>
      <w:kern w:val="2"/>
      <w:sz w:val="24"/>
      <w:szCs w:val="24"/>
      <w:lang w:val="en-US" w:eastAsia="zh-CN" w:bidi="ar-SA"/>
    </w:rPr>
  </w:style>
  <w:style w:type="character" w:customStyle="1" w:styleId="1741">
    <w:name w:val="Char Char341"/>
    <w:qFormat/>
    <w:uiPriority w:val="0"/>
    <w:rPr>
      <w:rFonts w:eastAsia="宋体"/>
      <w:kern w:val="2"/>
      <w:sz w:val="21"/>
      <w:szCs w:val="24"/>
      <w:lang w:val="en-US" w:eastAsia="zh-CN" w:bidi="ar-SA"/>
    </w:rPr>
  </w:style>
  <w:style w:type="character" w:customStyle="1" w:styleId="1742">
    <w:name w:val="报告 Char"/>
    <w:link w:val="727"/>
    <w:qFormat/>
    <w:locked/>
    <w:uiPriority w:val="0"/>
    <w:rPr>
      <w:rFonts w:ascii="Times New Roman" w:hAnsi="Times New Roman"/>
      <w:color w:val="000000"/>
      <w:spacing w:val="8"/>
      <w:sz w:val="24"/>
      <w:szCs w:val="28"/>
    </w:rPr>
  </w:style>
  <w:style w:type="paragraph" w:customStyle="1" w:styleId="1743">
    <w:name w:val="1、表内字"/>
    <w:basedOn w:val="1"/>
    <w:qFormat/>
    <w:uiPriority w:val="0"/>
    <w:pPr>
      <w:adjustRightInd/>
      <w:snapToGrid/>
      <w:spacing w:line="240" w:lineRule="auto"/>
      <w:ind w:firstLine="0" w:firstLineChars="0"/>
      <w:jc w:val="center"/>
    </w:pPr>
    <w:rPr>
      <w:sz w:val="21"/>
      <w:szCs w:val="21"/>
    </w:rPr>
  </w:style>
  <w:style w:type="paragraph" w:customStyle="1" w:styleId="1744">
    <w:name w:val="1、正文"/>
    <w:basedOn w:val="1"/>
    <w:qFormat/>
    <w:uiPriority w:val="99"/>
    <w:pPr>
      <w:adjustRightInd/>
      <w:snapToGrid/>
      <w:spacing w:line="360" w:lineRule="auto"/>
      <w:ind w:firstLine="480"/>
      <w:jc w:val="both"/>
    </w:pPr>
    <w:rPr>
      <w:sz w:val="24"/>
      <w:szCs w:val="24"/>
    </w:rPr>
  </w:style>
  <w:style w:type="character" w:customStyle="1" w:styleId="1745">
    <w:name w:val="表格内 Char"/>
    <w:link w:val="704"/>
    <w:qFormat/>
    <w:uiPriority w:val="0"/>
    <w:rPr>
      <w:rFonts w:ascii="宋体" w:hAnsi="宋体" w:eastAsia="仿宋_GB2312" w:cs="宋体"/>
      <w:sz w:val="24"/>
    </w:rPr>
  </w:style>
  <w:style w:type="character" w:customStyle="1" w:styleId="1746">
    <w:name w:val="sb1"/>
    <w:qFormat/>
    <w:uiPriority w:val="0"/>
    <w:rPr>
      <w:sz w:val="20"/>
      <w:szCs w:val="20"/>
    </w:rPr>
  </w:style>
  <w:style w:type="character" w:customStyle="1" w:styleId="1747">
    <w:name w:val="排版正文 Char Char"/>
    <w:qFormat/>
    <w:uiPriority w:val="0"/>
    <w:rPr>
      <w:rFonts w:eastAsia="宋体"/>
      <w:color w:val="000000"/>
      <w:kern w:val="2"/>
      <w:sz w:val="26"/>
      <w:szCs w:val="26"/>
      <w:lang w:val="en-US" w:eastAsia="zh-CN" w:bidi="ar-SA"/>
    </w:rPr>
  </w:style>
  <w:style w:type="character" w:customStyle="1" w:styleId="1748">
    <w:name w:val="样式 小四"/>
    <w:qFormat/>
    <w:uiPriority w:val="0"/>
    <w:rPr>
      <w:sz w:val="24"/>
    </w:rPr>
  </w:style>
  <w:style w:type="paragraph" w:customStyle="1" w:styleId="1749">
    <w:name w:val="表样式1"/>
    <w:basedOn w:val="1"/>
    <w:qFormat/>
    <w:uiPriority w:val="0"/>
    <w:pPr>
      <w:adjustRightInd/>
      <w:spacing w:line="360" w:lineRule="auto"/>
      <w:ind w:left="-21" w:right="-21" w:firstLine="0" w:firstLineChars="0"/>
      <w:jc w:val="center"/>
    </w:pPr>
    <w:rPr>
      <w:bCs/>
      <w:color w:val="000000"/>
      <w:sz w:val="21"/>
      <w:szCs w:val="21"/>
    </w:rPr>
  </w:style>
  <w:style w:type="paragraph" w:customStyle="1" w:styleId="1750">
    <w:name w:val="样式 表名 + 首行缩进:  0.74 厘米"/>
    <w:basedOn w:val="1"/>
    <w:qFormat/>
    <w:uiPriority w:val="0"/>
    <w:pPr>
      <w:overflowPunct w:val="0"/>
      <w:adjustRightInd/>
      <w:snapToGrid/>
      <w:spacing w:line="360" w:lineRule="auto"/>
      <w:ind w:firstLine="0" w:firstLineChars="0"/>
      <w:jc w:val="center"/>
      <w:textAlignment w:val="baseline"/>
    </w:pPr>
    <w:rPr>
      <w:rFonts w:ascii="Arial" w:hAnsi="Arial" w:eastAsia="黑体"/>
      <w:color w:val="000000"/>
      <w:sz w:val="21"/>
      <w:szCs w:val="20"/>
    </w:rPr>
  </w:style>
  <w:style w:type="paragraph" w:customStyle="1" w:styleId="1751">
    <w:name w:val="环正文"/>
    <w:basedOn w:val="1"/>
    <w:qFormat/>
    <w:uiPriority w:val="0"/>
    <w:pPr>
      <w:widowControl/>
      <w:suppressAutoHyphens/>
      <w:snapToGrid/>
      <w:spacing w:line="312" w:lineRule="atLeast"/>
      <w:ind w:firstLine="549"/>
      <w:jc w:val="both"/>
      <w:textAlignment w:val="baseline"/>
    </w:pPr>
    <w:rPr>
      <w:rFonts w:ascii="宋体" w:hAnsi="宋体"/>
      <w:kern w:val="0"/>
      <w:sz w:val="24"/>
      <w:szCs w:val="20"/>
    </w:rPr>
  </w:style>
  <w:style w:type="paragraph" w:customStyle="1" w:styleId="1752">
    <w:name w:val="册除格式 Char Char"/>
    <w:qFormat/>
    <w:uiPriority w:val="0"/>
    <w:pPr>
      <w:spacing w:line="360" w:lineRule="auto"/>
      <w:ind w:firstLine="482"/>
    </w:pPr>
    <w:rPr>
      <w:rFonts w:ascii="黑体" w:hAnsi="Arial" w:eastAsia="宋体" w:cs="Arial"/>
      <w:snapToGrid w:val="0"/>
      <w:spacing w:val="4"/>
      <w:kern w:val="18"/>
      <w:sz w:val="24"/>
      <w:szCs w:val="28"/>
      <w:lang w:val="en-US" w:eastAsia="zh-CN" w:bidi="ar-SA"/>
    </w:rPr>
  </w:style>
  <w:style w:type="paragraph" w:customStyle="1" w:styleId="1753">
    <w:name w:val="文本框内文字"/>
    <w:basedOn w:val="1"/>
    <w:qFormat/>
    <w:uiPriority w:val="0"/>
    <w:pPr>
      <w:adjustRightInd/>
      <w:snapToGrid/>
      <w:spacing w:line="240" w:lineRule="exact"/>
      <w:ind w:left="-120" w:leftChars="-50" w:right="-120" w:rightChars="-50" w:firstLine="0" w:firstLineChars="0"/>
      <w:jc w:val="center"/>
    </w:pPr>
    <w:rPr>
      <w:rFonts w:ascii="仿宋_GB2312" w:eastAsia="仿宋_GB2312"/>
      <w:sz w:val="24"/>
      <w:szCs w:val="24"/>
    </w:rPr>
  </w:style>
  <w:style w:type="paragraph" w:customStyle="1" w:styleId="1754">
    <w:name w:val="段标"/>
    <w:basedOn w:val="1"/>
    <w:qFormat/>
    <w:uiPriority w:val="0"/>
    <w:pPr>
      <w:snapToGrid/>
      <w:spacing w:line="360" w:lineRule="auto"/>
      <w:ind w:firstLine="567" w:firstLineChars="0"/>
      <w:textAlignment w:val="baseline"/>
    </w:pPr>
    <w:rPr>
      <w:kern w:val="0"/>
      <w:sz w:val="28"/>
      <w:szCs w:val="20"/>
    </w:rPr>
  </w:style>
  <w:style w:type="paragraph" w:customStyle="1" w:styleId="1755">
    <w:name w:val="环评标题三级"/>
    <w:basedOn w:val="4"/>
    <w:qFormat/>
    <w:uiPriority w:val="0"/>
    <w:pPr>
      <w:keepNext/>
      <w:keepLines/>
      <w:widowControl w:val="0"/>
      <w:tabs>
        <w:tab w:val="clear" w:pos="0"/>
      </w:tabs>
      <w:spacing w:before="163" w:after="163" w:line="360" w:lineRule="exact"/>
      <w:outlineLvl w:val="2"/>
    </w:pPr>
    <w:rPr>
      <w:snapToGrid/>
    </w:rPr>
  </w:style>
  <w:style w:type="paragraph" w:customStyle="1" w:styleId="1756">
    <w:name w:val="td1"/>
    <w:basedOn w:val="1"/>
    <w:qFormat/>
    <w:uiPriority w:val="0"/>
    <w:pPr>
      <w:widowControl/>
      <w:adjustRightInd/>
      <w:snapToGrid/>
      <w:spacing w:before="100" w:beforeAutospacing="1" w:after="100" w:afterAutospacing="1" w:line="300" w:lineRule="atLeast"/>
      <w:ind w:firstLine="0" w:firstLineChars="0"/>
    </w:pPr>
    <w:rPr>
      <w:color w:val="000000"/>
      <w:kern w:val="0"/>
      <w:sz w:val="18"/>
      <w:szCs w:val="18"/>
    </w:rPr>
  </w:style>
  <w:style w:type="paragraph" w:customStyle="1" w:styleId="1757">
    <w:name w:val="样式1."/>
    <w:basedOn w:val="1"/>
    <w:qFormat/>
    <w:uiPriority w:val="0"/>
    <w:pPr>
      <w:spacing w:line="460" w:lineRule="exact"/>
      <w:ind w:firstLine="0" w:firstLineChars="0"/>
      <w:jc w:val="both"/>
    </w:pPr>
    <w:rPr>
      <w:rFonts w:ascii="黑体" w:eastAsia="黑体"/>
      <w:b/>
      <w:sz w:val="30"/>
      <w:szCs w:val="20"/>
    </w:rPr>
  </w:style>
  <w:style w:type="paragraph" w:customStyle="1" w:styleId="1758">
    <w:name w:val="正1"/>
    <w:basedOn w:val="1"/>
    <w:qFormat/>
    <w:uiPriority w:val="0"/>
    <w:pPr>
      <w:adjustRightInd/>
      <w:snapToGrid/>
      <w:spacing w:before="60" w:after="60" w:line="400" w:lineRule="exact"/>
      <w:ind w:right="32" w:firstLine="612" w:firstLineChars="0"/>
      <w:jc w:val="both"/>
    </w:pPr>
    <w:rPr>
      <w:rFonts w:ascii="宋体"/>
      <w:sz w:val="28"/>
      <w:szCs w:val="20"/>
    </w:rPr>
  </w:style>
  <w:style w:type="paragraph" w:customStyle="1" w:styleId="1759">
    <w:name w:val="环表头"/>
    <w:basedOn w:val="1"/>
    <w:next w:val="1"/>
    <w:qFormat/>
    <w:uiPriority w:val="0"/>
    <w:pPr>
      <w:widowControl/>
      <w:suppressAutoHyphens/>
      <w:snapToGrid/>
      <w:spacing w:before="60" w:after="60" w:line="312" w:lineRule="atLeast"/>
      <w:ind w:right="28" w:firstLine="0" w:firstLineChars="0"/>
      <w:jc w:val="center"/>
      <w:textAlignment w:val="baseline"/>
    </w:pPr>
    <w:rPr>
      <w:rFonts w:ascii="黑体" w:hAnsi="宋体" w:eastAsia="黑体"/>
      <w:kern w:val="0"/>
      <w:sz w:val="24"/>
      <w:szCs w:val="20"/>
    </w:rPr>
  </w:style>
  <w:style w:type="paragraph" w:customStyle="1" w:styleId="1760">
    <w:name w:val="表格后正文"/>
    <w:basedOn w:val="1"/>
    <w:qFormat/>
    <w:uiPriority w:val="0"/>
    <w:pPr>
      <w:tabs>
        <w:tab w:val="left" w:pos="567"/>
      </w:tabs>
      <w:adjustRightInd/>
      <w:snapToGrid/>
      <w:spacing w:before="200" w:line="360" w:lineRule="auto"/>
      <w:ind w:firstLine="567" w:firstLineChars="0"/>
      <w:jc w:val="both"/>
    </w:pPr>
    <w:rPr>
      <w:spacing w:val="20"/>
      <w:sz w:val="24"/>
      <w:szCs w:val="20"/>
    </w:rPr>
  </w:style>
  <w:style w:type="paragraph" w:customStyle="1" w:styleId="1761">
    <w:name w:val="样式1.1.1"/>
    <w:basedOn w:val="1"/>
    <w:qFormat/>
    <w:uiPriority w:val="0"/>
    <w:pPr>
      <w:adjustRightInd/>
      <w:snapToGrid/>
      <w:spacing w:line="360" w:lineRule="auto"/>
      <w:ind w:firstLine="0" w:firstLineChars="0"/>
      <w:jc w:val="both"/>
    </w:pPr>
    <w:rPr>
      <w:rFonts w:hAnsi="宋体"/>
      <w:b/>
      <w:sz w:val="28"/>
      <w:szCs w:val="20"/>
    </w:rPr>
  </w:style>
  <w:style w:type="paragraph" w:customStyle="1" w:styleId="1762">
    <w:name w:val="环评标题一级"/>
    <w:basedOn w:val="3"/>
    <w:qFormat/>
    <w:uiPriority w:val="0"/>
    <w:pPr>
      <w:keepNext/>
      <w:keepLines/>
      <w:widowControl w:val="0"/>
      <w:numPr>
        <w:numId w:val="0"/>
      </w:numPr>
      <w:tabs>
        <w:tab w:val="clear" w:pos="0"/>
      </w:tabs>
      <w:adjustRightInd/>
      <w:snapToGrid/>
      <w:spacing w:beforeLines="50" w:afterLines="50" w:line="360" w:lineRule="exact"/>
    </w:pPr>
    <w:rPr>
      <w:snapToGrid/>
      <w:sz w:val="32"/>
    </w:rPr>
  </w:style>
  <w:style w:type="paragraph" w:customStyle="1" w:styleId="1763">
    <w:name w:val="black12"/>
    <w:basedOn w:val="1"/>
    <w:qFormat/>
    <w:uiPriority w:val="0"/>
    <w:pPr>
      <w:widowControl/>
      <w:adjustRightInd/>
      <w:snapToGrid/>
      <w:spacing w:before="100" w:beforeAutospacing="1" w:after="100" w:afterAutospacing="1" w:line="240" w:lineRule="atLeast"/>
      <w:ind w:firstLine="0" w:firstLineChars="0"/>
    </w:pPr>
    <w:rPr>
      <w:rFonts w:ascii="ˎ̥" w:hAnsi="ˎ̥" w:cs="宋体"/>
      <w:color w:val="333333"/>
      <w:kern w:val="0"/>
      <w:sz w:val="18"/>
      <w:szCs w:val="18"/>
    </w:rPr>
  </w:style>
  <w:style w:type="paragraph" w:customStyle="1" w:styleId="1764">
    <w:name w:val="环评标题二级"/>
    <w:basedOn w:val="3"/>
    <w:qFormat/>
    <w:uiPriority w:val="0"/>
    <w:pPr>
      <w:keepNext/>
      <w:keepLines/>
      <w:widowControl w:val="0"/>
      <w:numPr>
        <w:numId w:val="0"/>
      </w:numPr>
      <w:tabs>
        <w:tab w:val="clear" w:pos="0"/>
      </w:tabs>
      <w:adjustRightInd/>
      <w:snapToGrid/>
      <w:spacing w:beforeLines="50" w:afterLines="50" w:line="360" w:lineRule="exact"/>
      <w:jc w:val="left"/>
    </w:pPr>
    <w:rPr>
      <w:snapToGrid/>
      <w:sz w:val="30"/>
    </w:rPr>
  </w:style>
  <w:style w:type="paragraph" w:customStyle="1" w:styleId="1765">
    <w:name w:val="表下注释"/>
    <w:basedOn w:val="280"/>
    <w:qFormat/>
    <w:uiPriority w:val="0"/>
    <w:pPr>
      <w:keepNext/>
      <w:keepLines/>
      <w:spacing w:beforeLines="0" w:afterLines="0" w:line="240" w:lineRule="exact"/>
      <w:ind w:firstLine="0" w:firstLineChars="0"/>
      <w:jc w:val="center"/>
    </w:pPr>
    <w:rPr>
      <w:rFonts w:ascii="Calibri"/>
      <w:bCs/>
      <w:kern w:val="44"/>
      <w:sz w:val="21"/>
      <w:szCs w:val="44"/>
    </w:rPr>
  </w:style>
  <w:style w:type="paragraph" w:customStyle="1" w:styleId="1766">
    <w:name w:val="aa"/>
    <w:basedOn w:val="1"/>
    <w:qFormat/>
    <w:uiPriority w:val="0"/>
    <w:pPr>
      <w:snapToGrid/>
      <w:spacing w:line="315" w:lineRule="atLeast"/>
      <w:ind w:firstLine="0" w:firstLineChars="0"/>
      <w:textAlignment w:val="baseline"/>
    </w:pPr>
    <w:rPr>
      <w:rFonts w:ascii="宋体"/>
      <w:kern w:val="0"/>
      <w:sz w:val="28"/>
      <w:szCs w:val="28"/>
    </w:rPr>
  </w:style>
  <w:style w:type="paragraph" w:customStyle="1" w:styleId="1767">
    <w:name w:val="标题3.5"/>
    <w:basedOn w:val="1"/>
    <w:qFormat/>
    <w:uiPriority w:val="0"/>
    <w:pPr>
      <w:adjustRightInd/>
      <w:snapToGrid/>
      <w:spacing w:line="240" w:lineRule="auto"/>
      <w:ind w:firstLine="0" w:firstLineChars="0"/>
      <w:jc w:val="both"/>
    </w:pPr>
    <w:rPr>
      <w:rFonts w:eastAsia="仿宋_GB2312"/>
      <w:sz w:val="24"/>
      <w:szCs w:val="24"/>
    </w:rPr>
  </w:style>
  <w:style w:type="paragraph" w:customStyle="1" w:styleId="1768">
    <w:name w:val="环标3"/>
    <w:basedOn w:val="5"/>
    <w:qFormat/>
    <w:uiPriority w:val="0"/>
    <w:pPr>
      <w:widowControl w:val="0"/>
      <w:tabs>
        <w:tab w:val="left" w:pos="1260"/>
        <w:tab w:val="clear" w:pos="0"/>
      </w:tabs>
      <w:snapToGrid/>
      <w:spacing w:line="312" w:lineRule="atLeast"/>
      <w:ind w:firstLine="200"/>
      <w:textAlignment w:val="baseline"/>
    </w:pPr>
    <w:rPr>
      <w:rFonts w:ascii="宋体" w:hAnsi="Courier New"/>
      <w:b w:val="0"/>
      <w:bCs/>
      <w:snapToGrid/>
      <w:kern w:val="0"/>
      <w:szCs w:val="20"/>
    </w:rPr>
  </w:style>
  <w:style w:type="paragraph" w:customStyle="1" w:styleId="1769">
    <w:name w:val="tt"/>
    <w:basedOn w:val="1"/>
    <w:qFormat/>
    <w:uiPriority w:val="0"/>
    <w:pPr>
      <w:adjustRightInd/>
      <w:snapToGrid/>
      <w:spacing w:line="460" w:lineRule="atLeast"/>
      <w:jc w:val="both"/>
    </w:pPr>
    <w:rPr>
      <w:rFonts w:ascii="Arial" w:hAnsi="Arial"/>
      <w:sz w:val="24"/>
      <w:szCs w:val="24"/>
      <w:lang w:eastAsia="en-US"/>
    </w:rPr>
  </w:style>
  <w:style w:type="character" w:customStyle="1" w:styleId="1770">
    <w:name w:val="表格备注 Char"/>
    <w:link w:val="1771"/>
    <w:qFormat/>
    <w:uiPriority w:val="0"/>
    <w:rPr>
      <w:rFonts w:eastAsia="仿宋_GB2312"/>
    </w:rPr>
  </w:style>
  <w:style w:type="paragraph" w:customStyle="1" w:styleId="1771">
    <w:name w:val="表格备注"/>
    <w:basedOn w:val="1"/>
    <w:link w:val="1770"/>
    <w:qFormat/>
    <w:uiPriority w:val="0"/>
    <w:pPr>
      <w:spacing w:line="240" w:lineRule="auto"/>
      <w:jc w:val="both"/>
    </w:pPr>
    <w:rPr>
      <w:rFonts w:ascii="Calibri" w:hAnsi="Calibri" w:eastAsia="仿宋_GB2312"/>
      <w:kern w:val="0"/>
      <w:sz w:val="20"/>
      <w:szCs w:val="20"/>
    </w:rPr>
  </w:style>
  <w:style w:type="character" w:customStyle="1" w:styleId="1772">
    <w:name w:val="公式 Char"/>
    <w:link w:val="1773"/>
    <w:qFormat/>
    <w:uiPriority w:val="0"/>
    <w:rPr>
      <w:sz w:val="28"/>
      <w:szCs w:val="28"/>
    </w:rPr>
  </w:style>
  <w:style w:type="paragraph" w:customStyle="1" w:styleId="1773">
    <w:name w:val="公式"/>
    <w:basedOn w:val="1"/>
    <w:link w:val="1772"/>
    <w:qFormat/>
    <w:uiPriority w:val="0"/>
    <w:pPr>
      <w:adjustRightInd/>
      <w:snapToGrid/>
      <w:spacing w:line="360" w:lineRule="auto"/>
      <w:ind w:firstLine="0" w:firstLineChars="0"/>
      <w:jc w:val="center"/>
    </w:pPr>
    <w:rPr>
      <w:rFonts w:ascii="Calibri" w:hAnsi="Calibri"/>
      <w:kern w:val="0"/>
      <w:sz w:val="28"/>
      <w:szCs w:val="28"/>
    </w:rPr>
  </w:style>
  <w:style w:type="character" w:customStyle="1" w:styleId="1774">
    <w:name w:val="公式说明 Char"/>
    <w:link w:val="1775"/>
    <w:qFormat/>
    <w:uiPriority w:val="0"/>
    <w:rPr>
      <w:rFonts w:eastAsia="仿宋_GB2312"/>
      <w:sz w:val="32"/>
    </w:rPr>
  </w:style>
  <w:style w:type="paragraph" w:customStyle="1" w:styleId="1775">
    <w:name w:val="公式说明"/>
    <w:basedOn w:val="1"/>
    <w:link w:val="1774"/>
    <w:qFormat/>
    <w:uiPriority w:val="0"/>
    <w:pPr>
      <w:tabs>
        <w:tab w:val="left" w:pos="1920"/>
      </w:tabs>
      <w:spacing w:line="620" w:lineRule="exact"/>
      <w:jc w:val="both"/>
    </w:pPr>
    <w:rPr>
      <w:rFonts w:ascii="Calibri" w:hAnsi="Calibri" w:eastAsia="仿宋_GB2312"/>
      <w:kern w:val="0"/>
      <w:sz w:val="32"/>
      <w:szCs w:val="20"/>
    </w:rPr>
  </w:style>
  <w:style w:type="paragraph" w:customStyle="1" w:styleId="1776">
    <w:name w:val="1环评正文"/>
    <w:basedOn w:val="1"/>
    <w:qFormat/>
    <w:uiPriority w:val="0"/>
    <w:pPr>
      <w:widowControl/>
      <w:adjustRightInd/>
      <w:snapToGrid/>
      <w:spacing w:line="360" w:lineRule="auto"/>
      <w:jc w:val="both"/>
    </w:pPr>
    <w:rPr>
      <w:rFonts w:cs="宋体"/>
      <w:kern w:val="0"/>
      <w:sz w:val="24"/>
      <w:szCs w:val="20"/>
    </w:rPr>
  </w:style>
  <w:style w:type="paragraph" w:customStyle="1" w:styleId="1777">
    <w:name w:val="3对 标题3"/>
    <w:basedOn w:val="1"/>
    <w:qFormat/>
    <w:uiPriority w:val="99"/>
    <w:pPr>
      <w:adjustRightInd/>
      <w:snapToGrid/>
      <w:spacing w:line="384" w:lineRule="auto"/>
      <w:outlineLvl w:val="2"/>
    </w:pPr>
    <w:rPr>
      <w:b/>
      <w:sz w:val="24"/>
    </w:rPr>
  </w:style>
  <w:style w:type="character" w:customStyle="1" w:styleId="1778">
    <w:name w:val="标4lcc Char"/>
    <w:link w:val="1779"/>
    <w:qFormat/>
    <w:uiPriority w:val="0"/>
    <w:rPr>
      <w:b/>
      <w:bCs/>
      <w:sz w:val="24"/>
      <w:szCs w:val="28"/>
    </w:rPr>
  </w:style>
  <w:style w:type="paragraph" w:customStyle="1" w:styleId="1779">
    <w:name w:val="标4lcc"/>
    <w:basedOn w:val="6"/>
    <w:next w:val="6"/>
    <w:link w:val="1778"/>
    <w:qFormat/>
    <w:uiPriority w:val="0"/>
    <w:pPr>
      <w:keepNext/>
      <w:keepLines/>
      <w:widowControl w:val="0"/>
      <w:numPr>
        <w:numId w:val="0"/>
      </w:numPr>
      <w:tabs>
        <w:tab w:val="left" w:pos="1680"/>
        <w:tab w:val="clear" w:pos="0"/>
      </w:tabs>
      <w:spacing w:afterLines="50" w:line="240" w:lineRule="auto"/>
      <w:ind w:firstLine="482" w:firstLineChars="200"/>
      <w:jc w:val="both"/>
    </w:pPr>
    <w:rPr>
      <w:rFonts w:ascii="Calibri" w:hAnsi="Calibri"/>
      <w:b w:val="0"/>
      <w:snapToGrid/>
      <w:kern w:val="0"/>
      <w:sz w:val="24"/>
    </w:rPr>
  </w:style>
  <w:style w:type="character" w:customStyle="1" w:styleId="1780">
    <w:name w:val="表内容 Char"/>
    <w:link w:val="1781"/>
    <w:qFormat/>
    <w:locked/>
    <w:uiPriority w:val="0"/>
    <w:rPr>
      <w:szCs w:val="21"/>
    </w:rPr>
  </w:style>
  <w:style w:type="paragraph" w:customStyle="1" w:styleId="1781">
    <w:name w:val="表内容"/>
    <w:basedOn w:val="1"/>
    <w:link w:val="1780"/>
    <w:qFormat/>
    <w:uiPriority w:val="0"/>
    <w:pPr>
      <w:adjustRightInd/>
      <w:snapToGrid/>
      <w:spacing w:line="240" w:lineRule="auto"/>
      <w:ind w:firstLine="0" w:firstLineChars="0"/>
      <w:jc w:val="center"/>
    </w:pPr>
    <w:rPr>
      <w:rFonts w:ascii="Calibri" w:hAnsi="Calibri"/>
      <w:kern w:val="0"/>
      <w:sz w:val="20"/>
      <w:szCs w:val="21"/>
    </w:rPr>
  </w:style>
  <w:style w:type="character" w:customStyle="1" w:styleId="1782">
    <w:name w:val="一级 Char"/>
    <w:link w:val="1146"/>
    <w:qFormat/>
    <w:uiPriority w:val="0"/>
    <w:rPr>
      <w:rFonts w:ascii="楷体_GB2312" w:hAnsi="宋体" w:eastAsia="楷体_GB2312"/>
      <w:b/>
      <w:color w:val="000000"/>
      <w:kern w:val="2"/>
      <w:sz w:val="28"/>
      <w:szCs w:val="28"/>
    </w:rPr>
  </w:style>
  <w:style w:type="character" w:customStyle="1" w:styleId="1783">
    <w:name w:val="四级 Char"/>
    <w:link w:val="1784"/>
    <w:qFormat/>
    <w:uiPriority w:val="0"/>
    <w:rPr>
      <w:rFonts w:ascii="Times New Roman" w:hAnsi="Times New Roman" w:eastAsia="黑体"/>
      <w:sz w:val="24"/>
      <w:szCs w:val="24"/>
    </w:rPr>
  </w:style>
  <w:style w:type="paragraph" w:customStyle="1" w:styleId="1784">
    <w:name w:val="四级"/>
    <w:basedOn w:val="1"/>
    <w:link w:val="1783"/>
    <w:qFormat/>
    <w:uiPriority w:val="0"/>
    <w:pPr>
      <w:spacing w:line="360" w:lineRule="auto"/>
      <w:ind w:firstLine="0" w:firstLineChars="0"/>
      <w:outlineLvl w:val="3"/>
    </w:pPr>
    <w:rPr>
      <w:rFonts w:eastAsia="黑体"/>
      <w:kern w:val="0"/>
      <w:sz w:val="24"/>
      <w:szCs w:val="24"/>
    </w:rPr>
  </w:style>
  <w:style w:type="paragraph" w:customStyle="1" w:styleId="1785">
    <w:name w:val="二级"/>
    <w:basedOn w:val="5"/>
    <w:link w:val="1787"/>
    <w:qFormat/>
    <w:uiPriority w:val="0"/>
    <w:pPr>
      <w:keepNext/>
      <w:keepLines/>
      <w:widowControl w:val="0"/>
      <w:tabs>
        <w:tab w:val="left" w:pos="1260"/>
        <w:tab w:val="clear" w:pos="0"/>
      </w:tabs>
      <w:adjustRightInd/>
      <w:snapToGrid/>
      <w:ind w:firstLine="200"/>
      <w:outlineLvl w:val="1"/>
    </w:pPr>
    <w:rPr>
      <w:rFonts w:eastAsia="黑体"/>
      <w:b w:val="0"/>
      <w:snapToGrid/>
      <w:color w:val="000000"/>
      <w:sz w:val="30"/>
      <w:szCs w:val="20"/>
    </w:rPr>
  </w:style>
  <w:style w:type="paragraph" w:customStyle="1" w:styleId="1786">
    <w:name w:val="三级"/>
    <w:basedOn w:val="4"/>
    <w:link w:val="1788"/>
    <w:qFormat/>
    <w:uiPriority w:val="0"/>
    <w:pPr>
      <w:keepNext/>
      <w:keepLines/>
      <w:widowControl w:val="0"/>
      <w:tabs>
        <w:tab w:val="clear" w:pos="0"/>
      </w:tabs>
      <w:spacing w:afterLines="0" w:line="360" w:lineRule="auto"/>
      <w:outlineLvl w:val="2"/>
    </w:pPr>
    <w:rPr>
      <w:snapToGrid/>
      <w:color w:val="000000"/>
      <w:sz w:val="24"/>
      <w:szCs w:val="24"/>
    </w:rPr>
  </w:style>
  <w:style w:type="character" w:customStyle="1" w:styleId="1787">
    <w:name w:val="二级 Char"/>
    <w:link w:val="1785"/>
    <w:qFormat/>
    <w:uiPriority w:val="0"/>
    <w:rPr>
      <w:rFonts w:ascii="Times New Roman" w:hAnsi="Times New Roman" w:eastAsia="黑体"/>
      <w:bCs/>
      <w:color w:val="000000"/>
      <w:kern w:val="2"/>
      <w:sz w:val="30"/>
    </w:rPr>
  </w:style>
  <w:style w:type="character" w:customStyle="1" w:styleId="1788">
    <w:name w:val="三级 Char"/>
    <w:link w:val="1786"/>
    <w:qFormat/>
    <w:uiPriority w:val="0"/>
    <w:rPr>
      <w:rFonts w:ascii="Times New Roman" w:hAnsi="Times New Roman"/>
      <w:b/>
      <w:bCs/>
      <w:color w:val="000000"/>
      <w:kern w:val="2"/>
      <w:sz w:val="24"/>
      <w:szCs w:val="24"/>
    </w:rPr>
  </w:style>
  <w:style w:type="paragraph" w:customStyle="1" w:styleId="1789">
    <w:name w:val="龚艺正文加粗"/>
    <w:basedOn w:val="1"/>
    <w:link w:val="1790"/>
    <w:qFormat/>
    <w:uiPriority w:val="0"/>
    <w:pPr>
      <w:tabs>
        <w:tab w:val="left" w:pos="8789"/>
      </w:tabs>
      <w:wordWrap w:val="0"/>
      <w:adjustRightInd/>
      <w:snapToGrid/>
      <w:spacing w:line="360" w:lineRule="auto"/>
      <w:jc w:val="both"/>
    </w:pPr>
    <w:rPr>
      <w:rFonts w:hAnsi="宋体" w:cs="宋体"/>
      <w:color w:val="000000"/>
      <w:sz w:val="24"/>
      <w:szCs w:val="24"/>
    </w:rPr>
  </w:style>
  <w:style w:type="character" w:customStyle="1" w:styleId="1790">
    <w:name w:val="龚艺正文加粗 Char"/>
    <w:link w:val="1789"/>
    <w:qFormat/>
    <w:uiPriority w:val="0"/>
    <w:rPr>
      <w:rFonts w:ascii="Times New Roman" w:hAnsi="宋体" w:cs="宋体"/>
      <w:color w:val="000000"/>
      <w:kern w:val="2"/>
      <w:sz w:val="24"/>
      <w:szCs w:val="24"/>
    </w:rPr>
  </w:style>
  <w:style w:type="paragraph" w:customStyle="1" w:styleId="1791">
    <w:name w:val="正文加粗"/>
    <w:basedOn w:val="70"/>
    <w:link w:val="1792"/>
    <w:qFormat/>
    <w:uiPriority w:val="0"/>
    <w:pPr>
      <w:spacing w:beforeLines="50" w:afterLines="0"/>
      <w:ind w:left="0" w:leftChars="0" w:firstLine="482"/>
    </w:pPr>
    <w:rPr>
      <w:rFonts w:hAnsi="宋体"/>
      <w:b/>
      <w:color w:val="000000"/>
      <w:sz w:val="24"/>
      <w:szCs w:val="20"/>
    </w:rPr>
  </w:style>
  <w:style w:type="character" w:customStyle="1" w:styleId="1792">
    <w:name w:val="正文加粗 Char"/>
    <w:link w:val="1791"/>
    <w:qFormat/>
    <w:uiPriority w:val="0"/>
    <w:rPr>
      <w:rFonts w:ascii="Times New Roman" w:hAnsi="宋体"/>
      <w:b/>
      <w:color w:val="000000"/>
      <w:kern w:val="2"/>
      <w:sz w:val="24"/>
    </w:rPr>
  </w:style>
  <w:style w:type="paragraph" w:customStyle="1" w:styleId="1793">
    <w:name w:val="龚艺表名"/>
    <w:basedOn w:val="1"/>
    <w:link w:val="1794"/>
    <w:qFormat/>
    <w:uiPriority w:val="0"/>
    <w:pPr>
      <w:adjustRightInd/>
      <w:snapToGrid/>
      <w:spacing w:beforeLines="20" w:line="360" w:lineRule="auto"/>
      <w:jc w:val="center"/>
    </w:pPr>
    <w:rPr>
      <w:b/>
      <w:sz w:val="24"/>
      <w:szCs w:val="21"/>
    </w:rPr>
  </w:style>
  <w:style w:type="character" w:customStyle="1" w:styleId="1794">
    <w:name w:val="龚艺表名 Char"/>
    <w:link w:val="1793"/>
    <w:qFormat/>
    <w:uiPriority w:val="0"/>
    <w:rPr>
      <w:rFonts w:ascii="Times New Roman" w:hAnsi="Times New Roman"/>
      <w:b/>
      <w:kern w:val="2"/>
      <w:sz w:val="24"/>
      <w:szCs w:val="21"/>
    </w:rPr>
  </w:style>
  <w:style w:type="character" w:customStyle="1" w:styleId="1795">
    <w:name w:val="龚艺表名 Char Char"/>
    <w:qFormat/>
    <w:uiPriority w:val="0"/>
    <w:rPr>
      <w:rFonts w:ascii="Times New Roman" w:hAnsi="Times New Roman" w:eastAsia="宋体" w:cs="Times New Roman"/>
      <w:b/>
    </w:rPr>
  </w:style>
  <w:style w:type="character" w:customStyle="1" w:styleId="1796">
    <w:name w:val="标题 2 Char1"/>
    <w:qFormat/>
    <w:uiPriority w:val="9"/>
    <w:rPr>
      <w:rFonts w:ascii="Arial" w:hAnsi="Arial" w:eastAsia="黑体" w:cs="Times New Roman"/>
      <w:b/>
      <w:kern w:val="0"/>
      <w:sz w:val="32"/>
      <w:szCs w:val="20"/>
    </w:rPr>
  </w:style>
  <w:style w:type="paragraph" w:customStyle="1" w:styleId="1797">
    <w:name w:val="标题1级"/>
    <w:basedOn w:val="1"/>
    <w:link w:val="1798"/>
    <w:qFormat/>
    <w:uiPriority w:val="0"/>
    <w:pPr>
      <w:adjustRightInd/>
      <w:snapToGrid/>
      <w:spacing w:beforeLines="50" w:afterLines="50" w:line="360" w:lineRule="auto"/>
      <w:ind w:firstLine="0" w:firstLineChars="0"/>
      <w:outlineLvl w:val="0"/>
    </w:pPr>
    <w:rPr>
      <w:b/>
      <w:kern w:val="0"/>
      <w:sz w:val="32"/>
      <w:szCs w:val="20"/>
    </w:rPr>
  </w:style>
  <w:style w:type="character" w:customStyle="1" w:styleId="1798">
    <w:name w:val="标题1级 Char"/>
    <w:link w:val="1797"/>
    <w:qFormat/>
    <w:uiPriority w:val="0"/>
    <w:rPr>
      <w:rFonts w:ascii="Times New Roman" w:hAnsi="Times New Roman"/>
      <w:b/>
      <w:sz w:val="32"/>
    </w:rPr>
  </w:style>
  <w:style w:type="paragraph" w:customStyle="1" w:styleId="1799">
    <w:name w:val="标题2.2级"/>
    <w:basedOn w:val="1"/>
    <w:link w:val="1800"/>
    <w:qFormat/>
    <w:uiPriority w:val="0"/>
    <w:pPr>
      <w:adjustRightInd/>
      <w:snapToGrid/>
      <w:spacing w:beforeLines="30" w:afterLines="30" w:line="360" w:lineRule="auto"/>
      <w:ind w:firstLine="0" w:firstLineChars="0"/>
      <w:outlineLvl w:val="1"/>
    </w:pPr>
    <w:rPr>
      <w:b/>
      <w:kern w:val="0"/>
      <w:sz w:val="28"/>
      <w:szCs w:val="20"/>
    </w:rPr>
  </w:style>
  <w:style w:type="character" w:customStyle="1" w:styleId="1800">
    <w:name w:val="标题2.2级 Char"/>
    <w:link w:val="1799"/>
    <w:qFormat/>
    <w:uiPriority w:val="0"/>
    <w:rPr>
      <w:rFonts w:ascii="Times New Roman" w:hAnsi="Times New Roman"/>
      <w:b/>
      <w:sz w:val="28"/>
    </w:rPr>
  </w:style>
  <w:style w:type="paragraph" w:customStyle="1" w:styleId="1801">
    <w:name w:val="标题3.3.3级"/>
    <w:basedOn w:val="1"/>
    <w:link w:val="1802"/>
    <w:qFormat/>
    <w:uiPriority w:val="0"/>
    <w:pPr>
      <w:adjustRightInd/>
      <w:snapToGrid/>
      <w:spacing w:beforeLines="50" w:afterLines="50" w:line="360" w:lineRule="auto"/>
      <w:ind w:firstLine="0" w:firstLineChars="0"/>
      <w:outlineLvl w:val="2"/>
    </w:pPr>
    <w:rPr>
      <w:b/>
      <w:kern w:val="0"/>
      <w:sz w:val="24"/>
      <w:szCs w:val="24"/>
    </w:rPr>
  </w:style>
  <w:style w:type="character" w:customStyle="1" w:styleId="1802">
    <w:name w:val="标题3.3.3级 Char"/>
    <w:link w:val="1801"/>
    <w:qFormat/>
    <w:uiPriority w:val="0"/>
    <w:rPr>
      <w:rFonts w:ascii="Times New Roman" w:hAnsi="Times New Roman"/>
      <w:b/>
      <w:sz w:val="24"/>
      <w:szCs w:val="24"/>
    </w:rPr>
  </w:style>
  <w:style w:type="paragraph" w:customStyle="1" w:styleId="1803">
    <w:name w:val="标题4.4.4.4级"/>
    <w:basedOn w:val="1"/>
    <w:link w:val="1804"/>
    <w:qFormat/>
    <w:uiPriority w:val="0"/>
    <w:pPr>
      <w:adjustRightInd/>
      <w:snapToGrid/>
      <w:spacing w:line="360" w:lineRule="auto"/>
      <w:ind w:firstLine="0" w:firstLineChars="0"/>
      <w:outlineLvl w:val="3"/>
    </w:pPr>
    <w:rPr>
      <w:b/>
      <w:kern w:val="0"/>
      <w:sz w:val="24"/>
      <w:szCs w:val="24"/>
    </w:rPr>
  </w:style>
  <w:style w:type="character" w:customStyle="1" w:styleId="1804">
    <w:name w:val="标题4.4.4.4级 Char"/>
    <w:link w:val="1803"/>
    <w:qFormat/>
    <w:uiPriority w:val="0"/>
    <w:rPr>
      <w:rFonts w:ascii="Times New Roman" w:hAnsi="Times New Roman"/>
      <w:b/>
      <w:sz w:val="24"/>
      <w:szCs w:val="24"/>
    </w:rPr>
  </w:style>
  <w:style w:type="character" w:customStyle="1" w:styleId="1805">
    <w:name w:val="正文(首行缩进) Char1"/>
    <w:qFormat/>
    <w:uiPriority w:val="0"/>
    <w:rPr>
      <w:rFonts w:ascii="Times New Roman" w:hAnsi="Times New Roman" w:eastAsia="宋体" w:cs="Times New Roman"/>
      <w:snapToGrid w:val="0"/>
      <w:color w:val="000000"/>
      <w:kern w:val="0"/>
      <w:sz w:val="24"/>
      <w:szCs w:val="24"/>
    </w:rPr>
  </w:style>
  <w:style w:type="paragraph" w:customStyle="1" w:styleId="1806">
    <w:name w:val="方程"/>
    <w:basedOn w:val="1"/>
    <w:qFormat/>
    <w:uiPriority w:val="0"/>
    <w:pPr>
      <w:widowControl/>
      <w:overflowPunct w:val="0"/>
      <w:snapToGrid/>
      <w:spacing w:before="60" w:after="60" w:line="440" w:lineRule="atLeast"/>
      <w:ind w:firstLine="482"/>
      <w:jc w:val="center"/>
      <w:textAlignment w:val="bottom"/>
    </w:pPr>
    <w:rPr>
      <w:rFonts w:ascii="CG Times (W1)" w:hAnsi="CG Times (W1)"/>
      <w:kern w:val="0"/>
      <w:sz w:val="24"/>
      <w:szCs w:val="20"/>
    </w:rPr>
  </w:style>
  <w:style w:type="paragraph" w:customStyle="1" w:styleId="1807">
    <w:name w:val="表、图名"/>
    <w:basedOn w:val="1"/>
    <w:link w:val="1808"/>
    <w:qFormat/>
    <w:uiPriority w:val="0"/>
    <w:pPr>
      <w:adjustRightInd/>
      <w:snapToGrid/>
      <w:spacing w:beforeLines="50" w:line="360" w:lineRule="auto"/>
      <w:jc w:val="center"/>
    </w:pPr>
    <w:rPr>
      <w:b/>
      <w:kern w:val="0"/>
      <w:sz w:val="21"/>
      <w:szCs w:val="21"/>
    </w:rPr>
  </w:style>
  <w:style w:type="character" w:customStyle="1" w:styleId="1808">
    <w:name w:val="表、图名 Char"/>
    <w:link w:val="1807"/>
    <w:qFormat/>
    <w:uiPriority w:val="0"/>
    <w:rPr>
      <w:rFonts w:ascii="Times New Roman" w:hAnsi="Times New Roman"/>
      <w:b/>
      <w:sz w:val="21"/>
      <w:szCs w:val="21"/>
    </w:rPr>
  </w:style>
  <w:style w:type="paragraph" w:customStyle="1" w:styleId="1809">
    <w:name w:val="应填表格"/>
    <w:basedOn w:val="1"/>
    <w:qFormat/>
    <w:uiPriority w:val="0"/>
    <w:pPr>
      <w:snapToGrid/>
      <w:spacing w:before="40" w:after="40" w:line="360" w:lineRule="auto"/>
      <w:textAlignment w:val="baseline"/>
    </w:pPr>
    <w:rPr>
      <w:kern w:val="0"/>
      <w:sz w:val="24"/>
      <w:szCs w:val="20"/>
    </w:rPr>
  </w:style>
  <w:style w:type="paragraph" w:customStyle="1" w:styleId="1810">
    <w:name w:val="已有表格"/>
    <w:basedOn w:val="1"/>
    <w:qFormat/>
    <w:uiPriority w:val="0"/>
    <w:pPr>
      <w:snapToGrid/>
      <w:spacing w:before="40" w:after="40" w:line="360" w:lineRule="auto"/>
      <w:jc w:val="center"/>
      <w:textAlignment w:val="baseline"/>
    </w:pPr>
    <w:rPr>
      <w:b/>
      <w:kern w:val="0"/>
      <w:sz w:val="24"/>
      <w:szCs w:val="20"/>
    </w:rPr>
  </w:style>
  <w:style w:type="paragraph" w:customStyle="1" w:styleId="1811">
    <w:name w:val="样式 标题 3 + 四号 段前: 0 磅 段后: 0 磅 行距: 单倍行距"/>
    <w:basedOn w:val="5"/>
    <w:qFormat/>
    <w:uiPriority w:val="0"/>
    <w:pPr>
      <w:keepNext/>
      <w:keepLines/>
      <w:widowControl w:val="0"/>
      <w:tabs>
        <w:tab w:val="left" w:pos="1260"/>
        <w:tab w:val="clear" w:pos="0"/>
      </w:tabs>
      <w:adjustRightInd/>
      <w:snapToGrid/>
      <w:spacing w:line="240" w:lineRule="auto"/>
      <w:ind w:firstLine="200"/>
    </w:pPr>
    <w:rPr>
      <w:rFonts w:cs="宋体"/>
      <w:kern w:val="0"/>
      <w:szCs w:val="28"/>
    </w:rPr>
  </w:style>
  <w:style w:type="paragraph" w:customStyle="1" w:styleId="1812">
    <w:name w:val="样式 样式 左侧:  2 字符 段后: 0.5 行 + 首行缩进:  2 字符 段后: 0.5 行"/>
    <w:basedOn w:val="1"/>
    <w:qFormat/>
    <w:uiPriority w:val="0"/>
    <w:pPr>
      <w:adjustRightInd/>
      <w:snapToGrid/>
      <w:spacing w:after="156" w:line="360" w:lineRule="auto"/>
      <w:ind w:firstLine="480"/>
    </w:pPr>
    <w:rPr>
      <w:rFonts w:eastAsia="仿宋_GB2312"/>
      <w:sz w:val="24"/>
      <w:szCs w:val="20"/>
    </w:rPr>
  </w:style>
  <w:style w:type="paragraph" w:customStyle="1" w:styleId="1813">
    <w:name w:val="Char Char1 Char Char Char Char Char Char Char Char Char Char Char Char Char Char"/>
    <w:basedOn w:val="1"/>
    <w:qFormat/>
    <w:uiPriority w:val="0"/>
    <w:pPr>
      <w:widowControl/>
      <w:adjustRightInd/>
      <w:snapToGrid/>
      <w:spacing w:beforeLines="100" w:after="160" w:line="240" w:lineRule="exact"/>
    </w:pPr>
    <w:rPr>
      <w:rFonts w:ascii="Verdana" w:hAnsi="Verdana"/>
      <w:kern w:val="0"/>
      <w:sz w:val="32"/>
      <w:szCs w:val="32"/>
      <w:lang w:eastAsia="en-US"/>
    </w:rPr>
  </w:style>
  <w:style w:type="paragraph" w:customStyle="1" w:styleId="1814">
    <w:name w:val="Char Char2"/>
    <w:basedOn w:val="1"/>
    <w:qFormat/>
    <w:uiPriority w:val="0"/>
    <w:pPr>
      <w:widowControl/>
      <w:adjustRightInd/>
      <w:snapToGrid/>
      <w:spacing w:after="160" w:line="240" w:lineRule="exact"/>
    </w:pPr>
    <w:rPr>
      <w:rFonts w:ascii="Verdana" w:hAnsi="Verdana" w:eastAsia="仿宋_GB2312"/>
      <w:kern w:val="0"/>
      <w:sz w:val="24"/>
      <w:szCs w:val="20"/>
      <w:lang w:eastAsia="en-US"/>
    </w:rPr>
  </w:style>
  <w:style w:type="paragraph" w:customStyle="1" w:styleId="1815">
    <w:name w:val="Char Char1"/>
    <w:basedOn w:val="1"/>
    <w:qFormat/>
    <w:uiPriority w:val="0"/>
    <w:pPr>
      <w:adjustRightInd/>
      <w:snapToGrid/>
      <w:spacing w:line="300" w:lineRule="auto"/>
      <w:ind w:left="434" w:hanging="432"/>
    </w:pPr>
    <w:rPr>
      <w:sz w:val="24"/>
      <w:szCs w:val="24"/>
    </w:rPr>
  </w:style>
  <w:style w:type="paragraph" w:customStyle="1" w:styleId="1816">
    <w:name w:val="textfont"/>
    <w:basedOn w:val="1"/>
    <w:qFormat/>
    <w:uiPriority w:val="0"/>
    <w:pPr>
      <w:widowControl/>
      <w:adjustRightInd/>
      <w:snapToGrid/>
      <w:spacing w:before="100" w:beforeAutospacing="1" w:after="100" w:afterAutospacing="1" w:line="360" w:lineRule="auto"/>
    </w:pPr>
    <w:rPr>
      <w:rFonts w:ascii="宋体" w:hAnsi="宋体"/>
      <w:kern w:val="0"/>
      <w:sz w:val="24"/>
      <w:szCs w:val="24"/>
    </w:rPr>
  </w:style>
  <w:style w:type="paragraph" w:customStyle="1" w:styleId="1817">
    <w:name w:val="8--"/>
    <w:basedOn w:val="1"/>
    <w:qFormat/>
    <w:uiPriority w:val="0"/>
    <w:pPr>
      <w:snapToGrid/>
      <w:spacing w:line="360" w:lineRule="atLeast"/>
      <w:textAlignment w:val="baseline"/>
    </w:pPr>
    <w:rPr>
      <w:kern w:val="0"/>
      <w:sz w:val="24"/>
      <w:szCs w:val="20"/>
    </w:rPr>
  </w:style>
  <w:style w:type="paragraph" w:customStyle="1" w:styleId="1818">
    <w:name w:val="图表说明"/>
    <w:basedOn w:val="1"/>
    <w:qFormat/>
    <w:uiPriority w:val="0"/>
    <w:pPr>
      <w:spacing w:line="360" w:lineRule="auto"/>
      <w:jc w:val="center"/>
    </w:pPr>
    <w:rPr>
      <w:rFonts w:hAnsi="宋体"/>
      <w:sz w:val="21"/>
      <w:szCs w:val="21"/>
    </w:rPr>
  </w:style>
  <w:style w:type="paragraph" w:customStyle="1" w:styleId="1819">
    <w:name w:val="Char4 Char Char Char Char Char Char1"/>
    <w:basedOn w:val="1"/>
    <w:qFormat/>
    <w:uiPriority w:val="0"/>
    <w:pPr>
      <w:adjustRightInd/>
      <w:snapToGrid/>
      <w:spacing w:line="360" w:lineRule="auto"/>
      <w:ind w:firstLine="480"/>
    </w:pPr>
    <w:rPr>
      <w:rFonts w:ascii="宋体" w:hAnsi="宋体" w:cs="宋体"/>
      <w:sz w:val="24"/>
      <w:szCs w:val="24"/>
    </w:rPr>
  </w:style>
  <w:style w:type="paragraph" w:customStyle="1" w:styleId="1820">
    <w:name w:val="+正文"/>
    <w:basedOn w:val="1"/>
    <w:qFormat/>
    <w:uiPriority w:val="0"/>
    <w:pPr>
      <w:adjustRightInd/>
      <w:snapToGrid/>
      <w:spacing w:line="360" w:lineRule="auto"/>
      <w:ind w:firstLine="0" w:firstLineChars="0"/>
    </w:pPr>
    <w:rPr>
      <w:sz w:val="24"/>
      <w:szCs w:val="24"/>
    </w:rPr>
  </w:style>
  <w:style w:type="paragraph" w:customStyle="1" w:styleId="1821">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1822">
    <w:name w:val="Char1 Char Char"/>
    <w:basedOn w:val="1"/>
    <w:qFormat/>
    <w:uiPriority w:val="0"/>
    <w:pPr>
      <w:adjustRightInd/>
      <w:snapToGrid/>
      <w:spacing w:line="360" w:lineRule="auto"/>
    </w:pPr>
    <w:rPr>
      <w:sz w:val="21"/>
      <w:szCs w:val="24"/>
    </w:rPr>
  </w:style>
  <w:style w:type="paragraph" w:customStyle="1" w:styleId="1823">
    <w:name w:val="小表文居中"/>
    <w:basedOn w:val="1"/>
    <w:qFormat/>
    <w:uiPriority w:val="0"/>
    <w:pPr>
      <w:autoSpaceDE w:val="0"/>
      <w:autoSpaceDN w:val="0"/>
      <w:snapToGrid/>
      <w:spacing w:before="20" w:line="360" w:lineRule="auto"/>
      <w:jc w:val="center"/>
      <w:textAlignment w:val="baseline"/>
    </w:pPr>
    <w:rPr>
      <w:kern w:val="0"/>
      <w:sz w:val="18"/>
      <w:szCs w:val="20"/>
    </w:rPr>
  </w:style>
  <w:style w:type="paragraph" w:customStyle="1" w:styleId="1824">
    <w:name w:val="框图文字1"/>
    <w:basedOn w:val="1"/>
    <w:qFormat/>
    <w:uiPriority w:val="0"/>
    <w:pPr>
      <w:spacing w:before="78" w:line="360" w:lineRule="auto"/>
      <w:jc w:val="center"/>
    </w:pPr>
    <w:rPr>
      <w:sz w:val="18"/>
      <w:szCs w:val="20"/>
    </w:rPr>
  </w:style>
  <w:style w:type="paragraph" w:customStyle="1" w:styleId="1825">
    <w:name w:val="正文段落"/>
    <w:basedOn w:val="1"/>
    <w:link w:val="2866"/>
    <w:qFormat/>
    <w:uiPriority w:val="0"/>
    <w:pPr>
      <w:adjustRightInd/>
      <w:snapToGrid/>
      <w:spacing w:line="360" w:lineRule="exact"/>
      <w:ind w:firstLine="476"/>
    </w:pPr>
    <w:rPr>
      <w:rFonts w:ascii="宋体" w:hAnsi="宋体"/>
      <w:sz w:val="24"/>
      <w:szCs w:val="20"/>
    </w:rPr>
  </w:style>
  <w:style w:type="paragraph" w:customStyle="1" w:styleId="1826">
    <w:name w:val="正文-第几条"/>
    <w:basedOn w:val="1"/>
    <w:qFormat/>
    <w:uiPriority w:val="0"/>
    <w:pPr>
      <w:tabs>
        <w:tab w:val="left" w:pos="1200"/>
      </w:tabs>
      <w:adjustRightInd/>
      <w:snapToGrid/>
      <w:spacing w:line="360" w:lineRule="auto"/>
      <w:ind w:left="1200" w:leftChars="400" w:hanging="360" w:hangingChars="200"/>
    </w:pPr>
    <w:rPr>
      <w:sz w:val="24"/>
      <w:szCs w:val="24"/>
    </w:rPr>
  </w:style>
  <w:style w:type="paragraph" w:customStyle="1" w:styleId="1827">
    <w:name w:val="附录二级条标题"/>
    <w:basedOn w:val="1828"/>
    <w:next w:val="1"/>
    <w:qFormat/>
    <w:uiPriority w:val="0"/>
    <w:pPr>
      <w:tabs>
        <w:tab w:val="left" w:pos="360"/>
        <w:tab w:val="left" w:pos="828"/>
        <w:tab w:val="left" w:pos="1260"/>
        <w:tab w:val="left" w:pos="1680"/>
      </w:tabs>
      <w:ind w:left="360" w:hanging="360"/>
      <w:outlineLvl w:val="3"/>
    </w:pPr>
  </w:style>
  <w:style w:type="paragraph" w:customStyle="1" w:styleId="1828">
    <w:name w:val="附录一级条标题"/>
    <w:basedOn w:val="1829"/>
    <w:next w:val="1"/>
    <w:qFormat/>
    <w:uiPriority w:val="0"/>
    <w:pPr>
      <w:tabs>
        <w:tab w:val="left" w:pos="828"/>
        <w:tab w:val="left" w:pos="1260"/>
      </w:tabs>
      <w:autoSpaceDN w:val="0"/>
      <w:spacing w:beforeLines="0" w:afterLines="0"/>
      <w:ind w:left="828" w:hanging="240"/>
      <w:outlineLvl w:val="2"/>
    </w:pPr>
  </w:style>
  <w:style w:type="paragraph" w:customStyle="1" w:styleId="1829">
    <w:name w:val="附录章标题"/>
    <w:next w:val="1"/>
    <w:qFormat/>
    <w:uiPriority w:val="0"/>
    <w:pPr>
      <w:tabs>
        <w:tab w:val="left" w:pos="840"/>
      </w:tabs>
      <w:wordWrap w:val="0"/>
      <w:overflowPunct w:val="0"/>
      <w:autoSpaceDE w:val="0"/>
      <w:spacing w:beforeLines="50" w:afterLines="50"/>
      <w:ind w:left="840" w:hanging="420"/>
      <w:textAlignment w:val="baseline"/>
      <w:outlineLvl w:val="1"/>
    </w:pPr>
    <w:rPr>
      <w:rFonts w:ascii="黑体" w:hAnsi="Times New Roman" w:eastAsia="黑体" w:cs="Times New Roman"/>
      <w:kern w:val="21"/>
      <w:sz w:val="21"/>
      <w:lang w:val="en-US" w:eastAsia="zh-CN" w:bidi="ar-SA"/>
    </w:rPr>
  </w:style>
  <w:style w:type="paragraph" w:customStyle="1" w:styleId="1830">
    <w:name w:val="附录三级条标题"/>
    <w:basedOn w:val="1827"/>
    <w:next w:val="1"/>
    <w:qFormat/>
    <w:uiPriority w:val="0"/>
    <w:pPr>
      <w:tabs>
        <w:tab w:val="left" w:pos="1068"/>
        <w:tab w:val="left" w:pos="2100"/>
        <w:tab w:val="clear" w:pos="360"/>
        <w:tab w:val="clear" w:pos="1680"/>
      </w:tabs>
      <w:ind w:left="1068"/>
      <w:outlineLvl w:val="4"/>
    </w:pPr>
  </w:style>
  <w:style w:type="paragraph" w:customStyle="1" w:styleId="1831">
    <w:name w:val="附录四级条标题"/>
    <w:basedOn w:val="1830"/>
    <w:next w:val="1"/>
    <w:qFormat/>
    <w:uiPriority w:val="0"/>
    <w:pPr>
      <w:tabs>
        <w:tab w:val="left" w:pos="960"/>
        <w:tab w:val="left" w:pos="2520"/>
        <w:tab w:val="clear" w:pos="1068"/>
        <w:tab w:val="clear" w:pos="2100"/>
      </w:tabs>
      <w:ind w:left="960"/>
      <w:outlineLvl w:val="5"/>
    </w:pPr>
  </w:style>
  <w:style w:type="paragraph" w:customStyle="1" w:styleId="1832">
    <w:name w:val="附录五级条标题"/>
    <w:basedOn w:val="1831"/>
    <w:next w:val="1"/>
    <w:qFormat/>
    <w:uiPriority w:val="0"/>
    <w:pPr>
      <w:tabs>
        <w:tab w:val="left" w:pos="435"/>
        <w:tab w:val="left" w:pos="2940"/>
        <w:tab w:val="clear" w:pos="960"/>
        <w:tab w:val="clear" w:pos="2520"/>
      </w:tabs>
      <w:ind w:left="435" w:hanging="165"/>
      <w:outlineLvl w:val="6"/>
    </w:pPr>
  </w:style>
  <w:style w:type="paragraph" w:customStyle="1" w:styleId="1833">
    <w:name w:val="附录标识"/>
    <w:basedOn w:val="395"/>
    <w:qFormat/>
    <w:uiPriority w:val="0"/>
    <w:pPr>
      <w:tabs>
        <w:tab w:val="left" w:pos="6405"/>
        <w:tab w:val="clear" w:pos="600"/>
        <w:tab w:val="clear" w:pos="903"/>
      </w:tabs>
      <w:spacing w:after="200"/>
      <w:ind w:left="0" w:firstLine="0"/>
    </w:pPr>
    <w:rPr>
      <w:sz w:val="21"/>
    </w:rPr>
  </w:style>
  <w:style w:type="paragraph" w:customStyle="1" w:styleId="1834">
    <w:name w:val="列项·"/>
    <w:qFormat/>
    <w:uiPriority w:val="0"/>
    <w:pPr>
      <w:tabs>
        <w:tab w:val="left" w:pos="840"/>
      </w:tabs>
      <w:ind w:left="840" w:leftChars="200" w:hanging="420" w:hangingChars="200"/>
    </w:pPr>
    <w:rPr>
      <w:rFonts w:ascii="宋体" w:hAnsi="Times New Roman" w:eastAsia="宋体" w:cs="Times New Roman"/>
      <w:sz w:val="21"/>
      <w:lang w:val="en-US" w:eastAsia="zh-CN" w:bidi="ar-SA"/>
    </w:rPr>
  </w:style>
  <w:style w:type="paragraph" w:customStyle="1" w:styleId="1835">
    <w:name w:val="正文-叶"/>
    <w:basedOn w:val="1"/>
    <w:qFormat/>
    <w:uiPriority w:val="0"/>
    <w:pPr>
      <w:topLinePunct/>
      <w:adjustRightInd/>
      <w:snapToGrid/>
      <w:spacing w:line="312" w:lineRule="auto"/>
      <w:ind w:firstLine="465"/>
    </w:pPr>
    <w:rPr>
      <w:sz w:val="24"/>
      <w:szCs w:val="20"/>
    </w:rPr>
  </w:style>
  <w:style w:type="paragraph" w:customStyle="1" w:styleId="1836">
    <w:name w:val="Item1"/>
    <w:basedOn w:val="1"/>
    <w:qFormat/>
    <w:uiPriority w:val="0"/>
    <w:pPr>
      <w:adjustRightInd/>
      <w:snapToGrid/>
      <w:spacing w:line="360" w:lineRule="auto"/>
    </w:pPr>
    <w:rPr>
      <w:sz w:val="21"/>
      <w:szCs w:val="24"/>
    </w:rPr>
  </w:style>
  <w:style w:type="paragraph" w:customStyle="1" w:styleId="1837">
    <w:name w:val="ourfont3"/>
    <w:basedOn w:val="1"/>
    <w:qFormat/>
    <w:uiPriority w:val="0"/>
    <w:pPr>
      <w:widowControl/>
      <w:adjustRightInd/>
      <w:snapToGrid/>
      <w:spacing w:before="100" w:beforeAutospacing="1" w:after="100" w:afterAutospacing="1" w:line="360" w:lineRule="auto"/>
    </w:pPr>
    <w:rPr>
      <w:rFonts w:ascii="宋体" w:hAnsi="宋体" w:cs="宋体"/>
      <w:kern w:val="0"/>
      <w:sz w:val="24"/>
      <w:szCs w:val="24"/>
    </w:rPr>
  </w:style>
  <w:style w:type="paragraph" w:customStyle="1" w:styleId="1838">
    <w:name w:val="indent"/>
    <w:basedOn w:val="1"/>
    <w:qFormat/>
    <w:uiPriority w:val="0"/>
    <w:pPr>
      <w:widowControl/>
      <w:adjustRightInd/>
      <w:snapToGrid/>
      <w:spacing w:before="100" w:beforeAutospacing="1" w:after="100" w:afterAutospacing="1" w:line="360" w:lineRule="auto"/>
      <w:ind w:firstLine="525"/>
    </w:pPr>
    <w:rPr>
      <w:rFonts w:ascii="宋体" w:hAnsi="宋体" w:cs="宋体"/>
      <w:kern w:val="0"/>
      <w:sz w:val="24"/>
      <w:szCs w:val="24"/>
    </w:rPr>
  </w:style>
  <w:style w:type="paragraph" w:customStyle="1" w:styleId="1839">
    <w:name w:val="文-7"/>
    <w:basedOn w:val="1"/>
    <w:qFormat/>
    <w:uiPriority w:val="0"/>
    <w:pPr>
      <w:tabs>
        <w:tab w:val="right" w:leader="dot" w:pos="8789"/>
      </w:tabs>
      <w:adjustRightInd/>
      <w:snapToGrid/>
      <w:spacing w:line="360" w:lineRule="auto"/>
      <w:ind w:left="1701" w:firstLine="482"/>
    </w:pPr>
    <w:rPr>
      <w:sz w:val="24"/>
      <w:szCs w:val="24"/>
    </w:rPr>
  </w:style>
  <w:style w:type="paragraph" w:customStyle="1" w:styleId="1840">
    <w:name w:val="MTDisplayEquation"/>
    <w:basedOn w:val="1"/>
    <w:next w:val="1"/>
    <w:qFormat/>
    <w:uiPriority w:val="0"/>
    <w:pPr>
      <w:tabs>
        <w:tab w:val="center" w:pos="4160"/>
        <w:tab w:val="right" w:pos="8300"/>
      </w:tabs>
      <w:adjustRightInd/>
      <w:snapToGrid/>
      <w:spacing w:line="500" w:lineRule="exact"/>
      <w:ind w:firstLine="538" w:firstLineChars="192"/>
    </w:pPr>
    <w:rPr>
      <w:rFonts w:ascii="黑体" w:eastAsia="黑体"/>
      <w:sz w:val="24"/>
      <w:szCs w:val="24"/>
    </w:rPr>
  </w:style>
  <w:style w:type="paragraph" w:customStyle="1" w:styleId="1841">
    <w:name w:val="样式 样式 首行缩进:  2 字符 + 首行缩进:  2 字符"/>
    <w:basedOn w:val="1"/>
    <w:qFormat/>
    <w:uiPriority w:val="0"/>
    <w:pPr>
      <w:adjustRightInd/>
      <w:snapToGrid/>
      <w:spacing w:line="360" w:lineRule="auto"/>
      <w:ind w:firstLine="480"/>
    </w:pPr>
    <w:rPr>
      <w:rFonts w:cs="宋体"/>
      <w:sz w:val="21"/>
      <w:szCs w:val="20"/>
    </w:rPr>
  </w:style>
  <w:style w:type="paragraph" w:customStyle="1" w:styleId="1842">
    <w:name w:val="Char Char1 Char Char Char Char Char Char Char Char Char Char Char Char Char Char1"/>
    <w:basedOn w:val="1"/>
    <w:qFormat/>
    <w:uiPriority w:val="0"/>
    <w:pPr>
      <w:widowControl/>
      <w:adjustRightInd/>
      <w:snapToGrid/>
      <w:spacing w:beforeLines="100" w:after="160" w:line="240" w:lineRule="exact"/>
    </w:pPr>
    <w:rPr>
      <w:rFonts w:ascii="Verdana" w:hAnsi="Verdana"/>
      <w:kern w:val="0"/>
      <w:sz w:val="32"/>
      <w:szCs w:val="32"/>
      <w:lang w:eastAsia="en-US"/>
    </w:rPr>
  </w:style>
  <w:style w:type="paragraph" w:customStyle="1" w:styleId="1843">
    <w:name w:val="样式 宋体 小四 首行缩进:  0.85 厘米 行距: 多倍行距 1.75 字行"/>
    <w:basedOn w:val="1"/>
    <w:qFormat/>
    <w:uiPriority w:val="0"/>
    <w:pPr>
      <w:snapToGrid/>
      <w:spacing w:line="360" w:lineRule="auto"/>
      <w:ind w:firstLine="340"/>
    </w:pPr>
    <w:rPr>
      <w:rFonts w:ascii="宋体" w:hAnsi="宋体"/>
      <w:sz w:val="24"/>
      <w:szCs w:val="20"/>
    </w:rPr>
  </w:style>
  <w:style w:type="paragraph" w:customStyle="1" w:styleId="1844">
    <w:name w:val="Char Char2 Char Char"/>
    <w:basedOn w:val="1"/>
    <w:qFormat/>
    <w:uiPriority w:val="0"/>
    <w:pPr>
      <w:widowControl/>
      <w:adjustRightInd/>
      <w:snapToGrid/>
      <w:spacing w:after="160" w:line="240" w:lineRule="exact"/>
    </w:pPr>
    <w:rPr>
      <w:rFonts w:ascii="Verdana" w:hAnsi="Verdana" w:eastAsia="仿宋_GB2312"/>
      <w:kern w:val="0"/>
      <w:sz w:val="24"/>
      <w:szCs w:val="20"/>
      <w:lang w:eastAsia="en-US"/>
    </w:rPr>
  </w:style>
  <w:style w:type="paragraph" w:customStyle="1" w:styleId="1845">
    <w:name w:val="Char Char2 Char Char Char Char"/>
    <w:basedOn w:val="1"/>
    <w:qFormat/>
    <w:uiPriority w:val="0"/>
    <w:pPr>
      <w:widowControl/>
      <w:adjustRightInd/>
      <w:snapToGrid/>
      <w:spacing w:after="160" w:line="240" w:lineRule="exact"/>
    </w:pPr>
    <w:rPr>
      <w:rFonts w:ascii="Verdana" w:hAnsi="Verdana" w:eastAsia="仿宋_GB2312"/>
      <w:kern w:val="0"/>
      <w:sz w:val="24"/>
      <w:szCs w:val="20"/>
      <w:lang w:eastAsia="en-US"/>
    </w:rPr>
  </w:style>
  <w:style w:type="character" w:customStyle="1" w:styleId="1846">
    <w:name w:val="表标题 Char"/>
    <w:link w:val="447"/>
    <w:qFormat/>
    <w:uiPriority w:val="0"/>
    <w:rPr>
      <w:rFonts w:ascii="Arial Narrow" w:hAnsi="Arial Narrow" w:eastAsia="仿宋_GB2312"/>
      <w:b/>
      <w:bCs/>
      <w:spacing w:val="-4"/>
      <w:sz w:val="24"/>
      <w:szCs w:val="24"/>
    </w:rPr>
  </w:style>
  <w:style w:type="paragraph" w:customStyle="1" w:styleId="1847">
    <w:name w:val="WPS Plain"/>
    <w:qFormat/>
    <w:uiPriority w:val="0"/>
    <w:rPr>
      <w:rFonts w:ascii="Times New Roman" w:hAnsi="Times New Roman" w:eastAsia="宋体" w:cs="Times New Roman"/>
      <w:lang w:val="en-US" w:eastAsia="zh-CN" w:bidi="ar-SA"/>
    </w:rPr>
  </w:style>
  <w:style w:type="paragraph" w:customStyle="1" w:styleId="1848">
    <w:name w:val="表格小四"/>
    <w:basedOn w:val="1"/>
    <w:link w:val="1849"/>
    <w:qFormat/>
    <w:uiPriority w:val="0"/>
    <w:pPr>
      <w:adjustRightInd/>
      <w:snapToGrid/>
      <w:spacing w:beforeLines="30" w:afterLines="20" w:line="360" w:lineRule="auto"/>
      <w:jc w:val="center"/>
    </w:pPr>
    <w:rPr>
      <w:kern w:val="0"/>
      <w:sz w:val="24"/>
      <w:szCs w:val="20"/>
    </w:rPr>
  </w:style>
  <w:style w:type="character" w:customStyle="1" w:styleId="1849">
    <w:name w:val="表格小四 Char"/>
    <w:link w:val="1848"/>
    <w:qFormat/>
    <w:uiPriority w:val="0"/>
    <w:rPr>
      <w:rFonts w:ascii="Times New Roman" w:hAnsi="Times New Roman"/>
      <w:sz w:val="24"/>
    </w:rPr>
  </w:style>
  <w:style w:type="paragraph" w:customStyle="1" w:styleId="1850">
    <w:name w:val="20100519正文"/>
    <w:link w:val="1851"/>
    <w:qFormat/>
    <w:uiPriority w:val="0"/>
    <w:pPr>
      <w:spacing w:line="480" w:lineRule="exact"/>
    </w:pPr>
    <w:rPr>
      <w:rFonts w:ascii="Times New Roman" w:hAnsi="Times New Roman" w:eastAsia="宋体" w:cs="Times New Roman"/>
      <w:szCs w:val="28"/>
      <w:lang w:val="en-US" w:eastAsia="zh-CN" w:bidi="ar-SA"/>
    </w:rPr>
  </w:style>
  <w:style w:type="character" w:customStyle="1" w:styleId="1851">
    <w:name w:val="20100519正文 Char Char"/>
    <w:link w:val="1850"/>
    <w:qFormat/>
    <w:uiPriority w:val="0"/>
    <w:rPr>
      <w:rFonts w:ascii="Times New Roman" w:hAnsi="Times New Roman"/>
      <w:szCs w:val="28"/>
    </w:rPr>
  </w:style>
  <w:style w:type="paragraph" w:customStyle="1" w:styleId="1852">
    <w:name w:val="02表格标题"/>
    <w:basedOn w:val="1"/>
    <w:qFormat/>
    <w:uiPriority w:val="0"/>
    <w:pPr>
      <w:spacing w:beforeLines="50"/>
      <w:jc w:val="center"/>
      <w:outlineLvl w:val="4"/>
    </w:pPr>
    <w:rPr>
      <w:szCs w:val="26"/>
    </w:rPr>
  </w:style>
  <w:style w:type="paragraph" w:customStyle="1" w:styleId="1853">
    <w:name w:val="04表格标注"/>
    <w:basedOn w:val="1"/>
    <w:qFormat/>
    <w:uiPriority w:val="0"/>
    <w:pPr>
      <w:adjustRightInd/>
      <w:spacing w:line="360" w:lineRule="auto"/>
      <w:ind w:firstLine="480"/>
    </w:pPr>
    <w:rPr>
      <w:snapToGrid w:val="0"/>
      <w:kern w:val="0"/>
      <w:sz w:val="21"/>
      <w:szCs w:val="21"/>
    </w:rPr>
  </w:style>
  <w:style w:type="paragraph" w:customStyle="1" w:styleId="1854">
    <w:name w:val="05土标题"/>
    <w:basedOn w:val="1852"/>
    <w:qFormat/>
    <w:uiPriority w:val="0"/>
    <w:pPr>
      <w:spacing w:beforeLines="0" w:afterLines="50"/>
    </w:pPr>
  </w:style>
  <w:style w:type="character" w:customStyle="1" w:styleId="1855">
    <w:name w:val="正文四号 Char1"/>
    <w:qFormat/>
    <w:uiPriority w:val="0"/>
    <w:rPr>
      <w:rFonts w:ascii="Times New Roman" w:hAnsi="Times New Roman" w:eastAsia="宋体" w:cs="Times New Roman"/>
      <w:sz w:val="24"/>
      <w:szCs w:val="24"/>
    </w:rPr>
  </w:style>
  <w:style w:type="paragraph" w:customStyle="1" w:styleId="1856">
    <w:name w:val="TOC 标题11"/>
    <w:basedOn w:val="3"/>
    <w:next w:val="1"/>
    <w:qFormat/>
    <w:uiPriority w:val="39"/>
    <w:pPr>
      <w:keepNext/>
      <w:keepLines/>
      <w:numPr>
        <w:numId w:val="0"/>
      </w:numPr>
      <w:tabs>
        <w:tab w:val="clear" w:pos="0"/>
      </w:tabs>
      <w:adjustRightInd/>
      <w:snapToGrid/>
      <w:spacing w:beforeLines="0" w:afterLines="0" w:line="276" w:lineRule="auto"/>
      <w:ind w:firstLine="200" w:firstLineChars="200"/>
      <w:jc w:val="left"/>
      <w:outlineLvl w:val="9"/>
    </w:pPr>
    <w:rPr>
      <w:rFonts w:ascii="Cambria" w:hAnsi="Cambria"/>
      <w:snapToGrid/>
      <w:color w:val="365F91"/>
      <w:kern w:val="0"/>
      <w:sz w:val="28"/>
      <w:szCs w:val="28"/>
    </w:rPr>
  </w:style>
  <w:style w:type="paragraph" w:customStyle="1" w:styleId="1857">
    <w:name w:val="样式 首行缩进:  2.57 字符"/>
    <w:basedOn w:val="1"/>
    <w:qFormat/>
    <w:uiPriority w:val="0"/>
    <w:pPr>
      <w:adjustRightInd/>
      <w:snapToGrid/>
      <w:ind w:firstLine="720" w:firstLineChars="257"/>
    </w:pPr>
    <w:rPr>
      <w:rFonts w:cs="宋体"/>
      <w:sz w:val="24"/>
      <w:szCs w:val="20"/>
    </w:rPr>
  </w:style>
  <w:style w:type="paragraph" w:customStyle="1" w:styleId="1858">
    <w:name w:val="标3lcc"/>
    <w:basedOn w:val="45"/>
    <w:link w:val="1859"/>
    <w:qFormat/>
    <w:uiPriority w:val="0"/>
    <w:pPr>
      <w:spacing w:beforeLines="50" w:afterLines="50"/>
      <w:outlineLvl w:val="2"/>
    </w:pPr>
    <w:rPr>
      <w:rFonts w:ascii="Times New Roman" w:hAnsi="Times New Roman"/>
      <w:b/>
      <w:color w:val="000000"/>
      <w:kern w:val="0"/>
      <w:szCs w:val="24"/>
    </w:rPr>
  </w:style>
  <w:style w:type="character" w:customStyle="1" w:styleId="1859">
    <w:name w:val="标3lcc Char"/>
    <w:link w:val="1858"/>
    <w:qFormat/>
    <w:uiPriority w:val="0"/>
    <w:rPr>
      <w:rFonts w:ascii="Times New Roman" w:hAnsi="Times New Roman"/>
      <w:b/>
      <w:color w:val="000000"/>
      <w:sz w:val="21"/>
      <w:szCs w:val="24"/>
    </w:rPr>
  </w:style>
  <w:style w:type="paragraph" w:customStyle="1" w:styleId="1860">
    <w:name w:val="2010可研正文"/>
    <w:link w:val="1861"/>
    <w:qFormat/>
    <w:uiPriority w:val="0"/>
    <w:pPr>
      <w:spacing w:line="480" w:lineRule="exact"/>
      <w:ind w:firstLine="200" w:firstLineChars="200"/>
      <w:jc w:val="both"/>
    </w:pPr>
    <w:rPr>
      <w:rFonts w:ascii="Times New Roman" w:hAnsi="Times New Roman" w:eastAsia="宋体" w:cs="宋体"/>
      <w:lang w:val="en-US" w:eastAsia="zh-CN" w:bidi="ar-SA"/>
    </w:rPr>
  </w:style>
  <w:style w:type="character" w:customStyle="1" w:styleId="1861">
    <w:name w:val="2010可研正文 Char1"/>
    <w:link w:val="1860"/>
    <w:qFormat/>
    <w:uiPriority w:val="0"/>
    <w:rPr>
      <w:rFonts w:ascii="Times New Roman" w:hAnsi="Times New Roman" w:cs="宋体"/>
    </w:rPr>
  </w:style>
  <w:style w:type="paragraph" w:customStyle="1" w:styleId="1862">
    <w:name w:val="标2lcc"/>
    <w:basedOn w:val="45"/>
    <w:link w:val="1863"/>
    <w:qFormat/>
    <w:uiPriority w:val="0"/>
    <w:pPr>
      <w:spacing w:line="360" w:lineRule="auto"/>
      <w:outlineLvl w:val="1"/>
    </w:pPr>
    <w:rPr>
      <w:rFonts w:ascii="Times New Roman" w:hAnsi="Times New Roman"/>
      <w:b/>
      <w:color w:val="000000"/>
      <w:kern w:val="0"/>
      <w:sz w:val="20"/>
      <w:szCs w:val="20"/>
    </w:rPr>
  </w:style>
  <w:style w:type="character" w:customStyle="1" w:styleId="1863">
    <w:name w:val="标2lcc Char"/>
    <w:link w:val="1862"/>
    <w:qFormat/>
    <w:uiPriority w:val="0"/>
    <w:rPr>
      <w:rFonts w:ascii="Times New Roman" w:hAnsi="Times New Roman"/>
      <w:b/>
      <w:color w:val="000000"/>
    </w:rPr>
  </w:style>
  <w:style w:type="paragraph" w:customStyle="1" w:styleId="1864">
    <w:name w:val="正文lcc"/>
    <w:basedOn w:val="1"/>
    <w:link w:val="1865"/>
    <w:qFormat/>
    <w:uiPriority w:val="0"/>
    <w:pPr>
      <w:spacing w:line="360" w:lineRule="auto"/>
      <w:jc w:val="both"/>
    </w:pPr>
    <w:rPr>
      <w:rFonts w:eastAsia="Times New Roman"/>
      <w:kern w:val="0"/>
      <w:sz w:val="24"/>
      <w:szCs w:val="24"/>
    </w:rPr>
  </w:style>
  <w:style w:type="character" w:customStyle="1" w:styleId="1865">
    <w:name w:val="正文lcc Char"/>
    <w:link w:val="1864"/>
    <w:qFormat/>
    <w:uiPriority w:val="0"/>
    <w:rPr>
      <w:rFonts w:ascii="Times New Roman" w:hAnsi="Times New Roman" w:eastAsia="Times New Roman"/>
      <w:sz w:val="24"/>
      <w:szCs w:val="24"/>
    </w:rPr>
  </w:style>
  <w:style w:type="paragraph" w:customStyle="1" w:styleId="1866">
    <w:name w:val="表格-lcc"/>
    <w:basedOn w:val="1"/>
    <w:next w:val="1"/>
    <w:link w:val="1867"/>
    <w:qFormat/>
    <w:uiPriority w:val="0"/>
    <w:pPr>
      <w:adjustRightInd/>
      <w:spacing w:line="240" w:lineRule="auto"/>
      <w:ind w:firstLine="0" w:firstLineChars="0"/>
      <w:jc w:val="center"/>
    </w:pPr>
    <w:rPr>
      <w:b/>
      <w:kern w:val="0"/>
      <w:sz w:val="21"/>
      <w:szCs w:val="21"/>
    </w:rPr>
  </w:style>
  <w:style w:type="character" w:customStyle="1" w:styleId="1867">
    <w:name w:val="表格-lcc Char"/>
    <w:link w:val="1866"/>
    <w:qFormat/>
    <w:uiPriority w:val="0"/>
    <w:rPr>
      <w:rFonts w:ascii="Times New Roman" w:hAnsi="Times New Roman"/>
      <w:b/>
      <w:sz w:val="21"/>
      <w:szCs w:val="21"/>
    </w:rPr>
  </w:style>
  <w:style w:type="paragraph" w:customStyle="1" w:styleId="1868">
    <w:name w:val="标4"/>
    <w:basedOn w:val="1"/>
    <w:next w:val="1864"/>
    <w:link w:val="1869"/>
    <w:qFormat/>
    <w:uiPriority w:val="0"/>
    <w:pPr>
      <w:adjustRightInd/>
      <w:snapToGrid/>
      <w:spacing w:line="360" w:lineRule="auto"/>
      <w:jc w:val="both"/>
      <w:outlineLvl w:val="4"/>
    </w:pPr>
    <w:rPr>
      <w:b/>
      <w:color w:val="000000"/>
      <w:kern w:val="0"/>
      <w:sz w:val="24"/>
      <w:szCs w:val="24"/>
    </w:rPr>
  </w:style>
  <w:style w:type="character" w:customStyle="1" w:styleId="1869">
    <w:name w:val="标4 Char"/>
    <w:link w:val="1868"/>
    <w:qFormat/>
    <w:uiPriority w:val="0"/>
    <w:rPr>
      <w:rFonts w:ascii="Times New Roman" w:hAnsi="Times New Roman"/>
      <w:b/>
      <w:color w:val="000000"/>
      <w:sz w:val="24"/>
      <w:szCs w:val="24"/>
    </w:rPr>
  </w:style>
  <w:style w:type="paragraph" w:customStyle="1" w:styleId="1870">
    <w:name w:val="表文lcc"/>
    <w:basedOn w:val="1"/>
    <w:next w:val="1"/>
    <w:link w:val="1871"/>
    <w:qFormat/>
    <w:uiPriority w:val="0"/>
    <w:pPr>
      <w:adjustRightInd/>
      <w:snapToGrid/>
      <w:spacing w:line="240" w:lineRule="auto"/>
      <w:ind w:firstLine="0" w:firstLineChars="0"/>
      <w:jc w:val="center"/>
    </w:pPr>
    <w:rPr>
      <w:kern w:val="0"/>
      <w:sz w:val="21"/>
      <w:szCs w:val="18"/>
    </w:rPr>
  </w:style>
  <w:style w:type="character" w:customStyle="1" w:styleId="1871">
    <w:name w:val="表文lcc Char"/>
    <w:link w:val="1870"/>
    <w:qFormat/>
    <w:uiPriority w:val="0"/>
    <w:rPr>
      <w:rFonts w:ascii="Times New Roman" w:hAnsi="Times New Roman"/>
      <w:sz w:val="21"/>
      <w:szCs w:val="18"/>
    </w:rPr>
  </w:style>
  <w:style w:type="character" w:customStyle="1" w:styleId="1872">
    <w:name w:val="表名 Char"/>
    <w:link w:val="1054"/>
    <w:qFormat/>
    <w:uiPriority w:val="0"/>
    <w:rPr>
      <w:bCs/>
      <w:sz w:val="24"/>
      <w:szCs w:val="22"/>
      <w:lang w:eastAsia="en-US" w:bidi="en-US"/>
    </w:rPr>
  </w:style>
  <w:style w:type="paragraph" w:customStyle="1" w:styleId="1873">
    <w:name w:val="表内居中"/>
    <w:basedOn w:val="1874"/>
    <w:link w:val="1876"/>
    <w:qFormat/>
    <w:uiPriority w:val="0"/>
    <w:rPr>
      <w:rFonts w:ascii="Times New Roman" w:hAnsi="Times New Roman"/>
    </w:rPr>
  </w:style>
  <w:style w:type="paragraph" w:customStyle="1" w:styleId="1874">
    <w:name w:val="表内容5号"/>
    <w:basedOn w:val="1"/>
    <w:link w:val="1875"/>
    <w:qFormat/>
    <w:uiPriority w:val="0"/>
    <w:pPr>
      <w:overflowPunct w:val="0"/>
      <w:adjustRightInd/>
      <w:snapToGrid/>
      <w:spacing w:line="240" w:lineRule="auto"/>
      <w:ind w:firstLine="0" w:firstLineChars="0"/>
      <w:jc w:val="center"/>
    </w:pPr>
    <w:rPr>
      <w:rFonts w:ascii="Calibri" w:hAnsi="Calibri"/>
      <w:kern w:val="0"/>
      <w:sz w:val="21"/>
      <w:szCs w:val="21"/>
    </w:rPr>
  </w:style>
  <w:style w:type="character" w:customStyle="1" w:styleId="1875">
    <w:name w:val="表内容5号 Char Char"/>
    <w:link w:val="1874"/>
    <w:qFormat/>
    <w:uiPriority w:val="0"/>
    <w:rPr>
      <w:sz w:val="21"/>
      <w:szCs w:val="21"/>
    </w:rPr>
  </w:style>
  <w:style w:type="character" w:customStyle="1" w:styleId="1876">
    <w:name w:val="表内居中 Char"/>
    <w:link w:val="1873"/>
    <w:qFormat/>
    <w:uiPriority w:val="0"/>
    <w:rPr>
      <w:rFonts w:ascii="Times New Roman" w:hAnsi="Times New Roman"/>
      <w:sz w:val="21"/>
      <w:szCs w:val="21"/>
    </w:rPr>
  </w:style>
  <w:style w:type="paragraph" w:customStyle="1" w:styleId="1877">
    <w:name w:val="龚正文"/>
    <w:basedOn w:val="1"/>
    <w:link w:val="1878"/>
    <w:qFormat/>
    <w:uiPriority w:val="0"/>
    <w:pPr>
      <w:overflowPunct w:val="0"/>
      <w:adjustRightInd/>
      <w:snapToGrid/>
      <w:spacing w:line="360" w:lineRule="auto"/>
      <w:ind w:firstLine="480"/>
      <w:jc w:val="both"/>
    </w:pPr>
    <w:rPr>
      <w:rFonts w:ascii="Calibri" w:hAnsi="宋体"/>
      <w:kern w:val="0"/>
      <w:sz w:val="24"/>
      <w:szCs w:val="20"/>
    </w:rPr>
  </w:style>
  <w:style w:type="character" w:customStyle="1" w:styleId="1878">
    <w:name w:val="龚正文 Char Char"/>
    <w:link w:val="1877"/>
    <w:qFormat/>
    <w:uiPriority w:val="0"/>
    <w:rPr>
      <w:rFonts w:hAnsi="宋体"/>
      <w:sz w:val="24"/>
    </w:rPr>
  </w:style>
  <w:style w:type="character" w:customStyle="1" w:styleId="1879">
    <w:name w:val="3级标题 Char Char"/>
    <w:link w:val="1254"/>
    <w:qFormat/>
    <w:uiPriority w:val="0"/>
    <w:rPr>
      <w:rFonts w:ascii="Arial" w:hAnsi="Arial"/>
      <w:b/>
      <w:color w:val="000000"/>
      <w:kern w:val="2"/>
      <w:sz w:val="28"/>
      <w:szCs w:val="24"/>
    </w:rPr>
  </w:style>
  <w:style w:type="character" w:customStyle="1" w:styleId="1880">
    <w:name w:val="2级标题 Char Char"/>
    <w:link w:val="1243"/>
    <w:qFormat/>
    <w:uiPriority w:val="0"/>
    <w:rPr>
      <w:rFonts w:ascii="Arial" w:hAnsi="Arial"/>
      <w:b/>
      <w:color w:val="000000"/>
      <w:kern w:val="2"/>
      <w:sz w:val="30"/>
      <w:szCs w:val="24"/>
    </w:rPr>
  </w:style>
  <w:style w:type="paragraph" w:customStyle="1" w:styleId="1881">
    <w:name w:val="表题1"/>
    <w:basedOn w:val="1"/>
    <w:link w:val="1882"/>
    <w:qFormat/>
    <w:uiPriority w:val="0"/>
    <w:pPr>
      <w:tabs>
        <w:tab w:val="left" w:pos="2800"/>
        <w:tab w:val="left" w:pos="5700"/>
      </w:tabs>
      <w:overflowPunct w:val="0"/>
      <w:adjustRightInd/>
      <w:snapToGrid/>
      <w:spacing w:beforeLines="50" w:line="360" w:lineRule="auto"/>
      <w:ind w:firstLine="0" w:firstLineChars="0"/>
      <w:jc w:val="center"/>
    </w:pPr>
    <w:rPr>
      <w:rFonts w:ascii="Calibri" w:hAnsi="Calibri"/>
      <w:b/>
      <w:kern w:val="0"/>
      <w:sz w:val="21"/>
      <w:szCs w:val="21"/>
    </w:rPr>
  </w:style>
  <w:style w:type="character" w:customStyle="1" w:styleId="1882">
    <w:name w:val="表题1 Char Char"/>
    <w:link w:val="1881"/>
    <w:qFormat/>
    <w:uiPriority w:val="0"/>
    <w:rPr>
      <w:b/>
      <w:sz w:val="21"/>
      <w:szCs w:val="21"/>
    </w:rPr>
  </w:style>
  <w:style w:type="paragraph" w:customStyle="1" w:styleId="1883">
    <w:name w:val="y正文"/>
    <w:qFormat/>
    <w:uiPriority w:val="0"/>
    <w:pPr>
      <w:spacing w:line="360" w:lineRule="auto"/>
      <w:ind w:firstLine="420" w:firstLineChars="200"/>
      <w:jc w:val="both"/>
    </w:pPr>
    <w:rPr>
      <w:rFonts w:ascii="Times New Roman" w:hAnsi="Times New Roman" w:eastAsia="宋体" w:cs="Calibri"/>
      <w:kern w:val="2"/>
      <w:sz w:val="21"/>
      <w:szCs w:val="21"/>
      <w:lang w:val="en-US" w:eastAsia="zh-CN" w:bidi="ar-SA"/>
    </w:rPr>
  </w:style>
  <w:style w:type="paragraph" w:customStyle="1" w:styleId="1884">
    <w:name w:val="样式 自动A +"/>
    <w:basedOn w:val="1"/>
    <w:link w:val="1885"/>
    <w:qFormat/>
    <w:uiPriority w:val="0"/>
    <w:pPr>
      <w:overflowPunct w:val="0"/>
      <w:adjustRightInd/>
      <w:snapToGrid/>
      <w:spacing w:beforeLines="50" w:afterLines="50" w:line="360" w:lineRule="auto"/>
      <w:ind w:firstLine="480"/>
      <w:jc w:val="both"/>
    </w:pPr>
    <w:rPr>
      <w:rFonts w:ascii="Calibri" w:hAnsi="Calibri"/>
      <w:color w:val="000000"/>
      <w:kern w:val="0"/>
      <w:sz w:val="24"/>
      <w:szCs w:val="20"/>
    </w:rPr>
  </w:style>
  <w:style w:type="character" w:customStyle="1" w:styleId="1885">
    <w:name w:val="样式 自动A + Char Char"/>
    <w:link w:val="1884"/>
    <w:qFormat/>
    <w:uiPriority w:val="0"/>
    <w:rPr>
      <w:color w:val="000000"/>
      <w:sz w:val="24"/>
    </w:rPr>
  </w:style>
  <w:style w:type="paragraph" w:customStyle="1" w:styleId="1886">
    <w:name w:val="龚表名。"/>
    <w:basedOn w:val="1"/>
    <w:link w:val="1887"/>
    <w:qFormat/>
    <w:uiPriority w:val="0"/>
    <w:pPr>
      <w:overflowPunct w:val="0"/>
      <w:adjustRightInd/>
      <w:snapToGrid/>
      <w:spacing w:line="360" w:lineRule="auto"/>
      <w:jc w:val="center"/>
    </w:pPr>
    <w:rPr>
      <w:rFonts w:ascii="Calibri" w:hAnsi="Calibri"/>
      <w:b/>
      <w:kern w:val="0"/>
      <w:sz w:val="21"/>
      <w:szCs w:val="20"/>
    </w:rPr>
  </w:style>
  <w:style w:type="character" w:customStyle="1" w:styleId="1887">
    <w:name w:val="龚表名。 Char Char"/>
    <w:link w:val="1886"/>
    <w:qFormat/>
    <w:uiPriority w:val="0"/>
    <w:rPr>
      <w:b/>
      <w:sz w:val="21"/>
    </w:rPr>
  </w:style>
  <w:style w:type="paragraph" w:customStyle="1" w:styleId="1888">
    <w:name w:val="样式 报告书正文 + 首行缩进:  2 字符"/>
    <w:basedOn w:val="1"/>
    <w:link w:val="1889"/>
    <w:qFormat/>
    <w:uiPriority w:val="0"/>
    <w:pPr>
      <w:tabs>
        <w:tab w:val="left" w:pos="6300"/>
      </w:tabs>
      <w:adjustRightInd/>
      <w:snapToGrid/>
      <w:spacing w:line="360" w:lineRule="auto"/>
      <w:ind w:firstLine="482"/>
      <w:jc w:val="both"/>
    </w:pPr>
    <w:rPr>
      <w:color w:val="000000"/>
      <w:kern w:val="0"/>
      <w:sz w:val="24"/>
      <w:szCs w:val="24"/>
    </w:rPr>
  </w:style>
  <w:style w:type="character" w:customStyle="1" w:styleId="1889">
    <w:name w:val="样式 报告书正文 + 首行缩进:  2 字符 Char1"/>
    <w:link w:val="1888"/>
    <w:qFormat/>
    <w:uiPriority w:val="0"/>
    <w:rPr>
      <w:rFonts w:ascii="Times New Roman" w:hAnsi="Times New Roman"/>
      <w:color w:val="000000"/>
      <w:sz w:val="24"/>
      <w:szCs w:val="24"/>
    </w:rPr>
  </w:style>
  <w:style w:type="paragraph" w:customStyle="1" w:styleId="1890">
    <w:name w:val="龚艺正文"/>
    <w:basedOn w:val="1"/>
    <w:link w:val="1891"/>
    <w:qFormat/>
    <w:uiPriority w:val="0"/>
    <w:pPr>
      <w:wordWrap w:val="0"/>
      <w:adjustRightInd/>
      <w:snapToGrid/>
      <w:spacing w:line="360" w:lineRule="auto"/>
      <w:ind w:firstLine="480"/>
    </w:pPr>
    <w:rPr>
      <w:color w:val="000000"/>
      <w:kern w:val="0"/>
      <w:sz w:val="24"/>
      <w:szCs w:val="20"/>
    </w:rPr>
  </w:style>
  <w:style w:type="character" w:customStyle="1" w:styleId="1891">
    <w:name w:val="龚艺正文 Char"/>
    <w:link w:val="1890"/>
    <w:qFormat/>
    <w:uiPriority w:val="0"/>
    <w:rPr>
      <w:rFonts w:ascii="Times New Roman" w:hAnsi="Times New Roman"/>
      <w:color w:val="000000"/>
      <w:sz w:val="24"/>
    </w:rPr>
  </w:style>
  <w:style w:type="paragraph" w:customStyle="1" w:styleId="1892">
    <w:name w:val="修订11"/>
    <w:hidden/>
    <w:unhideWhenUsed/>
    <w:qFormat/>
    <w:uiPriority w:val="99"/>
    <w:rPr>
      <w:rFonts w:ascii="Times New Roman" w:hAnsi="Times New Roman" w:eastAsia="宋体" w:cs="Times New Roman"/>
      <w:kern w:val="2"/>
      <w:sz w:val="24"/>
      <w:szCs w:val="24"/>
      <w:lang w:val="en-US" w:eastAsia="zh-CN" w:bidi="ar-SA"/>
    </w:rPr>
  </w:style>
  <w:style w:type="paragraph" w:customStyle="1" w:styleId="1893">
    <w:name w:val="龚艺标题4"/>
    <w:basedOn w:val="1"/>
    <w:link w:val="1894"/>
    <w:qFormat/>
    <w:uiPriority w:val="0"/>
    <w:pPr>
      <w:overflowPunct w:val="0"/>
      <w:adjustRightInd/>
      <w:snapToGrid/>
      <w:spacing w:beforeLines="50" w:line="360" w:lineRule="auto"/>
      <w:jc w:val="both"/>
      <w:outlineLvl w:val="3"/>
    </w:pPr>
    <w:rPr>
      <w:rFonts w:ascii="Calibri" w:hAnsi="宋体"/>
      <w:color w:val="000000"/>
      <w:kern w:val="0"/>
      <w:sz w:val="24"/>
      <w:szCs w:val="28"/>
    </w:rPr>
  </w:style>
  <w:style w:type="character" w:customStyle="1" w:styleId="1894">
    <w:name w:val="龚艺标题4 Char Char"/>
    <w:link w:val="1893"/>
    <w:qFormat/>
    <w:uiPriority w:val="0"/>
    <w:rPr>
      <w:rFonts w:hAnsi="宋体"/>
      <w:color w:val="000000"/>
      <w:sz w:val="24"/>
      <w:szCs w:val="28"/>
    </w:rPr>
  </w:style>
  <w:style w:type="character" w:customStyle="1" w:styleId="1895">
    <w:name w:val="hongse381"/>
    <w:qFormat/>
    <w:uiPriority w:val="0"/>
    <w:rPr>
      <w:sz w:val="19"/>
      <w:szCs w:val="19"/>
    </w:rPr>
  </w:style>
  <w:style w:type="character" w:customStyle="1" w:styleId="1896">
    <w:name w:val="tt41"/>
    <w:basedOn w:val="132"/>
    <w:qFormat/>
    <w:uiPriority w:val="0"/>
  </w:style>
  <w:style w:type="character" w:customStyle="1" w:styleId="1897">
    <w:name w:val="p141"/>
    <w:qFormat/>
    <w:uiPriority w:val="0"/>
    <w:rPr>
      <w:color w:val="000000"/>
      <w:sz w:val="21"/>
      <w:szCs w:val="21"/>
      <w:u w:val="none"/>
    </w:rPr>
  </w:style>
  <w:style w:type="character" w:customStyle="1" w:styleId="1898">
    <w:name w:val="批注主题 Char1"/>
    <w:qFormat/>
    <w:uiPriority w:val="99"/>
    <w:rPr>
      <w:b/>
      <w:bCs/>
    </w:rPr>
  </w:style>
  <w:style w:type="character" w:customStyle="1" w:styleId="1899">
    <w:name w:val="duanluo2"/>
    <w:qFormat/>
    <w:uiPriority w:val="0"/>
    <w:rPr>
      <w:rFonts w:hint="default" w:ascii="_GB2312" w:hAnsi="_GB2312"/>
      <w:color w:val="000000"/>
      <w:spacing w:val="432"/>
      <w:sz w:val="21"/>
      <w:szCs w:val="21"/>
    </w:rPr>
  </w:style>
  <w:style w:type="character" w:customStyle="1" w:styleId="1900">
    <w:name w:val="11p1"/>
    <w:qFormat/>
    <w:uiPriority w:val="0"/>
    <w:rPr>
      <w:sz w:val="23"/>
      <w:szCs w:val="23"/>
    </w:rPr>
  </w:style>
  <w:style w:type="character" w:customStyle="1" w:styleId="1901">
    <w:name w:val="s c c"/>
    <w:basedOn w:val="132"/>
    <w:qFormat/>
    <w:uiPriority w:val="0"/>
  </w:style>
  <w:style w:type="character" w:customStyle="1" w:styleId="1902">
    <w:name w:val="css1"/>
    <w:qFormat/>
    <w:uiPriority w:val="0"/>
    <w:rPr>
      <w:sz w:val="20"/>
      <w:szCs w:val="20"/>
      <w:u w:val="none"/>
    </w:rPr>
  </w:style>
  <w:style w:type="character" w:customStyle="1" w:styleId="1903">
    <w:name w:val="white"/>
    <w:basedOn w:val="132"/>
    <w:qFormat/>
    <w:uiPriority w:val="0"/>
  </w:style>
  <w:style w:type="character" w:customStyle="1" w:styleId="1904">
    <w:name w:val="postbody1"/>
    <w:qFormat/>
    <w:uiPriority w:val="0"/>
    <w:rPr>
      <w:sz w:val="21"/>
      <w:szCs w:val="21"/>
    </w:rPr>
  </w:style>
  <w:style w:type="character" w:customStyle="1" w:styleId="1905">
    <w:name w:val="u150"/>
    <w:basedOn w:val="132"/>
    <w:qFormat/>
    <w:uiPriority w:val="0"/>
  </w:style>
  <w:style w:type="character" w:customStyle="1" w:styleId="1906">
    <w:name w:val="titlefront1"/>
    <w:qFormat/>
    <w:uiPriority w:val="0"/>
    <w:rPr>
      <w:sz w:val="19"/>
      <w:szCs w:val="19"/>
    </w:rPr>
  </w:style>
  <w:style w:type="character" w:customStyle="1" w:styleId="1907">
    <w:name w:val="style441"/>
    <w:qFormat/>
    <w:uiPriority w:val="0"/>
    <w:rPr>
      <w:sz w:val="18"/>
      <w:szCs w:val="18"/>
    </w:rPr>
  </w:style>
  <w:style w:type="character" w:customStyle="1" w:styleId="1908">
    <w:name w:val="小标题样式"/>
    <w:qFormat/>
    <w:uiPriority w:val="0"/>
    <w:rPr>
      <w:rFonts w:ascii="Times New Roman" w:hAnsi="Times New Roman" w:eastAsia="宋体"/>
      <w:kern w:val="2"/>
      <w:sz w:val="28"/>
      <w:szCs w:val="28"/>
      <w:lang w:val="en-US" w:eastAsia="zh-CN" w:bidi="ar-SA"/>
    </w:rPr>
  </w:style>
  <w:style w:type="character" w:customStyle="1" w:styleId="1909">
    <w:name w:val="明显参考11"/>
    <w:qFormat/>
    <w:uiPriority w:val="32"/>
    <w:rPr>
      <w:b/>
      <w:bCs/>
      <w:smallCaps/>
      <w:color w:val="C0504D"/>
      <w:spacing w:val="5"/>
      <w:u w:val="single"/>
    </w:rPr>
  </w:style>
  <w:style w:type="character" w:customStyle="1" w:styleId="1910">
    <w:name w:val="样式 样式1 + 首行缩进:  2 字符 Char1"/>
    <w:qFormat/>
    <w:uiPriority w:val="0"/>
    <w:rPr>
      <w:rFonts w:eastAsia="宋体" w:cs="宋体"/>
      <w:bCs/>
      <w:kern w:val="2"/>
      <w:sz w:val="24"/>
      <w:lang w:val="en-US" w:eastAsia="zh-CN" w:bidi="ar-SA"/>
    </w:rPr>
  </w:style>
  <w:style w:type="character" w:customStyle="1" w:styleId="1911">
    <w:name w:val="报告 Char Char"/>
    <w:qFormat/>
    <w:uiPriority w:val="0"/>
    <w:rPr>
      <w:rFonts w:ascii="TimesNewRoman" w:hAnsi="TimesNewRoman" w:eastAsia="宋体" w:cs="Times New Roman"/>
      <w:kern w:val="0"/>
      <w:sz w:val="24"/>
      <w:szCs w:val="20"/>
    </w:rPr>
  </w:style>
  <w:style w:type="character" w:customStyle="1" w:styleId="1912">
    <w:name w:val="报告表正文 Char Char"/>
    <w:qFormat/>
    <w:uiPriority w:val="0"/>
    <w:rPr>
      <w:rFonts w:ascii="Times New Roman" w:hAnsi="Times New Roman" w:eastAsia="宋体" w:cs="Times New Roman"/>
      <w:kern w:val="0"/>
      <w:sz w:val="24"/>
      <w:szCs w:val="20"/>
    </w:rPr>
  </w:style>
  <w:style w:type="character" w:customStyle="1" w:styleId="1913">
    <w:name w:val="title-text"/>
    <w:basedOn w:val="132"/>
    <w:qFormat/>
    <w:uiPriority w:val="0"/>
  </w:style>
  <w:style w:type="character" w:customStyle="1" w:styleId="1914">
    <w:name w:val="正文0 Char"/>
    <w:link w:val="1915"/>
    <w:qFormat/>
    <w:uiPriority w:val="0"/>
    <w:rPr>
      <w:rFonts w:hAnsi="宋体"/>
      <w:sz w:val="24"/>
      <w:szCs w:val="24"/>
    </w:rPr>
  </w:style>
  <w:style w:type="paragraph" w:customStyle="1" w:styleId="1915">
    <w:name w:val="正文0"/>
    <w:basedOn w:val="1"/>
    <w:next w:val="1"/>
    <w:link w:val="1914"/>
    <w:qFormat/>
    <w:uiPriority w:val="0"/>
    <w:pPr>
      <w:ind w:firstLine="480"/>
      <w:jc w:val="both"/>
    </w:pPr>
    <w:rPr>
      <w:rFonts w:ascii="Calibri" w:hAnsi="宋体"/>
      <w:kern w:val="0"/>
      <w:sz w:val="24"/>
      <w:szCs w:val="24"/>
    </w:rPr>
  </w:style>
  <w:style w:type="character" w:customStyle="1" w:styleId="1916">
    <w:name w:val="style391"/>
    <w:qFormat/>
    <w:uiPriority w:val="0"/>
    <w:rPr>
      <w:b/>
      <w:bCs/>
      <w:color w:val="287D3C"/>
      <w:sz w:val="21"/>
      <w:szCs w:val="21"/>
    </w:rPr>
  </w:style>
  <w:style w:type="character" w:customStyle="1" w:styleId="1917">
    <w:name w:val="style421"/>
    <w:qFormat/>
    <w:uiPriority w:val="0"/>
    <w:rPr>
      <w:color w:val="287D3C"/>
      <w:sz w:val="21"/>
      <w:szCs w:val="21"/>
    </w:rPr>
  </w:style>
  <w:style w:type="character" w:customStyle="1" w:styleId="1918">
    <w:name w:val="标题3l Char"/>
    <w:link w:val="1919"/>
    <w:qFormat/>
    <w:uiPriority w:val="0"/>
    <w:rPr>
      <w:b/>
      <w:color w:val="000000"/>
      <w:sz w:val="24"/>
    </w:rPr>
  </w:style>
  <w:style w:type="paragraph" w:customStyle="1" w:styleId="1919">
    <w:name w:val="标题3l"/>
    <w:basedOn w:val="1"/>
    <w:link w:val="1918"/>
    <w:qFormat/>
    <w:uiPriority w:val="0"/>
    <w:pPr>
      <w:spacing w:before="120" w:line="360" w:lineRule="auto"/>
      <w:ind w:firstLine="0" w:firstLineChars="0"/>
      <w:jc w:val="both"/>
      <w:outlineLvl w:val="2"/>
    </w:pPr>
    <w:rPr>
      <w:rFonts w:ascii="Calibri" w:hAnsi="Calibri"/>
      <w:b/>
      <w:color w:val="000000"/>
      <w:kern w:val="0"/>
      <w:sz w:val="24"/>
      <w:szCs w:val="20"/>
    </w:rPr>
  </w:style>
  <w:style w:type="character" w:customStyle="1" w:styleId="1920">
    <w:name w:val="p31"/>
    <w:qFormat/>
    <w:uiPriority w:val="0"/>
    <w:rPr>
      <w:rFonts w:hint="default"/>
      <w:spacing w:val="360"/>
      <w:sz w:val="18"/>
      <w:szCs w:val="18"/>
    </w:rPr>
  </w:style>
  <w:style w:type="character" w:customStyle="1" w:styleId="1921">
    <w:name w:val="【表中文字】 Char"/>
    <w:link w:val="1922"/>
    <w:qFormat/>
    <w:uiPriority w:val="0"/>
    <w:rPr>
      <w:sz w:val="24"/>
    </w:rPr>
  </w:style>
  <w:style w:type="paragraph" w:customStyle="1" w:styleId="1922">
    <w:name w:val="【表中文字】"/>
    <w:basedOn w:val="1"/>
    <w:link w:val="1921"/>
    <w:qFormat/>
    <w:uiPriority w:val="0"/>
    <w:pPr>
      <w:adjustRightInd/>
      <w:snapToGrid/>
      <w:spacing w:line="360" w:lineRule="auto"/>
      <w:jc w:val="center"/>
    </w:pPr>
    <w:rPr>
      <w:rFonts w:ascii="Calibri" w:hAnsi="Calibri"/>
      <w:kern w:val="0"/>
      <w:sz w:val="24"/>
      <w:szCs w:val="20"/>
    </w:rPr>
  </w:style>
  <w:style w:type="character" w:customStyle="1" w:styleId="1923">
    <w:name w:val="15"/>
    <w:qFormat/>
    <w:uiPriority w:val="0"/>
    <w:rPr>
      <w:rFonts w:hint="default" w:ascii="Times New Roman" w:hAnsi="Times New Roman" w:cs="Times New Roman"/>
      <w:sz w:val="18"/>
      <w:szCs w:val="18"/>
    </w:rPr>
  </w:style>
  <w:style w:type="character" w:customStyle="1" w:styleId="1924">
    <w:name w:val="标题1l Char"/>
    <w:link w:val="1925"/>
    <w:qFormat/>
    <w:uiPriority w:val="0"/>
    <w:rPr>
      <w:b/>
      <w:color w:val="000000"/>
      <w:sz w:val="30"/>
      <w:szCs w:val="30"/>
    </w:rPr>
  </w:style>
  <w:style w:type="paragraph" w:customStyle="1" w:styleId="1925">
    <w:name w:val="标题1l"/>
    <w:basedOn w:val="1"/>
    <w:link w:val="1924"/>
    <w:qFormat/>
    <w:uiPriority w:val="0"/>
    <w:pPr>
      <w:adjustRightInd/>
      <w:snapToGrid/>
      <w:spacing w:line="360" w:lineRule="auto"/>
      <w:ind w:firstLine="0" w:firstLineChars="0"/>
      <w:outlineLvl w:val="0"/>
    </w:pPr>
    <w:rPr>
      <w:rFonts w:ascii="Calibri" w:hAnsi="Calibri"/>
      <w:b/>
      <w:color w:val="000000"/>
      <w:kern w:val="0"/>
      <w:sz w:val="30"/>
      <w:szCs w:val="30"/>
    </w:rPr>
  </w:style>
  <w:style w:type="character" w:customStyle="1" w:styleId="1926">
    <w:name w:val="样式44 Char"/>
    <w:link w:val="1927"/>
    <w:qFormat/>
    <w:uiPriority w:val="0"/>
    <w:rPr>
      <w:color w:val="000000"/>
      <w:sz w:val="24"/>
    </w:rPr>
  </w:style>
  <w:style w:type="paragraph" w:customStyle="1" w:styleId="1927">
    <w:name w:val="样式44"/>
    <w:basedOn w:val="1"/>
    <w:link w:val="1926"/>
    <w:qFormat/>
    <w:uiPriority w:val="0"/>
    <w:pPr>
      <w:adjustRightInd/>
      <w:snapToGrid/>
      <w:spacing w:before="120" w:after="120" w:line="360" w:lineRule="auto"/>
      <w:ind w:firstLine="480"/>
      <w:jc w:val="both"/>
    </w:pPr>
    <w:rPr>
      <w:rFonts w:ascii="Calibri" w:hAnsi="Calibri"/>
      <w:color w:val="000000"/>
      <w:kern w:val="0"/>
      <w:sz w:val="24"/>
      <w:szCs w:val="20"/>
    </w:rPr>
  </w:style>
  <w:style w:type="character" w:customStyle="1" w:styleId="1928">
    <w:name w:val="标题1lcc Char"/>
    <w:link w:val="1929"/>
    <w:qFormat/>
    <w:uiPriority w:val="0"/>
    <w:rPr>
      <w:b/>
      <w:bCs/>
      <w:kern w:val="44"/>
      <w:sz w:val="32"/>
      <w:szCs w:val="24"/>
    </w:rPr>
  </w:style>
  <w:style w:type="paragraph" w:customStyle="1" w:styleId="1929">
    <w:name w:val="标题1lcc"/>
    <w:basedOn w:val="3"/>
    <w:link w:val="1928"/>
    <w:qFormat/>
    <w:uiPriority w:val="0"/>
    <w:pPr>
      <w:keepNext/>
      <w:keepLines/>
      <w:widowControl w:val="0"/>
      <w:numPr>
        <w:numId w:val="0"/>
      </w:numPr>
      <w:tabs>
        <w:tab w:val="clear" w:pos="0"/>
      </w:tabs>
      <w:spacing w:beforeLines="0" w:afterLines="0" w:line="360" w:lineRule="auto"/>
    </w:pPr>
    <w:rPr>
      <w:rFonts w:ascii="Calibri" w:hAnsi="Calibri"/>
      <w:snapToGrid/>
      <w:sz w:val="32"/>
      <w:szCs w:val="24"/>
    </w:rPr>
  </w:style>
  <w:style w:type="paragraph" w:customStyle="1" w:styleId="1930">
    <w:name w:val="style44"/>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18"/>
      <w:szCs w:val="18"/>
    </w:rPr>
  </w:style>
  <w:style w:type="paragraph" w:customStyle="1" w:styleId="1931">
    <w:name w:val="Char23"/>
    <w:basedOn w:val="1"/>
    <w:qFormat/>
    <w:uiPriority w:val="0"/>
    <w:pPr>
      <w:adjustRightInd/>
      <w:snapToGrid/>
      <w:spacing w:line="240" w:lineRule="auto"/>
      <w:ind w:firstLine="0" w:firstLineChars="0"/>
      <w:jc w:val="both"/>
    </w:pPr>
    <w:rPr>
      <w:sz w:val="21"/>
      <w:szCs w:val="20"/>
    </w:rPr>
  </w:style>
  <w:style w:type="paragraph" w:customStyle="1" w:styleId="1932">
    <w:name w:val="1 Char Char Char Char Char Char Char Char Char Char Char Char Char"/>
    <w:basedOn w:val="1"/>
    <w:semiHidden/>
    <w:qFormat/>
    <w:uiPriority w:val="0"/>
    <w:pPr>
      <w:adjustRightInd/>
      <w:snapToGrid/>
      <w:spacing w:line="240" w:lineRule="auto"/>
      <w:ind w:firstLine="0" w:firstLineChars="0"/>
      <w:jc w:val="both"/>
    </w:pPr>
    <w:rPr>
      <w:sz w:val="21"/>
      <w:szCs w:val="24"/>
    </w:rPr>
  </w:style>
  <w:style w:type="paragraph" w:customStyle="1" w:styleId="1933">
    <w:name w:val="p16"/>
    <w:basedOn w:val="1"/>
    <w:qFormat/>
    <w:uiPriority w:val="0"/>
    <w:pPr>
      <w:widowControl/>
      <w:adjustRightInd/>
      <w:snapToGrid/>
      <w:spacing w:line="240" w:lineRule="auto"/>
      <w:ind w:firstLine="0" w:firstLineChars="0"/>
      <w:jc w:val="both"/>
    </w:pPr>
    <w:rPr>
      <w:kern w:val="0"/>
      <w:sz w:val="21"/>
      <w:szCs w:val="21"/>
    </w:rPr>
  </w:style>
  <w:style w:type="paragraph" w:customStyle="1" w:styleId="1934">
    <w:name w:val="正文样式1"/>
    <w:basedOn w:val="1"/>
    <w:qFormat/>
    <w:uiPriority w:val="0"/>
    <w:pPr>
      <w:snapToGrid/>
      <w:spacing w:beforeLines="10" w:afterLines="10" w:line="264" w:lineRule="auto"/>
      <w:ind w:firstLine="454" w:firstLineChars="0"/>
      <w:jc w:val="both"/>
      <w:textAlignment w:val="baseline"/>
    </w:pPr>
    <w:rPr>
      <w:snapToGrid w:val="0"/>
      <w:kern w:val="0"/>
      <w:position w:val="-12"/>
      <w:sz w:val="24"/>
      <w:szCs w:val="20"/>
    </w:rPr>
  </w:style>
  <w:style w:type="table" w:customStyle="1" w:styleId="1935">
    <w:name w:val="AAA"/>
    <w:basedOn w:val="89"/>
    <w:qFormat/>
    <w:uiPriority w:val="0"/>
    <w:pPr>
      <w:widowControl w:val="0"/>
      <w:jc w:val="center"/>
    </w:pPr>
    <w:rPr>
      <w:kern w:val="0"/>
      <w:sz w:val="20"/>
      <w:szCs w:val="20"/>
    </w:rPr>
    <w:tblPr>
      <w:tblBorders>
        <w:top w:val="single" w:color="auto" w:sz="12" w:space="0"/>
        <w:bottom w:val="single" w:color="auto" w:sz="12" w:space="0"/>
      </w:tblBorders>
    </w:tblPr>
    <w:tcPr>
      <w:vAlign w:val="center"/>
    </w:tcPr>
  </w:style>
  <w:style w:type="paragraph" w:customStyle="1" w:styleId="1936">
    <w:name w:val="三级标题0"/>
    <w:basedOn w:val="5"/>
    <w:next w:val="1"/>
    <w:link w:val="1937"/>
    <w:qFormat/>
    <w:uiPriority w:val="0"/>
    <w:pPr>
      <w:keepNext/>
      <w:keepLines/>
      <w:widowControl w:val="0"/>
      <w:tabs>
        <w:tab w:val="left" w:pos="1260"/>
        <w:tab w:val="clear" w:pos="0"/>
      </w:tabs>
      <w:ind w:firstLine="200"/>
    </w:pPr>
    <w:rPr>
      <w:rFonts w:eastAsia="黑体"/>
      <w:snapToGrid/>
      <w:color w:val="FF0000"/>
      <w:sz w:val="30"/>
      <w:szCs w:val="30"/>
    </w:rPr>
  </w:style>
  <w:style w:type="character" w:customStyle="1" w:styleId="1937">
    <w:name w:val="三级标题0 Char"/>
    <w:link w:val="1936"/>
    <w:qFormat/>
    <w:uiPriority w:val="0"/>
    <w:rPr>
      <w:rFonts w:ascii="Times New Roman" w:hAnsi="Times New Roman" w:eastAsia="黑体"/>
      <w:b/>
      <w:bCs/>
      <w:color w:val="FF0000"/>
      <w:kern w:val="2"/>
      <w:sz w:val="30"/>
      <w:szCs w:val="30"/>
    </w:rPr>
  </w:style>
  <w:style w:type="paragraph" w:customStyle="1" w:styleId="1938">
    <w:name w:val="11表名"/>
    <w:basedOn w:val="77"/>
    <w:qFormat/>
    <w:uiPriority w:val="0"/>
    <w:pPr>
      <w:adjustRightInd w:val="0"/>
      <w:ind w:left="0" w:leftChars="0" w:firstLine="0" w:firstLineChars="0"/>
      <w:jc w:val="center"/>
      <w:textAlignment w:val="baseline"/>
    </w:pPr>
    <w:rPr>
      <w:b/>
      <w:kern w:val="0"/>
    </w:rPr>
  </w:style>
  <w:style w:type="paragraph" w:customStyle="1" w:styleId="1939">
    <w:name w:val="11表内字"/>
    <w:basedOn w:val="1"/>
    <w:qFormat/>
    <w:uiPriority w:val="0"/>
    <w:pPr>
      <w:autoSpaceDE w:val="0"/>
      <w:autoSpaceDN w:val="0"/>
      <w:adjustRightInd/>
      <w:snapToGrid/>
      <w:spacing w:line="240" w:lineRule="auto"/>
      <w:ind w:firstLine="0" w:firstLineChars="0"/>
      <w:jc w:val="center"/>
    </w:pPr>
    <w:rPr>
      <w:sz w:val="21"/>
      <w:szCs w:val="20"/>
    </w:rPr>
  </w:style>
  <w:style w:type="paragraph" w:customStyle="1" w:styleId="1940">
    <w:name w:val="表名、图名"/>
    <w:basedOn w:val="1"/>
    <w:qFormat/>
    <w:uiPriority w:val="0"/>
    <w:pPr>
      <w:adjustRightInd/>
      <w:snapToGrid/>
      <w:spacing w:line="240" w:lineRule="auto"/>
      <w:ind w:firstLine="0" w:firstLineChars="0"/>
      <w:jc w:val="center"/>
    </w:pPr>
    <w:rPr>
      <w:b/>
      <w:bCs/>
      <w:sz w:val="21"/>
      <w:szCs w:val="18"/>
    </w:rPr>
  </w:style>
  <w:style w:type="paragraph" w:customStyle="1" w:styleId="1941">
    <w:name w:val="龚4级标题"/>
    <w:basedOn w:val="1"/>
    <w:link w:val="1944"/>
    <w:qFormat/>
    <w:uiPriority w:val="0"/>
    <w:pPr>
      <w:adjustRightInd/>
      <w:snapToGrid/>
      <w:spacing w:beforeLines="50" w:line="360" w:lineRule="auto"/>
      <w:ind w:firstLine="0" w:firstLineChars="0"/>
      <w:jc w:val="both"/>
      <w:outlineLvl w:val="3"/>
    </w:pPr>
    <w:rPr>
      <w:b/>
      <w:kern w:val="0"/>
      <w:sz w:val="24"/>
      <w:szCs w:val="24"/>
    </w:rPr>
  </w:style>
  <w:style w:type="paragraph" w:customStyle="1" w:styleId="1942">
    <w:name w:val="正文l"/>
    <w:basedOn w:val="1"/>
    <w:link w:val="1945"/>
    <w:qFormat/>
    <w:uiPriority w:val="0"/>
    <w:pPr>
      <w:autoSpaceDE w:val="0"/>
      <w:autoSpaceDN w:val="0"/>
      <w:snapToGrid/>
      <w:spacing w:line="360" w:lineRule="auto"/>
      <w:jc w:val="both"/>
    </w:pPr>
    <w:rPr>
      <w:rFonts w:eastAsia="Times New Roman"/>
      <w:kern w:val="0"/>
      <w:sz w:val="24"/>
      <w:szCs w:val="24"/>
    </w:rPr>
  </w:style>
  <w:style w:type="paragraph" w:customStyle="1" w:styleId="1943">
    <w:name w:val="小四+首行缩进"/>
    <w:basedOn w:val="1"/>
    <w:link w:val="1946"/>
    <w:qFormat/>
    <w:uiPriority w:val="0"/>
    <w:pPr>
      <w:adjustRightInd/>
      <w:snapToGrid/>
      <w:spacing w:line="360" w:lineRule="auto"/>
      <w:ind w:firstLine="482" w:firstLineChars="0"/>
      <w:jc w:val="both"/>
    </w:pPr>
    <w:rPr>
      <w:rFonts w:ascii="宋体" w:hAnsi="宋体"/>
      <w:kern w:val="0"/>
      <w:sz w:val="24"/>
      <w:szCs w:val="20"/>
    </w:rPr>
  </w:style>
  <w:style w:type="character" w:customStyle="1" w:styleId="1944">
    <w:name w:val="龚4级标题 Char"/>
    <w:link w:val="1941"/>
    <w:qFormat/>
    <w:locked/>
    <w:uiPriority w:val="0"/>
    <w:rPr>
      <w:rFonts w:ascii="Times New Roman" w:hAnsi="Times New Roman"/>
      <w:b/>
      <w:sz w:val="24"/>
      <w:szCs w:val="24"/>
    </w:rPr>
  </w:style>
  <w:style w:type="character" w:customStyle="1" w:styleId="1945">
    <w:name w:val="正文l Char"/>
    <w:link w:val="1942"/>
    <w:qFormat/>
    <w:uiPriority w:val="0"/>
    <w:rPr>
      <w:rFonts w:ascii="Times New Roman" w:hAnsi="Times New Roman" w:eastAsia="Times New Roman"/>
      <w:sz w:val="24"/>
      <w:szCs w:val="24"/>
    </w:rPr>
  </w:style>
  <w:style w:type="character" w:customStyle="1" w:styleId="1946">
    <w:name w:val="小四+首行缩进 Char2"/>
    <w:link w:val="1943"/>
    <w:qFormat/>
    <w:uiPriority w:val="0"/>
    <w:rPr>
      <w:rFonts w:ascii="宋体" w:hAnsi="宋体"/>
      <w:sz w:val="24"/>
    </w:rPr>
  </w:style>
  <w:style w:type="character" w:customStyle="1" w:styleId="1947">
    <w:name w:val="报告表格 Char Char"/>
    <w:link w:val="1266"/>
    <w:qFormat/>
    <w:uiPriority w:val="0"/>
    <w:rPr>
      <w:rFonts w:ascii="Times New Roman" w:hAnsi="Times New Roman"/>
      <w:sz w:val="21"/>
    </w:rPr>
  </w:style>
  <w:style w:type="character" w:customStyle="1" w:styleId="1948">
    <w:name w:val="MTEquationSection"/>
    <w:qFormat/>
    <w:uiPriority w:val="0"/>
    <w:rPr>
      <w:rFonts w:ascii="Tahoma" w:hAnsi="Tahoma" w:eastAsia="微软雅黑"/>
      <w:b/>
      <w:vanish/>
      <w:color w:val="FF0000"/>
      <w:kern w:val="0"/>
      <w:sz w:val="22"/>
      <w:szCs w:val="24"/>
    </w:rPr>
  </w:style>
  <w:style w:type="paragraph" w:customStyle="1" w:styleId="1949">
    <w:name w:val="xl93"/>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50">
    <w:name w:val="xl94"/>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color w:val="FF0000"/>
      <w:kern w:val="0"/>
      <w:sz w:val="22"/>
    </w:rPr>
  </w:style>
  <w:style w:type="paragraph" w:customStyle="1" w:styleId="1951">
    <w:name w:val="xl95"/>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pPr>
    <w:rPr>
      <w:kern w:val="0"/>
      <w:sz w:val="22"/>
    </w:rPr>
  </w:style>
  <w:style w:type="paragraph" w:customStyle="1" w:styleId="1952">
    <w:name w:val="xl9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color w:val="FF0000"/>
      <w:kern w:val="0"/>
      <w:sz w:val="22"/>
    </w:rPr>
  </w:style>
  <w:style w:type="paragraph" w:customStyle="1" w:styleId="1953">
    <w:name w:val="xl97"/>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pPr>
    <w:rPr>
      <w:color w:val="FF0000"/>
      <w:kern w:val="0"/>
      <w:sz w:val="22"/>
    </w:rPr>
  </w:style>
  <w:style w:type="paragraph" w:customStyle="1" w:styleId="1954">
    <w:name w:val="xl98"/>
    <w:basedOn w:val="1"/>
    <w:qFormat/>
    <w:uiPriority w:val="0"/>
    <w:pPr>
      <w:widowControl/>
      <w:pBdr>
        <w:top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55">
    <w:name w:val="xl9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56">
    <w:name w:val="xl100"/>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color w:val="FF0000"/>
      <w:kern w:val="0"/>
      <w:sz w:val="22"/>
    </w:rPr>
  </w:style>
  <w:style w:type="paragraph" w:customStyle="1" w:styleId="1957">
    <w:name w:val="xl101"/>
    <w:basedOn w:val="1"/>
    <w:qFormat/>
    <w:uiPriority w:val="0"/>
    <w:pPr>
      <w:widowControl/>
      <w:pBdr>
        <w:bottom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58">
    <w:name w:val="xl102"/>
    <w:basedOn w:val="1"/>
    <w:qFormat/>
    <w:uiPriority w:val="0"/>
    <w:pPr>
      <w:widowControl/>
      <w:pBdr>
        <w:left w:val="single" w:color="auto" w:sz="4" w:space="0"/>
        <w:bottom w:val="single" w:color="auto" w:sz="4" w:space="0"/>
      </w:pBdr>
      <w:adjustRightInd/>
      <w:snapToGrid/>
      <w:spacing w:before="100" w:beforeAutospacing="1" w:after="100" w:afterAutospacing="1" w:line="240" w:lineRule="auto"/>
      <w:ind w:firstLine="0" w:firstLineChars="0"/>
    </w:pPr>
    <w:rPr>
      <w:kern w:val="0"/>
      <w:sz w:val="22"/>
    </w:rPr>
  </w:style>
  <w:style w:type="paragraph" w:customStyle="1" w:styleId="1959">
    <w:name w:val="xl103"/>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60">
    <w:name w:val="xl104"/>
    <w:basedOn w:val="1"/>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kern w:val="0"/>
      <w:sz w:val="22"/>
    </w:rPr>
  </w:style>
  <w:style w:type="paragraph" w:customStyle="1" w:styleId="1961">
    <w:name w:val="xl105"/>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62">
    <w:name w:val="xl106"/>
    <w:basedOn w:val="1"/>
    <w:qFormat/>
    <w:uiPriority w:val="0"/>
    <w:pPr>
      <w:widowControl/>
      <w:pBdr>
        <w:left w:val="single" w:color="auto" w:sz="8"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63">
    <w:name w:val="xl107"/>
    <w:basedOn w:val="1"/>
    <w:qFormat/>
    <w:uiPriority w:val="0"/>
    <w:pPr>
      <w:widowControl/>
      <w:pBdr>
        <w:lef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64">
    <w:name w:val="xl108"/>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65">
    <w:name w:val="xl109"/>
    <w:basedOn w:val="1"/>
    <w:qFormat/>
    <w:uiPriority w:val="0"/>
    <w:pPr>
      <w:widowControl/>
      <w:pBdr>
        <w:left w:val="single" w:color="auto" w:sz="8" w:space="0"/>
        <w:right w:val="single" w:color="auto" w:sz="4" w:space="0"/>
      </w:pBdr>
      <w:adjustRightInd/>
      <w:snapToGrid/>
      <w:spacing w:before="100" w:beforeAutospacing="1" w:after="100" w:afterAutospacing="1" w:line="240" w:lineRule="auto"/>
      <w:ind w:firstLine="0" w:firstLineChars="0"/>
    </w:pPr>
    <w:rPr>
      <w:kern w:val="0"/>
      <w:sz w:val="22"/>
    </w:rPr>
  </w:style>
  <w:style w:type="paragraph" w:customStyle="1" w:styleId="1966">
    <w:name w:val="xl110"/>
    <w:basedOn w:val="1"/>
    <w:qFormat/>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67">
    <w:name w:val="xl111"/>
    <w:basedOn w:val="1"/>
    <w:qFormat/>
    <w:uiPriority w:val="0"/>
    <w:pPr>
      <w:widowControl/>
      <w:pBdr>
        <w:right w:val="single" w:color="auto" w:sz="4" w:space="0"/>
      </w:pBdr>
      <w:adjustRightInd/>
      <w:snapToGrid/>
      <w:spacing w:before="100" w:beforeAutospacing="1" w:after="100" w:afterAutospacing="1" w:line="240" w:lineRule="auto"/>
      <w:ind w:firstLine="0" w:firstLineChars="0"/>
    </w:pPr>
    <w:rPr>
      <w:kern w:val="0"/>
      <w:sz w:val="22"/>
    </w:rPr>
  </w:style>
  <w:style w:type="paragraph" w:customStyle="1" w:styleId="1968">
    <w:name w:val="xl11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kern w:val="0"/>
      <w:sz w:val="22"/>
    </w:rPr>
  </w:style>
  <w:style w:type="paragraph" w:customStyle="1" w:styleId="1969">
    <w:name w:val="xl113"/>
    <w:basedOn w:val="1"/>
    <w:qFormat/>
    <w:uiPriority w:val="0"/>
    <w:pPr>
      <w:widowControl/>
      <w:pBdr>
        <w:top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70">
    <w:name w:val="xl114"/>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b/>
      <w:bCs/>
      <w:kern w:val="0"/>
      <w:sz w:val="22"/>
    </w:rPr>
  </w:style>
  <w:style w:type="paragraph" w:customStyle="1" w:styleId="1971">
    <w:name w:val="xl115"/>
    <w:basedOn w:val="1"/>
    <w:qFormat/>
    <w:uiPriority w:val="0"/>
    <w:pPr>
      <w:widowControl/>
      <w:pBdr>
        <w:left w:val="single" w:color="auto" w:sz="4" w:space="0"/>
      </w:pBdr>
      <w:adjustRightInd/>
      <w:snapToGrid/>
      <w:spacing w:before="100" w:beforeAutospacing="1" w:after="100" w:afterAutospacing="1" w:line="240" w:lineRule="auto"/>
      <w:ind w:firstLine="0" w:firstLineChars="0"/>
    </w:pPr>
    <w:rPr>
      <w:rFonts w:ascii="宋体" w:hAnsi="宋体" w:cs="宋体"/>
      <w:b/>
      <w:bCs/>
      <w:kern w:val="0"/>
      <w:sz w:val="22"/>
    </w:rPr>
  </w:style>
  <w:style w:type="paragraph" w:customStyle="1" w:styleId="1972">
    <w:name w:val="xl116"/>
    <w:basedOn w:val="1"/>
    <w:qFormat/>
    <w:uiPriority w:val="0"/>
    <w:pPr>
      <w:widowControl/>
      <w:pBdr>
        <w:right w:val="single" w:color="auto" w:sz="4" w:space="0"/>
      </w:pBdr>
      <w:adjustRightInd/>
      <w:snapToGrid/>
      <w:spacing w:before="100" w:beforeAutospacing="1" w:after="100" w:afterAutospacing="1" w:line="240" w:lineRule="auto"/>
      <w:ind w:firstLine="0" w:firstLineChars="0"/>
    </w:pPr>
    <w:rPr>
      <w:b/>
      <w:bCs/>
      <w:kern w:val="0"/>
      <w:sz w:val="22"/>
    </w:rPr>
  </w:style>
  <w:style w:type="paragraph" w:customStyle="1" w:styleId="1973">
    <w:name w:val="xl117"/>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b/>
      <w:bCs/>
      <w:kern w:val="0"/>
      <w:sz w:val="22"/>
    </w:rPr>
  </w:style>
  <w:style w:type="paragraph" w:customStyle="1" w:styleId="1974">
    <w:name w:val="xl118"/>
    <w:basedOn w:val="1"/>
    <w:qFormat/>
    <w:uiPriority w:val="0"/>
    <w:pPr>
      <w:widowControl/>
      <w:pBdr>
        <w:bottom w:val="single" w:color="auto" w:sz="4" w:space="0"/>
      </w:pBdr>
      <w:adjustRightInd/>
      <w:snapToGrid/>
      <w:spacing w:before="100" w:beforeAutospacing="1" w:after="100" w:afterAutospacing="1" w:line="240" w:lineRule="auto"/>
      <w:ind w:firstLine="0" w:firstLineChars="0"/>
    </w:pPr>
    <w:rPr>
      <w:rFonts w:ascii="宋体" w:hAnsi="宋体" w:cs="宋体"/>
      <w:b/>
      <w:bCs/>
      <w:kern w:val="0"/>
      <w:sz w:val="22"/>
    </w:rPr>
  </w:style>
  <w:style w:type="paragraph" w:customStyle="1" w:styleId="1975">
    <w:name w:val="xl119"/>
    <w:basedOn w:val="1"/>
    <w:qFormat/>
    <w:uiPriority w:val="0"/>
    <w:pPr>
      <w:widowControl/>
      <w:pBdr>
        <w:left w:val="single" w:color="auto" w:sz="4" w:space="0"/>
        <w:bottom w:val="single" w:color="auto" w:sz="4" w:space="0"/>
      </w:pBdr>
      <w:adjustRightInd/>
      <w:snapToGrid/>
      <w:spacing w:before="100" w:beforeAutospacing="1" w:after="100" w:afterAutospacing="1" w:line="240" w:lineRule="auto"/>
      <w:ind w:firstLine="0" w:firstLineChars="0"/>
    </w:pPr>
    <w:rPr>
      <w:rFonts w:ascii="宋体" w:hAnsi="宋体" w:cs="宋体"/>
      <w:kern w:val="0"/>
      <w:sz w:val="22"/>
    </w:rPr>
  </w:style>
  <w:style w:type="paragraph" w:customStyle="1" w:styleId="1976">
    <w:name w:val="xl12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color w:val="333333"/>
      <w:kern w:val="0"/>
      <w:sz w:val="22"/>
    </w:rPr>
  </w:style>
  <w:style w:type="paragraph" w:customStyle="1" w:styleId="1977">
    <w:name w:val="表内l"/>
    <w:basedOn w:val="1"/>
    <w:link w:val="1978"/>
    <w:qFormat/>
    <w:uiPriority w:val="0"/>
    <w:pPr>
      <w:adjustRightInd/>
      <w:snapToGrid/>
      <w:spacing w:line="240" w:lineRule="auto"/>
      <w:ind w:firstLine="0" w:firstLineChars="0"/>
      <w:jc w:val="center"/>
    </w:pPr>
    <w:rPr>
      <w:bCs/>
      <w:sz w:val="21"/>
      <w:szCs w:val="21"/>
    </w:rPr>
  </w:style>
  <w:style w:type="character" w:customStyle="1" w:styleId="1978">
    <w:name w:val="表内l Char"/>
    <w:link w:val="1977"/>
    <w:qFormat/>
    <w:uiPriority w:val="0"/>
    <w:rPr>
      <w:rFonts w:ascii="Times New Roman" w:hAnsi="Times New Roman"/>
      <w:bCs/>
      <w:kern w:val="2"/>
      <w:sz w:val="21"/>
      <w:szCs w:val="21"/>
    </w:rPr>
  </w:style>
  <w:style w:type="table" w:customStyle="1" w:styleId="1979">
    <w:name w:val="Table Normal1"/>
    <w:unhideWhenUsed/>
    <w:qFormat/>
    <w:uiPriority w:val="2"/>
    <w:pPr>
      <w:widowControl w:val="0"/>
    </w:pPr>
    <w:rPr>
      <w:sz w:val="22"/>
      <w:lang w:eastAsia="en-US"/>
    </w:rPr>
    <w:tblPr>
      <w:tblCellMar>
        <w:top w:w="0" w:type="dxa"/>
        <w:left w:w="0" w:type="dxa"/>
        <w:bottom w:w="0" w:type="dxa"/>
        <w:right w:w="0" w:type="dxa"/>
      </w:tblCellMar>
    </w:tblPr>
  </w:style>
  <w:style w:type="table" w:customStyle="1" w:styleId="1980">
    <w:name w:val="专业网格1"/>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81">
    <w:name w:val="biao 2"/>
    <w:basedOn w:val="1"/>
    <w:link w:val="1982"/>
    <w:qFormat/>
    <w:uiPriority w:val="0"/>
    <w:pPr>
      <w:keepNext/>
      <w:keepLines/>
      <w:spacing w:line="360" w:lineRule="auto"/>
      <w:ind w:firstLine="0" w:firstLineChars="0"/>
      <w:jc w:val="both"/>
      <w:outlineLvl w:val="1"/>
    </w:pPr>
    <w:rPr>
      <w:b/>
      <w:bCs/>
      <w:color w:val="000000"/>
      <w:sz w:val="28"/>
      <w:szCs w:val="28"/>
      <w:lang w:val="zh-CN"/>
    </w:rPr>
  </w:style>
  <w:style w:type="character" w:customStyle="1" w:styleId="1982">
    <w:name w:val="biao 2 Char"/>
    <w:link w:val="1981"/>
    <w:qFormat/>
    <w:uiPriority w:val="0"/>
    <w:rPr>
      <w:rFonts w:ascii="Times New Roman" w:hAnsi="Times New Roman"/>
      <w:b/>
      <w:bCs/>
      <w:color w:val="000000"/>
      <w:kern w:val="2"/>
      <w:sz w:val="28"/>
      <w:szCs w:val="28"/>
      <w:lang w:val="zh-CN"/>
    </w:rPr>
  </w:style>
  <w:style w:type="paragraph" w:customStyle="1" w:styleId="1983">
    <w:name w:val="列出段落2"/>
    <w:basedOn w:val="1"/>
    <w:qFormat/>
    <w:uiPriority w:val="34"/>
    <w:pPr>
      <w:adjustRightInd/>
      <w:snapToGrid/>
      <w:spacing w:line="240" w:lineRule="auto"/>
      <w:ind w:firstLine="420"/>
      <w:jc w:val="both"/>
    </w:pPr>
    <w:rPr>
      <w:rFonts w:ascii="Calibri" w:hAnsi="Calibri"/>
      <w:sz w:val="21"/>
    </w:rPr>
  </w:style>
  <w:style w:type="character" w:customStyle="1" w:styleId="1984">
    <w:name w:val="图表内容 Char"/>
    <w:link w:val="1985"/>
    <w:qFormat/>
    <w:uiPriority w:val="0"/>
    <w:rPr>
      <w:rFonts w:eastAsia="仿宋_GB2312"/>
    </w:rPr>
  </w:style>
  <w:style w:type="paragraph" w:customStyle="1" w:styleId="1985">
    <w:name w:val="图表内容"/>
    <w:basedOn w:val="1"/>
    <w:link w:val="1984"/>
    <w:qFormat/>
    <w:uiPriority w:val="0"/>
    <w:pPr>
      <w:spacing w:line="240" w:lineRule="auto"/>
      <w:ind w:firstLine="0" w:firstLineChars="0"/>
      <w:jc w:val="center"/>
    </w:pPr>
    <w:rPr>
      <w:rFonts w:ascii="Calibri" w:hAnsi="Calibri" w:eastAsia="仿宋_GB2312"/>
      <w:kern w:val="0"/>
      <w:sz w:val="20"/>
      <w:szCs w:val="20"/>
    </w:rPr>
  </w:style>
  <w:style w:type="character" w:customStyle="1" w:styleId="1986">
    <w:name w:val="样式 (西文) 仿宋_GB2312 (中文) 仿宋_GB2312 Char"/>
    <w:link w:val="1987"/>
    <w:qFormat/>
    <w:uiPriority w:val="0"/>
    <w:rPr>
      <w:rFonts w:ascii="仿宋_GB2312" w:eastAsia="仿宋_GB2312"/>
      <w:sz w:val="28"/>
      <w:szCs w:val="30"/>
    </w:rPr>
  </w:style>
  <w:style w:type="paragraph" w:customStyle="1" w:styleId="1987">
    <w:name w:val="样式 (西文) 仿宋_GB2312 (中文) 仿宋_GB2312"/>
    <w:basedOn w:val="1"/>
    <w:link w:val="1986"/>
    <w:qFormat/>
    <w:uiPriority w:val="0"/>
    <w:pPr>
      <w:spacing w:afterLines="100" w:line="300" w:lineRule="auto"/>
      <w:contextualSpacing/>
      <w:jc w:val="both"/>
    </w:pPr>
    <w:rPr>
      <w:rFonts w:ascii="仿宋_GB2312" w:hAnsi="Calibri" w:eastAsia="仿宋_GB2312"/>
      <w:kern w:val="0"/>
      <w:sz w:val="28"/>
      <w:szCs w:val="30"/>
    </w:rPr>
  </w:style>
  <w:style w:type="character" w:customStyle="1" w:styleId="1988">
    <w:name w:val="ask-title"/>
    <w:basedOn w:val="132"/>
    <w:qFormat/>
    <w:uiPriority w:val="0"/>
  </w:style>
  <w:style w:type="character" w:customStyle="1" w:styleId="1989">
    <w:name w:val="表注 Char"/>
    <w:link w:val="1990"/>
    <w:qFormat/>
    <w:uiPriority w:val="0"/>
    <w:rPr>
      <w:rFonts w:eastAsia="仿宋"/>
      <w:color w:val="000000"/>
      <w:kern w:val="16"/>
      <w:sz w:val="16"/>
      <w:szCs w:val="16"/>
    </w:rPr>
  </w:style>
  <w:style w:type="paragraph" w:customStyle="1" w:styleId="1990">
    <w:name w:val="表注"/>
    <w:link w:val="1989"/>
    <w:qFormat/>
    <w:uiPriority w:val="0"/>
    <w:pPr>
      <w:widowControl w:val="0"/>
      <w:topLinePunct/>
      <w:adjustRightInd w:val="0"/>
      <w:spacing w:line="240" w:lineRule="exact"/>
      <w:jc w:val="both"/>
    </w:pPr>
    <w:rPr>
      <w:rFonts w:ascii="Calibri" w:hAnsi="Calibri" w:eastAsia="仿宋" w:cs="Times New Roman"/>
      <w:color w:val="000000"/>
      <w:kern w:val="16"/>
      <w:sz w:val="16"/>
      <w:szCs w:val="16"/>
      <w:lang w:val="en-US" w:eastAsia="zh-CN" w:bidi="ar-SA"/>
    </w:rPr>
  </w:style>
  <w:style w:type="character" w:customStyle="1" w:styleId="1991">
    <w:name w:val="文档结构图 Char1"/>
    <w:semiHidden/>
    <w:qFormat/>
    <w:uiPriority w:val="99"/>
    <w:rPr>
      <w:rFonts w:ascii="Microsoft YaHei UI" w:eastAsia="Microsoft YaHei UI"/>
      <w:kern w:val="2"/>
      <w:sz w:val="18"/>
      <w:szCs w:val="18"/>
    </w:rPr>
  </w:style>
  <w:style w:type="character" w:customStyle="1" w:styleId="1992">
    <w:name w:val="日期 Char1"/>
    <w:semiHidden/>
    <w:qFormat/>
    <w:uiPriority w:val="99"/>
    <w:rPr>
      <w:kern w:val="2"/>
      <w:sz w:val="21"/>
      <w:szCs w:val="24"/>
    </w:rPr>
  </w:style>
  <w:style w:type="character" w:customStyle="1" w:styleId="1993">
    <w:name w:val="正文文本 Char1"/>
    <w:qFormat/>
    <w:uiPriority w:val="0"/>
    <w:rPr>
      <w:kern w:val="2"/>
      <w:sz w:val="21"/>
      <w:szCs w:val="24"/>
    </w:rPr>
  </w:style>
  <w:style w:type="character" w:customStyle="1" w:styleId="1994">
    <w:name w:val="页眉 Char1"/>
    <w:qFormat/>
    <w:uiPriority w:val="0"/>
    <w:rPr>
      <w:kern w:val="2"/>
      <w:sz w:val="18"/>
      <w:szCs w:val="18"/>
    </w:rPr>
  </w:style>
  <w:style w:type="character" w:customStyle="1" w:styleId="1995">
    <w:name w:val="批注框文本 Char1"/>
    <w:semiHidden/>
    <w:qFormat/>
    <w:uiPriority w:val="99"/>
    <w:rPr>
      <w:kern w:val="2"/>
      <w:sz w:val="18"/>
      <w:szCs w:val="18"/>
    </w:rPr>
  </w:style>
  <w:style w:type="character" w:customStyle="1" w:styleId="1996">
    <w:name w:val="页脚 Char1"/>
    <w:qFormat/>
    <w:uiPriority w:val="99"/>
    <w:rPr>
      <w:kern w:val="2"/>
      <w:sz w:val="18"/>
      <w:szCs w:val="18"/>
    </w:rPr>
  </w:style>
  <w:style w:type="paragraph" w:customStyle="1" w:styleId="1997">
    <w:name w:val="zhang"/>
    <w:basedOn w:val="1"/>
    <w:qFormat/>
    <w:uiPriority w:val="99"/>
    <w:pPr>
      <w:widowControl/>
      <w:adjustRightInd/>
      <w:snapToGrid/>
      <w:spacing w:before="100" w:beforeAutospacing="1" w:after="100" w:afterAutospacing="1" w:line="240" w:lineRule="auto"/>
      <w:ind w:firstLine="0" w:firstLineChars="0"/>
    </w:pPr>
    <w:rPr>
      <w:rFonts w:ascii="宋体" w:hAnsi="宋体" w:cs="宋体"/>
      <w:color w:val="000000"/>
      <w:kern w:val="0"/>
      <w:sz w:val="24"/>
      <w:szCs w:val="24"/>
    </w:rPr>
  </w:style>
  <w:style w:type="paragraph" w:customStyle="1" w:styleId="1998">
    <w:name w:val="S-正文"/>
    <w:basedOn w:val="1"/>
    <w:qFormat/>
    <w:uiPriority w:val="0"/>
    <w:pPr>
      <w:widowControl/>
      <w:adjustRightInd/>
      <w:snapToGrid/>
      <w:spacing w:line="360" w:lineRule="auto"/>
    </w:pPr>
    <w:rPr>
      <w:rFonts w:ascii="仿宋_GB2312" w:hAnsi="Calibri" w:eastAsia="仿宋_GB2312" w:cs="仿宋_GB2312"/>
      <w:sz w:val="28"/>
      <w:szCs w:val="24"/>
    </w:rPr>
  </w:style>
  <w:style w:type="paragraph" w:customStyle="1" w:styleId="1999">
    <w:name w:val="CM7"/>
    <w:basedOn w:val="1"/>
    <w:next w:val="1"/>
    <w:qFormat/>
    <w:uiPriority w:val="99"/>
    <w:pPr>
      <w:autoSpaceDE w:val="0"/>
      <w:autoSpaceDN w:val="0"/>
      <w:snapToGrid/>
      <w:spacing w:line="591" w:lineRule="atLeast"/>
      <w:ind w:firstLine="0" w:firstLineChars="0"/>
    </w:pPr>
    <w:rPr>
      <w:rFonts w:ascii="黑体" w:eastAsia="黑体"/>
      <w:kern w:val="0"/>
      <w:sz w:val="24"/>
      <w:szCs w:val="24"/>
    </w:rPr>
  </w:style>
  <w:style w:type="paragraph" w:customStyle="1" w:styleId="2000">
    <w:name w:val="列出段落3"/>
    <w:basedOn w:val="1"/>
    <w:qFormat/>
    <w:uiPriority w:val="34"/>
    <w:pPr>
      <w:adjustRightInd/>
      <w:snapToGrid/>
      <w:spacing w:line="360" w:lineRule="auto"/>
      <w:ind w:firstLine="420"/>
      <w:jc w:val="both"/>
    </w:pPr>
    <w:rPr>
      <w:sz w:val="21"/>
      <w:szCs w:val="24"/>
    </w:rPr>
  </w:style>
  <w:style w:type="paragraph" w:customStyle="1" w:styleId="2001">
    <w:name w:val="标题 4　1.1.1"/>
    <w:basedOn w:val="6"/>
    <w:qFormat/>
    <w:uiPriority w:val="0"/>
    <w:pPr>
      <w:keepNext/>
      <w:keepLines/>
      <w:widowControl w:val="0"/>
      <w:numPr>
        <w:numId w:val="0"/>
      </w:numPr>
      <w:tabs>
        <w:tab w:val="left" w:pos="1680"/>
        <w:tab w:val="clear" w:pos="0"/>
      </w:tabs>
      <w:adjustRightInd/>
      <w:snapToGrid/>
      <w:spacing w:before="120" w:after="120" w:line="490" w:lineRule="exact"/>
      <w:ind w:firstLine="200" w:firstLineChars="200"/>
      <w:jc w:val="both"/>
    </w:pPr>
    <w:rPr>
      <w:rFonts w:eastAsia="黑体"/>
      <w:b w:val="0"/>
      <w:snapToGrid/>
      <w:sz w:val="28"/>
      <w:szCs w:val="20"/>
    </w:rPr>
  </w:style>
  <w:style w:type="paragraph" w:customStyle="1" w:styleId="2002">
    <w:name w:val="图号"/>
    <w:basedOn w:val="1"/>
    <w:qFormat/>
    <w:uiPriority w:val="0"/>
    <w:pPr>
      <w:autoSpaceDE w:val="0"/>
      <w:autoSpaceDN w:val="0"/>
      <w:spacing w:line="360" w:lineRule="auto"/>
      <w:ind w:firstLine="0" w:firstLineChars="0"/>
      <w:jc w:val="center"/>
    </w:pPr>
    <w:rPr>
      <w:rFonts w:ascii="宋体" w:hAnsi="宋体"/>
      <w:b/>
      <w:bCs/>
      <w:sz w:val="21"/>
      <w:szCs w:val="21"/>
      <w:lang w:val="zh-CN"/>
    </w:rPr>
  </w:style>
  <w:style w:type="paragraph" w:customStyle="1" w:styleId="2003">
    <w:name w:val="jb仿宋_GB2312"/>
    <w:basedOn w:val="1"/>
    <w:qFormat/>
    <w:uiPriority w:val="0"/>
    <w:pPr>
      <w:tabs>
        <w:tab w:val="left" w:pos="446"/>
      </w:tabs>
      <w:adjustRightInd/>
      <w:snapToGrid/>
      <w:spacing w:line="360" w:lineRule="auto"/>
      <w:ind w:firstLine="480"/>
      <w:jc w:val="both"/>
    </w:pPr>
    <w:rPr>
      <w:rFonts w:ascii="宋体" w:hAnsi="宋体"/>
      <w:sz w:val="24"/>
      <w:szCs w:val="24"/>
    </w:rPr>
  </w:style>
  <w:style w:type="paragraph" w:customStyle="1" w:styleId="2004">
    <w:name w:val="标题 2标题 1.1"/>
    <w:basedOn w:val="4"/>
    <w:qFormat/>
    <w:uiPriority w:val="0"/>
    <w:pPr>
      <w:keepNext/>
      <w:keepLines/>
      <w:tabs>
        <w:tab w:val="left" w:pos="720"/>
        <w:tab w:val="left" w:pos="1400"/>
        <w:tab w:val="clear" w:pos="0"/>
      </w:tabs>
      <w:spacing w:beforeLines="100" w:afterLines="60" w:line="560" w:lineRule="exact"/>
      <w:ind w:left="1400" w:hanging="936"/>
    </w:pPr>
    <w:rPr>
      <w:rFonts w:ascii="仿宋_GB2312" w:hAnsi="宋体"/>
      <w:snapToGrid/>
      <w:kern w:val="0"/>
      <w:sz w:val="32"/>
      <w:szCs w:val="20"/>
    </w:rPr>
  </w:style>
  <w:style w:type="character" w:customStyle="1" w:styleId="2005">
    <w:name w:val="jb仿宋_GB2312 Char"/>
    <w:qFormat/>
    <w:uiPriority w:val="0"/>
    <w:rPr>
      <w:rFonts w:hAnsi="仿宋_GB2312" w:eastAsia="仿宋_GB2312"/>
      <w:kern w:val="2"/>
      <w:sz w:val="28"/>
      <w:lang w:val="en-US" w:eastAsia="zh-CN" w:bidi="ar-SA"/>
    </w:rPr>
  </w:style>
  <w:style w:type="paragraph" w:customStyle="1" w:styleId="2006">
    <w:name w:val="样式 王向东正文 + 首行缩进:  2 字符"/>
    <w:basedOn w:val="400"/>
    <w:qFormat/>
    <w:uiPriority w:val="0"/>
    <w:pPr>
      <w:spacing w:line="360" w:lineRule="auto"/>
      <w:ind w:right="0" w:rightChars="0" w:firstLine="560"/>
      <w:jc w:val="both"/>
    </w:pPr>
    <w:rPr>
      <w:rFonts w:ascii="Times New Roman" w:hAnsi="Times New Roman" w:eastAsia="仿宋_GB2312" w:cs="Times New Roman"/>
      <w:sz w:val="28"/>
      <w:szCs w:val="20"/>
    </w:rPr>
  </w:style>
  <w:style w:type="character" w:customStyle="1" w:styleId="2007">
    <w:name w:val="表 Char1"/>
    <w:qFormat/>
    <w:uiPriority w:val="0"/>
    <w:rPr>
      <w:rFonts w:ascii="宋体" w:hAnsi="宋体" w:eastAsia="宋体" w:cs="Times New Roman"/>
      <w:color w:val="FF0000"/>
      <w:sz w:val="18"/>
      <w:szCs w:val="18"/>
    </w:rPr>
  </w:style>
  <w:style w:type="paragraph" w:customStyle="1" w:styleId="2008">
    <w:name w:val="样式 正文文本 + 首行缩进:  2 字符4"/>
    <w:basedOn w:val="34"/>
    <w:qFormat/>
    <w:uiPriority w:val="0"/>
    <w:pPr>
      <w:snapToGrid/>
      <w:spacing w:beforeLines="0" w:line="280" w:lineRule="exact"/>
      <w:ind w:right="-42"/>
      <w:textAlignment w:val="baseline"/>
    </w:pPr>
    <w:rPr>
      <w:rFonts w:hAnsi="宋体" w:cs="宋体"/>
      <w:snapToGrid/>
      <w:kern w:val="2"/>
      <w:sz w:val="21"/>
      <w:szCs w:val="21"/>
    </w:rPr>
  </w:style>
  <w:style w:type="paragraph" w:customStyle="1" w:styleId="2009">
    <w:name w:val="样式 标题 4 + 段前: 7.8 磅"/>
    <w:basedOn w:val="6"/>
    <w:qFormat/>
    <w:uiPriority w:val="0"/>
    <w:pPr>
      <w:keepNext/>
      <w:keepLines/>
      <w:widowControl w:val="0"/>
      <w:numPr>
        <w:numId w:val="0"/>
      </w:numPr>
      <w:tabs>
        <w:tab w:val="left" w:pos="1680"/>
        <w:tab w:val="clear" w:pos="0"/>
      </w:tabs>
      <w:adjustRightInd/>
      <w:snapToGrid/>
      <w:spacing w:before="156" w:line="240" w:lineRule="exact"/>
      <w:ind w:firstLine="200" w:firstLineChars="200"/>
      <w:jc w:val="both"/>
    </w:pPr>
    <w:rPr>
      <w:rFonts w:ascii="Arial" w:hAnsi="Arial" w:eastAsia="仿宋_GB2312" w:cs="Arial"/>
      <w:b w:val="0"/>
      <w:bCs w:val="0"/>
      <w:snapToGrid/>
      <w:sz w:val="24"/>
      <w:szCs w:val="21"/>
    </w:rPr>
  </w:style>
  <w:style w:type="paragraph" w:customStyle="1" w:styleId="2010">
    <w:name w:val="正文表格文字"/>
    <w:basedOn w:val="1"/>
    <w:qFormat/>
    <w:uiPriority w:val="0"/>
    <w:pPr>
      <w:widowControl/>
      <w:adjustRightInd/>
      <w:snapToGrid/>
      <w:spacing w:line="400" w:lineRule="exact"/>
      <w:ind w:firstLine="0" w:firstLineChars="0"/>
    </w:pPr>
    <w:rPr>
      <w:kern w:val="0"/>
      <w:sz w:val="21"/>
      <w:szCs w:val="20"/>
    </w:rPr>
  </w:style>
  <w:style w:type="character" w:customStyle="1" w:styleId="2011">
    <w:name w:val="z1"/>
    <w:qFormat/>
    <w:uiPriority w:val="0"/>
    <w:rPr>
      <w:spacing w:val="400"/>
      <w:sz w:val="18"/>
      <w:szCs w:val="18"/>
    </w:rPr>
  </w:style>
  <w:style w:type="paragraph" w:customStyle="1" w:styleId="2012">
    <w:name w:val="正文条目a"/>
    <w:basedOn w:val="1"/>
    <w:qFormat/>
    <w:uiPriority w:val="0"/>
    <w:pPr>
      <w:adjustRightInd/>
      <w:snapToGrid/>
      <w:spacing w:line="240" w:lineRule="auto"/>
      <w:ind w:left="400" w:leftChars="300" w:hanging="100" w:hangingChars="100"/>
      <w:jc w:val="both"/>
    </w:pPr>
    <w:rPr>
      <w:rFonts w:ascii="宋体"/>
      <w:sz w:val="24"/>
      <w:szCs w:val="24"/>
    </w:rPr>
  </w:style>
  <w:style w:type="table" w:customStyle="1" w:styleId="2013">
    <w:name w:val="专业网格2"/>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4">
    <w:name w:val="网格型1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15">
    <w:name w:val="表格内容1"/>
    <w:basedOn w:val="1"/>
    <w:qFormat/>
    <w:uiPriority w:val="0"/>
    <w:pPr>
      <w:spacing w:line="240" w:lineRule="atLeast"/>
      <w:ind w:firstLine="0" w:firstLineChars="0"/>
      <w:jc w:val="center"/>
    </w:pPr>
    <w:rPr>
      <w:snapToGrid w:val="0"/>
      <w:kern w:val="0"/>
      <w:sz w:val="21"/>
      <w:szCs w:val="24"/>
    </w:rPr>
  </w:style>
  <w:style w:type="paragraph" w:customStyle="1" w:styleId="2016">
    <w:name w:val="样式 标题 3 + (西文)粗体"/>
    <w:basedOn w:val="5"/>
    <w:qFormat/>
    <w:uiPriority w:val="0"/>
    <w:pPr>
      <w:keepNext/>
      <w:keepLines/>
      <w:widowControl w:val="0"/>
      <w:tabs>
        <w:tab w:val="left" w:pos="1260"/>
        <w:tab w:val="clear" w:pos="0"/>
      </w:tabs>
      <w:adjustRightInd/>
      <w:snapToGrid/>
      <w:spacing w:before="260" w:after="260" w:line="416" w:lineRule="auto"/>
      <w:ind w:firstLine="200"/>
    </w:pPr>
    <w:rPr>
      <w:rFonts w:ascii="Arial" w:hAnsi="Arial" w:eastAsia="仿宋_GB2312" w:cs="Angsana New"/>
      <w:snapToGrid/>
      <w:lang w:bidi="th-TH"/>
    </w:rPr>
  </w:style>
  <w:style w:type="paragraph" w:customStyle="1" w:styleId="2017">
    <w:name w:val="海港表格文字"/>
    <w:basedOn w:val="236"/>
    <w:qFormat/>
    <w:uiPriority w:val="0"/>
    <w:pPr>
      <w:adjustRightInd w:val="0"/>
      <w:snapToGrid w:val="0"/>
      <w:spacing w:line="300" w:lineRule="exact"/>
      <w:ind w:left="-56" w:leftChars="-30" w:right="-56" w:rightChars="-30" w:firstLine="19"/>
      <w:jc w:val="center"/>
      <w:textAlignment w:val="baseline"/>
    </w:pPr>
    <w:rPr>
      <w:rFonts w:ascii="宋体" w:hAnsi="宋体"/>
      <w:color w:val="FF0000"/>
      <w:kern w:val="21"/>
      <w:sz w:val="18"/>
    </w:rPr>
  </w:style>
  <w:style w:type="character" w:customStyle="1" w:styleId="2018">
    <w:name w:val="cucd-0 Char"/>
    <w:link w:val="2019"/>
    <w:qFormat/>
    <w:uiPriority w:val="0"/>
    <w:rPr>
      <w:sz w:val="24"/>
    </w:rPr>
  </w:style>
  <w:style w:type="paragraph" w:customStyle="1" w:styleId="2019">
    <w:name w:val="cucd-0"/>
    <w:link w:val="2018"/>
    <w:qFormat/>
    <w:uiPriority w:val="0"/>
    <w:pPr>
      <w:spacing w:line="360" w:lineRule="auto"/>
      <w:ind w:firstLine="480" w:firstLineChars="200"/>
    </w:pPr>
    <w:rPr>
      <w:rFonts w:ascii="Calibri" w:hAnsi="Calibri" w:eastAsia="宋体" w:cs="Times New Roman"/>
      <w:sz w:val="24"/>
      <w:lang w:val="en-US" w:eastAsia="zh-CN" w:bidi="ar-SA"/>
    </w:rPr>
  </w:style>
  <w:style w:type="character" w:customStyle="1" w:styleId="2020">
    <w:name w:val="cucd-TB Char"/>
    <w:link w:val="1144"/>
    <w:qFormat/>
    <w:uiPriority w:val="0"/>
    <w:rPr>
      <w:rFonts w:ascii="Times New Roman" w:hAnsi="Times New Roman"/>
      <w:kern w:val="2"/>
      <w:sz w:val="21"/>
      <w:szCs w:val="24"/>
    </w:rPr>
  </w:style>
  <w:style w:type="paragraph" w:customStyle="1" w:styleId="2021">
    <w:name w:val="cucd-TB-Head"/>
    <w:basedOn w:val="1"/>
    <w:next w:val="2019"/>
    <w:link w:val="2022"/>
    <w:qFormat/>
    <w:uiPriority w:val="0"/>
    <w:pPr>
      <w:adjustRightInd/>
      <w:snapToGrid/>
      <w:spacing w:beforeLines="50" w:line="360" w:lineRule="auto"/>
      <w:ind w:firstLine="0" w:firstLineChars="0"/>
      <w:jc w:val="center"/>
    </w:pPr>
    <w:rPr>
      <w:rFonts w:eastAsia="黑体"/>
      <w:color w:val="0000FF"/>
      <w:sz w:val="24"/>
      <w:szCs w:val="24"/>
    </w:rPr>
  </w:style>
  <w:style w:type="character" w:customStyle="1" w:styleId="2022">
    <w:name w:val="cucd-TB-Head Char"/>
    <w:link w:val="2021"/>
    <w:qFormat/>
    <w:uiPriority w:val="0"/>
    <w:rPr>
      <w:rFonts w:ascii="Times New Roman" w:hAnsi="Times New Roman" w:eastAsia="黑体"/>
      <w:color w:val="0000FF"/>
      <w:kern w:val="2"/>
      <w:sz w:val="24"/>
      <w:szCs w:val="24"/>
    </w:rPr>
  </w:style>
  <w:style w:type="table" w:customStyle="1" w:styleId="2023">
    <w:name w:val="cucd-table"/>
    <w:basedOn w:val="88"/>
    <w:qFormat/>
    <w:uiPriority w:val="0"/>
    <w:pPr>
      <w:jc w:val="center"/>
    </w:p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paragraph" w:customStyle="1" w:styleId="2024">
    <w:name w:val="cucd-2"/>
    <w:next w:val="2025"/>
    <w:qFormat/>
    <w:uiPriority w:val="0"/>
    <w:pPr>
      <w:tabs>
        <w:tab w:val="left" w:pos="567"/>
      </w:tabs>
      <w:spacing w:line="360" w:lineRule="auto"/>
      <w:ind w:left="567" w:hanging="567"/>
      <w:outlineLvl w:val="1"/>
    </w:pPr>
    <w:rPr>
      <w:rFonts w:ascii="Times New Roman" w:hAnsi="Times New Roman" w:eastAsia="黑体" w:cs="Times New Roman"/>
      <w:b/>
      <w:kern w:val="2"/>
      <w:sz w:val="30"/>
      <w:szCs w:val="24"/>
      <w:lang w:val="en-US" w:eastAsia="zh-CN" w:bidi="ar-SA"/>
    </w:rPr>
  </w:style>
  <w:style w:type="paragraph" w:customStyle="1" w:styleId="2025">
    <w:name w:val="cucd-3"/>
    <w:next w:val="2026"/>
    <w:link w:val="2027"/>
    <w:qFormat/>
    <w:uiPriority w:val="0"/>
    <w:pPr>
      <w:tabs>
        <w:tab w:val="left" w:pos="709"/>
      </w:tabs>
      <w:spacing w:line="360" w:lineRule="auto"/>
      <w:ind w:left="709" w:hanging="709"/>
      <w:outlineLvl w:val="2"/>
    </w:pPr>
    <w:rPr>
      <w:rFonts w:ascii="Times New Roman" w:hAnsi="Times New Roman" w:eastAsia="宋体" w:cs="Times New Roman"/>
      <w:b/>
      <w:kern w:val="2"/>
      <w:sz w:val="28"/>
      <w:szCs w:val="24"/>
      <w:lang w:val="en-US" w:eastAsia="zh-CN" w:bidi="ar-SA"/>
    </w:rPr>
  </w:style>
  <w:style w:type="paragraph" w:customStyle="1" w:styleId="2026">
    <w:name w:val="cucd-4"/>
    <w:next w:val="2019"/>
    <w:qFormat/>
    <w:uiPriority w:val="0"/>
    <w:pPr>
      <w:tabs>
        <w:tab w:val="left" w:pos="851"/>
      </w:tabs>
      <w:spacing w:line="360" w:lineRule="auto"/>
      <w:ind w:left="851" w:hanging="851"/>
      <w:outlineLvl w:val="3"/>
    </w:pPr>
    <w:rPr>
      <w:rFonts w:ascii="Times New Roman" w:hAnsi="Times New Roman" w:eastAsia="宋体" w:cs="Times New Roman"/>
      <w:b/>
      <w:kern w:val="2"/>
      <w:sz w:val="24"/>
      <w:szCs w:val="24"/>
      <w:lang w:val="en-US" w:eastAsia="zh-CN" w:bidi="ar-SA"/>
    </w:rPr>
  </w:style>
  <w:style w:type="character" w:customStyle="1" w:styleId="2027">
    <w:name w:val="cucd-3 Char"/>
    <w:link w:val="2025"/>
    <w:qFormat/>
    <w:uiPriority w:val="0"/>
    <w:rPr>
      <w:rFonts w:ascii="Times New Roman" w:hAnsi="Times New Roman"/>
      <w:b/>
      <w:kern w:val="2"/>
      <w:sz w:val="28"/>
      <w:szCs w:val="24"/>
    </w:rPr>
  </w:style>
  <w:style w:type="paragraph" w:customStyle="1" w:styleId="2028">
    <w:name w:val="CM71"/>
    <w:basedOn w:val="1"/>
    <w:next w:val="1"/>
    <w:qFormat/>
    <w:uiPriority w:val="0"/>
    <w:pPr>
      <w:autoSpaceDE w:val="0"/>
      <w:autoSpaceDN w:val="0"/>
      <w:snapToGrid/>
      <w:spacing w:after="203" w:line="240" w:lineRule="auto"/>
      <w:ind w:firstLine="0" w:firstLineChars="0"/>
    </w:pPr>
    <w:rPr>
      <w:rFonts w:ascii="宋体"/>
      <w:kern w:val="0"/>
      <w:sz w:val="24"/>
      <w:szCs w:val="24"/>
    </w:rPr>
  </w:style>
  <w:style w:type="paragraph" w:customStyle="1" w:styleId="2029">
    <w:name w:val="CM19"/>
    <w:basedOn w:val="201"/>
    <w:next w:val="201"/>
    <w:qFormat/>
    <w:uiPriority w:val="0"/>
    <w:rPr>
      <w:rFonts w:cs="Times New Roman"/>
      <w:color w:val="auto"/>
    </w:rPr>
  </w:style>
  <w:style w:type="character" w:customStyle="1" w:styleId="2030">
    <w:name w:val="样式 样式1 + 首行缩进:  2 字符 Char"/>
    <w:qFormat/>
    <w:uiPriority w:val="0"/>
    <w:rPr>
      <w:rFonts w:eastAsia="宋体" w:cs="宋体"/>
      <w:bCs/>
      <w:kern w:val="2"/>
      <w:sz w:val="24"/>
      <w:lang w:val="en-US" w:eastAsia="zh-CN" w:bidi="ar-SA"/>
    </w:rPr>
  </w:style>
  <w:style w:type="paragraph" w:customStyle="1" w:styleId="2031">
    <w:name w:val="bw1"/>
    <w:basedOn w:val="1"/>
    <w:qFormat/>
    <w:uiPriority w:val="0"/>
    <w:pPr>
      <w:spacing w:line="240" w:lineRule="atLeast"/>
      <w:ind w:left="-57" w:right="-57" w:firstLine="0" w:firstLineChars="0"/>
      <w:jc w:val="center"/>
    </w:pPr>
    <w:rPr>
      <w:rFonts w:ascii="Arial Narrow" w:hAnsi="Arial Narrow" w:eastAsia="楷体_GB2312"/>
      <w:w w:val="90"/>
      <w:sz w:val="18"/>
      <w:szCs w:val="20"/>
    </w:rPr>
  </w:style>
  <w:style w:type="paragraph" w:customStyle="1" w:styleId="2032">
    <w:name w:val="样式 样式 样式1 + 首行缩进:  2 字符 + 首行缩进:  2 字符"/>
    <w:basedOn w:val="358"/>
    <w:qFormat/>
    <w:uiPriority w:val="0"/>
    <w:pPr>
      <w:spacing w:line="440" w:lineRule="exact"/>
      <w:ind w:firstLine="480" w:firstLineChars="200"/>
    </w:pPr>
    <w:rPr>
      <w:rFonts w:cs="宋体"/>
      <w:szCs w:val="20"/>
    </w:rPr>
  </w:style>
  <w:style w:type="paragraph" w:customStyle="1" w:styleId="2033">
    <w:name w:val="3 Char Char Char Char Char Char Char Char Char1 Char Char Char Char"/>
    <w:basedOn w:val="1"/>
    <w:qFormat/>
    <w:uiPriority w:val="0"/>
    <w:pPr>
      <w:adjustRightInd/>
      <w:spacing w:line="360" w:lineRule="auto"/>
      <w:jc w:val="both"/>
    </w:pPr>
    <w:rPr>
      <w:rFonts w:eastAsia="仿宋_GB2312"/>
      <w:sz w:val="24"/>
      <w:szCs w:val="24"/>
    </w:rPr>
  </w:style>
  <w:style w:type="paragraph" w:customStyle="1" w:styleId="2034">
    <w:name w:val="标题2编号"/>
    <w:basedOn w:val="4"/>
    <w:next w:val="1"/>
    <w:qFormat/>
    <w:uiPriority w:val="0"/>
    <w:pPr>
      <w:widowControl w:val="0"/>
      <w:tabs>
        <w:tab w:val="clear" w:pos="0"/>
      </w:tabs>
      <w:spacing w:beforeLines="0" w:afterLines="0" w:line="600" w:lineRule="exact"/>
      <w:jc w:val="both"/>
    </w:pPr>
    <w:rPr>
      <w:rFonts w:ascii="仿宋_GB2312" w:hAnsi="Arial" w:eastAsia="方正楷体简体"/>
      <w:b w:val="0"/>
      <w:snapToGrid/>
      <w:sz w:val="32"/>
    </w:rPr>
  </w:style>
  <w:style w:type="paragraph" w:customStyle="1" w:styleId="2035">
    <w:name w:val="纯咖啡正文"/>
    <w:qFormat/>
    <w:uiPriority w:val="0"/>
    <w:pPr>
      <w:spacing w:line="360" w:lineRule="auto"/>
      <w:ind w:firstLine="200" w:firstLineChars="200"/>
    </w:pPr>
    <w:rPr>
      <w:rFonts w:ascii="宋体" w:hAnsi="Times New Roman" w:eastAsia="宋体" w:cs="Times New Roman"/>
      <w:bCs/>
      <w:sz w:val="24"/>
      <w:szCs w:val="24"/>
      <w:lang w:val="en-US" w:eastAsia="zh-CN" w:bidi="ar-SA"/>
    </w:rPr>
  </w:style>
  <w:style w:type="paragraph" w:customStyle="1" w:styleId="2036">
    <w:name w:val="正式"/>
    <w:basedOn w:val="1"/>
    <w:qFormat/>
    <w:uiPriority w:val="0"/>
    <w:pPr>
      <w:adjustRightInd/>
      <w:snapToGrid/>
      <w:spacing w:beforeLines="50" w:afterLines="50" w:line="360" w:lineRule="auto"/>
    </w:pPr>
    <w:rPr>
      <w:rFonts w:hAnsi="宋体"/>
      <w:kern w:val="0"/>
      <w:sz w:val="24"/>
      <w:szCs w:val="21"/>
    </w:rPr>
  </w:style>
  <w:style w:type="paragraph" w:customStyle="1" w:styleId="2037">
    <w:name w:val="BG"/>
    <w:basedOn w:val="1"/>
    <w:qFormat/>
    <w:uiPriority w:val="0"/>
    <w:pPr>
      <w:adjustRightInd/>
      <w:snapToGrid/>
      <w:spacing w:line="240" w:lineRule="auto"/>
      <w:ind w:firstLine="0" w:firstLineChars="0"/>
      <w:jc w:val="center"/>
    </w:pPr>
    <w:rPr>
      <w:sz w:val="21"/>
      <w:szCs w:val="21"/>
    </w:rPr>
  </w:style>
  <w:style w:type="paragraph" w:customStyle="1" w:styleId="2038">
    <w:name w:val="标题51"/>
    <w:basedOn w:val="21"/>
    <w:qFormat/>
    <w:uiPriority w:val="0"/>
    <w:pPr>
      <w:tabs>
        <w:tab w:val="left" w:pos="900"/>
      </w:tabs>
      <w:spacing w:line="240" w:lineRule="auto"/>
      <w:ind w:left="900" w:hanging="900"/>
      <w:jc w:val="both"/>
    </w:pPr>
    <w:rPr>
      <w:color w:val="auto"/>
      <w:spacing w:val="10"/>
      <w:kern w:val="2"/>
      <w:sz w:val="28"/>
      <w:szCs w:val="20"/>
    </w:rPr>
  </w:style>
  <w:style w:type="paragraph" w:customStyle="1" w:styleId="2039">
    <w:name w:val="a)"/>
    <w:basedOn w:val="1"/>
    <w:qFormat/>
    <w:uiPriority w:val="0"/>
    <w:pPr>
      <w:snapToGrid/>
      <w:spacing w:line="360" w:lineRule="auto"/>
      <w:ind w:firstLine="567" w:firstLineChars="0"/>
      <w:jc w:val="both"/>
      <w:textAlignment w:val="baseline"/>
    </w:pPr>
    <w:rPr>
      <w:kern w:val="0"/>
      <w:sz w:val="28"/>
      <w:szCs w:val="20"/>
    </w:rPr>
  </w:style>
  <w:style w:type="paragraph" w:customStyle="1" w:styleId="2040">
    <w:name w:val="表样式2"/>
    <w:basedOn w:val="1"/>
    <w:qFormat/>
    <w:uiPriority w:val="0"/>
    <w:pPr>
      <w:adjustRightInd/>
      <w:snapToGrid/>
      <w:spacing w:line="240" w:lineRule="auto"/>
      <w:ind w:firstLine="0" w:firstLineChars="0"/>
      <w:jc w:val="center"/>
    </w:pPr>
    <w:rPr>
      <w:rFonts w:ascii="宋体" w:hAnsi="宋体"/>
      <w:bCs/>
      <w:sz w:val="21"/>
      <w:szCs w:val="24"/>
    </w:rPr>
  </w:style>
  <w:style w:type="character" w:customStyle="1" w:styleId="2041">
    <w:name w:val="样式 宋体 四号"/>
    <w:qFormat/>
    <w:uiPriority w:val="0"/>
    <w:rPr>
      <w:rFonts w:ascii="宋体" w:hAnsi="宋体"/>
      <w:sz w:val="24"/>
    </w:rPr>
  </w:style>
  <w:style w:type="character" w:customStyle="1" w:styleId="2042">
    <w:name w:val="tit2"/>
    <w:qFormat/>
    <w:uiPriority w:val="0"/>
    <w:rPr>
      <w:rFonts w:hint="default"/>
      <w:b/>
      <w:bCs/>
      <w:spacing w:val="432"/>
      <w:sz w:val="48"/>
      <w:szCs w:val="48"/>
    </w:rPr>
  </w:style>
  <w:style w:type="paragraph" w:customStyle="1" w:styleId="2043">
    <w:name w:val="正文样式"/>
    <w:basedOn w:val="1"/>
    <w:link w:val="2044"/>
    <w:qFormat/>
    <w:uiPriority w:val="0"/>
    <w:pPr>
      <w:adjustRightInd/>
      <w:snapToGrid/>
      <w:spacing w:line="360" w:lineRule="auto"/>
      <w:ind w:firstLine="480"/>
      <w:jc w:val="both"/>
    </w:pPr>
    <w:rPr>
      <w:rFonts w:ascii="宋体" w:hAnsi="宋体"/>
      <w:color w:val="000000"/>
      <w:sz w:val="24"/>
      <w:szCs w:val="24"/>
    </w:rPr>
  </w:style>
  <w:style w:type="character" w:customStyle="1" w:styleId="2044">
    <w:name w:val="正文样式 Char1"/>
    <w:link w:val="2043"/>
    <w:qFormat/>
    <w:uiPriority w:val="0"/>
    <w:rPr>
      <w:rFonts w:ascii="宋体" w:hAnsi="宋体"/>
      <w:color w:val="000000"/>
      <w:kern w:val="2"/>
      <w:sz w:val="24"/>
      <w:szCs w:val="24"/>
    </w:rPr>
  </w:style>
  <w:style w:type="paragraph" w:customStyle="1" w:styleId="2045">
    <w:name w:val="PSPSPSPS"/>
    <w:basedOn w:val="1"/>
    <w:qFormat/>
    <w:uiPriority w:val="0"/>
    <w:pPr>
      <w:snapToGrid/>
      <w:spacing w:line="600" w:lineRule="atLeast"/>
      <w:ind w:firstLine="0" w:firstLineChars="0"/>
      <w:jc w:val="both"/>
      <w:textAlignment w:val="baseline"/>
    </w:pPr>
    <w:rPr>
      <w:kern w:val="0"/>
      <w:sz w:val="28"/>
      <w:szCs w:val="20"/>
    </w:rPr>
  </w:style>
  <w:style w:type="paragraph" w:customStyle="1" w:styleId="2046">
    <w:name w:val="样式 样式 样式 样式1 + 首行缩进:  2 字符 + 首行缩进:  2 字符 + 四号 首行缩进:  2 字符"/>
    <w:basedOn w:val="2032"/>
    <w:qFormat/>
    <w:uiPriority w:val="0"/>
    <w:pPr>
      <w:ind w:firstLine="560"/>
    </w:pPr>
    <w:rPr>
      <w:sz w:val="28"/>
    </w:rPr>
  </w:style>
  <w:style w:type="character" w:customStyle="1" w:styleId="2047">
    <w:name w:val="style6"/>
    <w:basedOn w:val="132"/>
    <w:qFormat/>
    <w:uiPriority w:val="0"/>
  </w:style>
  <w:style w:type="character" w:customStyle="1" w:styleId="2048">
    <w:name w:val="样式 样式 样式1 + 首行缩进:  2 字符 + 首行缩进:  2 字符 Char"/>
    <w:qFormat/>
    <w:uiPriority w:val="0"/>
    <w:rPr>
      <w:rFonts w:eastAsia="宋体" w:cs="宋体"/>
      <w:bCs/>
      <w:kern w:val="2"/>
      <w:sz w:val="24"/>
      <w:lang w:val="en-US" w:eastAsia="zh-CN" w:bidi="ar-SA"/>
    </w:rPr>
  </w:style>
  <w:style w:type="paragraph" w:customStyle="1" w:styleId="2049">
    <w:name w:val="bt1"/>
    <w:basedOn w:val="1"/>
    <w:qFormat/>
    <w:uiPriority w:val="0"/>
    <w:pPr>
      <w:spacing w:beforeLines="75" w:line="500" w:lineRule="exact"/>
      <w:ind w:firstLine="0" w:firstLineChars="0"/>
      <w:jc w:val="center"/>
    </w:pPr>
    <w:rPr>
      <w:rFonts w:ascii="Arial Narrow" w:hAnsi="Arial Narrow" w:eastAsia="黑体" w:cs="Arial Narrow"/>
      <w:color w:val="000000"/>
      <w:kern w:val="27"/>
      <w:szCs w:val="26"/>
    </w:rPr>
  </w:style>
  <w:style w:type="character" w:customStyle="1" w:styleId="2050">
    <w:name w:val="样式 样式1 + 首行缩进:  2 字符 Char2"/>
    <w:qFormat/>
    <w:uiPriority w:val="0"/>
    <w:rPr>
      <w:rFonts w:eastAsia="宋体" w:cs="宋体"/>
      <w:bCs/>
      <w:kern w:val="2"/>
      <w:sz w:val="24"/>
      <w:lang w:val="en-US" w:eastAsia="zh-CN" w:bidi="ar-SA"/>
    </w:rPr>
  </w:style>
  <w:style w:type="paragraph" w:customStyle="1" w:styleId="2051">
    <w:name w:val="表图标题"/>
    <w:basedOn w:val="1"/>
    <w:qFormat/>
    <w:uiPriority w:val="0"/>
    <w:pPr>
      <w:adjustRightInd/>
      <w:snapToGrid/>
      <w:spacing w:line="240" w:lineRule="exact"/>
      <w:ind w:firstLine="0" w:firstLineChars="0"/>
      <w:jc w:val="center"/>
    </w:pPr>
    <w:rPr>
      <w:sz w:val="18"/>
      <w:szCs w:val="18"/>
    </w:rPr>
  </w:style>
  <w:style w:type="paragraph" w:customStyle="1" w:styleId="2052">
    <w:name w:val="style0"/>
    <w:basedOn w:val="1"/>
    <w:qFormat/>
    <w:uiPriority w:val="0"/>
    <w:pPr>
      <w:widowControl/>
      <w:adjustRightInd/>
      <w:snapToGrid/>
      <w:spacing w:before="100" w:beforeAutospacing="1" w:after="100" w:afterAutospacing="1" w:line="240" w:lineRule="auto"/>
      <w:ind w:firstLine="0" w:firstLineChars="0"/>
      <w:textAlignment w:val="bottom"/>
    </w:pPr>
    <w:rPr>
      <w:kern w:val="0"/>
      <w:sz w:val="24"/>
      <w:szCs w:val="24"/>
    </w:rPr>
  </w:style>
  <w:style w:type="character" w:customStyle="1" w:styleId="2053">
    <w:name w:val="hei1"/>
    <w:qFormat/>
    <w:uiPriority w:val="0"/>
    <w:rPr>
      <w:spacing w:val="405"/>
      <w:sz w:val="20"/>
      <w:szCs w:val="20"/>
    </w:rPr>
  </w:style>
  <w:style w:type="paragraph" w:customStyle="1" w:styleId="2054">
    <w:name w:val="表号1"/>
    <w:basedOn w:val="1"/>
    <w:qFormat/>
    <w:uiPriority w:val="0"/>
    <w:pPr>
      <w:adjustRightInd/>
      <w:snapToGrid/>
      <w:spacing w:line="240" w:lineRule="auto"/>
      <w:ind w:firstLine="0" w:firstLineChars="0"/>
    </w:pPr>
    <w:rPr>
      <w:color w:val="000000"/>
      <w:sz w:val="21"/>
      <w:szCs w:val="20"/>
    </w:rPr>
  </w:style>
  <w:style w:type="paragraph" w:customStyle="1" w:styleId="2055">
    <w:name w:val="表格左对齐"/>
    <w:basedOn w:val="35"/>
    <w:qFormat/>
    <w:uiPriority w:val="0"/>
    <w:pPr>
      <w:jc w:val="left"/>
      <w:textAlignment w:val="baseline"/>
    </w:pPr>
    <w:rPr>
      <w:kern w:val="0"/>
      <w:sz w:val="21"/>
      <w:szCs w:val="20"/>
    </w:rPr>
  </w:style>
  <w:style w:type="paragraph" w:customStyle="1" w:styleId="2056">
    <w:name w:val="表头编号"/>
    <w:basedOn w:val="1"/>
    <w:qFormat/>
    <w:uiPriority w:val="0"/>
    <w:pPr>
      <w:tabs>
        <w:tab w:val="left" w:pos="8610"/>
        <w:tab w:val="left" w:pos="8820"/>
      </w:tabs>
      <w:adjustRightInd/>
      <w:snapToGrid/>
      <w:spacing w:line="240" w:lineRule="atLeast"/>
      <w:ind w:right="3" w:firstLine="0" w:firstLineChars="0"/>
      <w:jc w:val="center"/>
    </w:pPr>
    <w:rPr>
      <w:b/>
      <w:sz w:val="24"/>
      <w:szCs w:val="20"/>
    </w:rPr>
  </w:style>
  <w:style w:type="paragraph" w:customStyle="1" w:styleId="2057">
    <w:name w:val="多文字表"/>
    <w:basedOn w:val="1445"/>
    <w:qFormat/>
    <w:uiPriority w:val="0"/>
    <w:pPr>
      <w:adjustRightInd/>
      <w:snapToGrid/>
      <w:spacing w:line="360" w:lineRule="auto"/>
      <w:ind w:firstLine="200"/>
      <w:jc w:val="both"/>
    </w:pPr>
    <w:rPr>
      <w:bCs w:val="0"/>
      <w:sz w:val="18"/>
      <w:szCs w:val="20"/>
    </w:rPr>
  </w:style>
  <w:style w:type="paragraph" w:customStyle="1" w:styleId="2058">
    <w:name w:val="黑宋体"/>
    <w:basedOn w:val="6"/>
    <w:qFormat/>
    <w:uiPriority w:val="0"/>
    <w:pPr>
      <w:keepNext/>
      <w:keepLines/>
      <w:widowControl w:val="0"/>
      <w:numPr>
        <w:numId w:val="0"/>
      </w:numPr>
      <w:tabs>
        <w:tab w:val="left" w:pos="1680"/>
        <w:tab w:val="clear" w:pos="0"/>
      </w:tabs>
      <w:adjustRightInd/>
      <w:snapToGrid/>
      <w:spacing w:line="360" w:lineRule="auto"/>
      <w:ind w:left="864" w:firstLine="471" w:firstLineChars="200"/>
      <w:textAlignment w:val="baseline"/>
      <w:outlineLvl w:val="9"/>
    </w:pPr>
    <w:rPr>
      <w:rFonts w:eastAsia="黑体" w:cs="Arial"/>
      <w:b w:val="0"/>
      <w:bCs w:val="0"/>
      <w:snapToGrid/>
      <w:color w:val="000000"/>
      <w:sz w:val="24"/>
      <w:szCs w:val="32"/>
    </w:rPr>
  </w:style>
  <w:style w:type="paragraph" w:customStyle="1" w:styleId="2059">
    <w:name w:val="数字表格"/>
    <w:basedOn w:val="181"/>
    <w:qFormat/>
    <w:uiPriority w:val="0"/>
    <w:pPr>
      <w:widowControl w:val="0"/>
      <w:adjustRightInd/>
      <w:snapToGrid/>
      <w:spacing w:line="240" w:lineRule="auto"/>
      <w:jc w:val="both"/>
    </w:pPr>
    <w:rPr>
      <w:bCs/>
      <w:sz w:val="15"/>
      <w:szCs w:val="20"/>
    </w:rPr>
  </w:style>
  <w:style w:type="paragraph" w:customStyle="1" w:styleId="2060">
    <w:name w:val="图文1"/>
    <w:basedOn w:val="84"/>
    <w:qFormat/>
    <w:uiPriority w:val="0"/>
    <w:rPr>
      <w:rFonts w:ascii="黑体" w:eastAsia="黑体"/>
      <w:b/>
      <w:snapToGrid/>
      <w:kern w:val="2"/>
      <w:sz w:val="28"/>
      <w:szCs w:val="21"/>
    </w:rPr>
  </w:style>
  <w:style w:type="paragraph" w:customStyle="1" w:styleId="2061">
    <w:name w:val="正文2000"/>
    <w:basedOn w:val="1"/>
    <w:qFormat/>
    <w:uiPriority w:val="0"/>
    <w:pPr>
      <w:adjustRightInd/>
      <w:snapToGrid/>
      <w:spacing w:line="360" w:lineRule="auto"/>
      <w:ind w:firstLine="0" w:firstLineChars="0"/>
      <w:jc w:val="both"/>
    </w:pPr>
    <w:rPr>
      <w:rFonts w:ascii="宋体" w:hAnsi="宋体"/>
      <w:b/>
      <w:sz w:val="24"/>
      <w:szCs w:val="20"/>
    </w:rPr>
  </w:style>
  <w:style w:type="paragraph" w:customStyle="1" w:styleId="2062">
    <w:name w:val="表框1"/>
    <w:basedOn w:val="1"/>
    <w:qFormat/>
    <w:uiPriority w:val="0"/>
    <w:pPr>
      <w:pBdr>
        <w:top w:val="single" w:color="auto" w:sz="12" w:space="1"/>
        <w:left w:val="single" w:color="auto" w:sz="12" w:space="1"/>
        <w:bottom w:val="single" w:color="auto" w:sz="12" w:space="1"/>
        <w:right w:val="single" w:color="auto" w:sz="12" w:space="1"/>
      </w:pBdr>
      <w:adjustRightInd/>
      <w:snapToGrid/>
      <w:spacing w:line="360" w:lineRule="auto"/>
      <w:ind w:firstLine="0" w:firstLineChars="0"/>
    </w:pPr>
    <w:rPr>
      <w:sz w:val="24"/>
      <w:szCs w:val="20"/>
    </w:rPr>
  </w:style>
  <w:style w:type="paragraph" w:customStyle="1" w:styleId="2063">
    <w:name w:val="表框2"/>
    <w:basedOn w:val="1"/>
    <w:qFormat/>
    <w:uiPriority w:val="0"/>
    <w:pPr>
      <w:framePr w:hSpace="181" w:vSpace="181" w:wrap="notBeside" w:vAnchor="text" w:hAnchor="text" w:y="1"/>
      <w:pBdr>
        <w:top w:val="single" w:color="auto" w:sz="4" w:space="1"/>
        <w:left w:val="single" w:color="auto" w:sz="4" w:space="4"/>
        <w:bottom w:val="single" w:color="auto" w:sz="4" w:space="1"/>
        <w:right w:val="single" w:color="auto" w:sz="4" w:space="4"/>
      </w:pBdr>
      <w:adjustRightInd/>
      <w:snapToGrid/>
      <w:spacing w:line="360" w:lineRule="auto"/>
      <w:ind w:firstLine="0" w:firstLineChars="0"/>
    </w:pPr>
    <w:rPr>
      <w:sz w:val="24"/>
      <w:szCs w:val="20"/>
    </w:rPr>
  </w:style>
  <w:style w:type="paragraph" w:customStyle="1" w:styleId="2064">
    <w:name w:val="PP 行"/>
    <w:basedOn w:val="58"/>
    <w:qFormat/>
    <w:uiPriority w:val="0"/>
    <w:pPr>
      <w:spacing w:line="360" w:lineRule="auto"/>
      <w:ind w:left="0" w:leftChars="0" w:firstLine="200"/>
      <w:jc w:val="left"/>
    </w:pPr>
    <w:rPr>
      <w:sz w:val="24"/>
      <w:szCs w:val="20"/>
    </w:rPr>
  </w:style>
  <w:style w:type="paragraph" w:customStyle="1" w:styleId="2065">
    <w:name w:val="样式 标题 3 + 浅蓝1"/>
    <w:basedOn w:val="5"/>
    <w:qFormat/>
    <w:uiPriority w:val="0"/>
    <w:pPr>
      <w:keepNext/>
      <w:keepLines/>
      <w:widowControl w:val="0"/>
      <w:tabs>
        <w:tab w:val="left" w:pos="1260"/>
        <w:tab w:val="clear" w:pos="0"/>
      </w:tabs>
      <w:adjustRightInd/>
      <w:snapToGrid/>
      <w:spacing w:before="60" w:after="60" w:line="288" w:lineRule="auto"/>
      <w:ind w:left="720" w:firstLine="180"/>
    </w:pPr>
    <w:rPr>
      <w:rFonts w:ascii="黑体" w:hAnsi="Arial" w:eastAsia="黑体" w:cs="Arial"/>
      <w:bCs/>
      <w:snapToGrid/>
      <w:color w:val="000000"/>
      <w:szCs w:val="36"/>
    </w:rPr>
  </w:style>
  <w:style w:type="paragraph" w:customStyle="1" w:styleId="2066">
    <w:name w:val="表biao"/>
    <w:basedOn w:val="1"/>
    <w:qFormat/>
    <w:uiPriority w:val="0"/>
    <w:pPr>
      <w:adjustRightInd/>
      <w:snapToGrid/>
      <w:spacing w:line="280" w:lineRule="exact"/>
      <w:ind w:firstLine="0" w:firstLineChars="0"/>
      <w:jc w:val="center"/>
    </w:pPr>
    <w:rPr>
      <w:sz w:val="21"/>
      <w:szCs w:val="21"/>
    </w:rPr>
  </w:style>
  <w:style w:type="paragraph" w:customStyle="1" w:styleId="2067">
    <w:name w:val="!正文(alt+c)"/>
    <w:qFormat/>
    <w:uiPriority w:val="0"/>
    <w:pPr>
      <w:spacing w:line="420" w:lineRule="exact"/>
      <w:ind w:firstLine="480" w:firstLineChars="200"/>
    </w:pPr>
    <w:rPr>
      <w:rFonts w:ascii="Times New Roman" w:hAnsi="Times New Roman" w:eastAsia="宋体" w:cs="Times New Roman"/>
      <w:sz w:val="24"/>
      <w:szCs w:val="24"/>
      <w:lang w:val="en-US" w:eastAsia="zh-CN" w:bidi="ar-SA"/>
    </w:rPr>
  </w:style>
  <w:style w:type="paragraph" w:customStyle="1" w:styleId="2068">
    <w:name w:val="!表格(alt+t)"/>
    <w:next w:val="2067"/>
    <w:qFormat/>
    <w:uiPriority w:val="0"/>
    <w:pPr>
      <w:adjustRightInd w:val="0"/>
      <w:spacing w:line="360" w:lineRule="exact"/>
      <w:jc w:val="center"/>
      <w:textAlignment w:val="center"/>
    </w:pPr>
    <w:rPr>
      <w:rFonts w:ascii="Times New Roman" w:hAnsi="Times New Roman" w:eastAsia="宋体" w:cs="Times New Roman"/>
      <w:sz w:val="21"/>
      <w:szCs w:val="18"/>
      <w:lang w:val="en-US" w:eastAsia="zh-CN" w:bidi="ar-SA"/>
    </w:rPr>
  </w:style>
  <w:style w:type="paragraph" w:customStyle="1" w:styleId="2069">
    <w:name w:val="!章名(alt+m)"/>
    <w:next w:val="1"/>
    <w:qFormat/>
    <w:uiPriority w:val="0"/>
    <w:pPr>
      <w:spacing w:line="500" w:lineRule="exact"/>
      <w:jc w:val="center"/>
      <w:outlineLvl w:val="0"/>
    </w:pPr>
    <w:rPr>
      <w:rFonts w:ascii="Arial" w:hAnsi="Arial" w:eastAsia="黑体" w:cs="Times New Roman"/>
      <w:spacing w:val="-5"/>
      <w:sz w:val="32"/>
      <w:szCs w:val="32"/>
      <w:lang w:val="en-US" w:eastAsia="zh-CN" w:bidi="ar-SA"/>
    </w:rPr>
  </w:style>
  <w:style w:type="paragraph" w:customStyle="1" w:styleId="2070">
    <w:name w:val="文章副标题"/>
    <w:basedOn w:val="1"/>
    <w:next w:val="3"/>
    <w:qFormat/>
    <w:uiPriority w:val="0"/>
    <w:pPr>
      <w:widowControl/>
      <w:adjustRightInd/>
      <w:snapToGrid/>
      <w:spacing w:before="187" w:after="175" w:line="374" w:lineRule="atLeast"/>
      <w:ind w:firstLine="0" w:firstLineChars="0"/>
      <w:jc w:val="center"/>
      <w:textAlignment w:val="baseline"/>
    </w:pPr>
    <w:rPr>
      <w:color w:val="000000"/>
      <w:kern w:val="0"/>
      <w:sz w:val="36"/>
      <w:szCs w:val="20"/>
      <w:u w:color="000000"/>
    </w:rPr>
  </w:style>
  <w:style w:type="paragraph" w:customStyle="1" w:styleId="2071">
    <w:name w:val="标题 12"/>
    <w:basedOn w:val="1"/>
    <w:next w:val="2072"/>
    <w:qFormat/>
    <w:uiPriority w:val="0"/>
    <w:pPr>
      <w:widowControl/>
      <w:adjustRightInd/>
      <w:snapToGrid/>
      <w:spacing w:before="391" w:after="153" w:line="788" w:lineRule="atLeast"/>
      <w:ind w:firstLine="0" w:firstLineChars="0"/>
      <w:jc w:val="center"/>
      <w:textAlignment w:val="baseline"/>
    </w:pPr>
    <w:rPr>
      <w:rFonts w:ascii="Arial" w:eastAsia="黑体"/>
      <w:color w:val="000000"/>
      <w:kern w:val="0"/>
      <w:sz w:val="31"/>
      <w:szCs w:val="20"/>
      <w:u w:color="000000"/>
    </w:rPr>
  </w:style>
  <w:style w:type="paragraph" w:customStyle="1" w:styleId="2072">
    <w:name w:val="标题 22"/>
    <w:basedOn w:val="1"/>
    <w:next w:val="1"/>
    <w:qFormat/>
    <w:uiPriority w:val="0"/>
    <w:pPr>
      <w:widowControl/>
      <w:adjustRightInd/>
      <w:snapToGrid/>
      <w:spacing w:before="504" w:after="198" w:line="1054" w:lineRule="atLeast"/>
      <w:ind w:firstLine="419" w:firstLineChars="0"/>
      <w:jc w:val="both"/>
      <w:textAlignment w:val="baseline"/>
    </w:pPr>
    <w:rPr>
      <w:rFonts w:ascii="Arial" w:eastAsia="黑体"/>
      <w:color w:val="000000"/>
      <w:kern w:val="0"/>
      <w:sz w:val="30"/>
      <w:szCs w:val="20"/>
      <w:u w:color="000000"/>
    </w:rPr>
  </w:style>
  <w:style w:type="paragraph" w:customStyle="1" w:styleId="2073">
    <w:name w:val="标题 32"/>
    <w:basedOn w:val="1"/>
    <w:qFormat/>
    <w:uiPriority w:val="0"/>
    <w:pPr>
      <w:widowControl/>
      <w:adjustRightInd/>
      <w:snapToGrid/>
      <w:spacing w:before="147" w:after="96" w:line="640" w:lineRule="atLeast"/>
      <w:ind w:firstLine="419" w:firstLineChars="0"/>
      <w:jc w:val="both"/>
      <w:textAlignment w:val="baseline"/>
    </w:pPr>
    <w:rPr>
      <w:color w:val="000000"/>
      <w:kern w:val="0"/>
      <w:sz w:val="28"/>
      <w:szCs w:val="20"/>
      <w:u w:color="000000"/>
    </w:rPr>
  </w:style>
  <w:style w:type="paragraph" w:customStyle="1" w:styleId="2074">
    <w:name w:val="标题 61"/>
    <w:basedOn w:val="1"/>
    <w:next w:val="1"/>
    <w:qFormat/>
    <w:uiPriority w:val="0"/>
    <w:pPr>
      <w:widowControl/>
      <w:adjustRightInd/>
      <w:snapToGrid/>
      <w:spacing w:line="606" w:lineRule="atLeast"/>
      <w:ind w:firstLine="419" w:firstLineChars="0"/>
      <w:jc w:val="both"/>
      <w:textAlignment w:val="baseline"/>
    </w:pPr>
    <w:rPr>
      <w:color w:val="000000"/>
      <w:kern w:val="0"/>
      <w:sz w:val="24"/>
      <w:szCs w:val="20"/>
      <w:u w:color="000000"/>
    </w:rPr>
  </w:style>
  <w:style w:type="paragraph" w:customStyle="1" w:styleId="2075">
    <w:name w:val="标题 71"/>
    <w:basedOn w:val="1"/>
    <w:next w:val="1"/>
    <w:qFormat/>
    <w:uiPriority w:val="0"/>
    <w:pPr>
      <w:widowControl/>
      <w:adjustRightInd/>
      <w:snapToGrid/>
      <w:spacing w:line="606" w:lineRule="atLeast"/>
      <w:ind w:firstLine="419" w:firstLineChars="0"/>
      <w:jc w:val="both"/>
      <w:textAlignment w:val="baseline"/>
    </w:pPr>
    <w:rPr>
      <w:color w:val="000000"/>
      <w:kern w:val="0"/>
      <w:sz w:val="24"/>
      <w:szCs w:val="20"/>
      <w:u w:color="000000"/>
    </w:rPr>
  </w:style>
  <w:style w:type="paragraph" w:customStyle="1" w:styleId="2076">
    <w:name w:val="标题 81"/>
    <w:basedOn w:val="1"/>
    <w:next w:val="1"/>
    <w:qFormat/>
    <w:uiPriority w:val="0"/>
    <w:pPr>
      <w:widowControl/>
      <w:adjustRightInd/>
      <w:snapToGrid/>
      <w:spacing w:line="606" w:lineRule="atLeast"/>
      <w:ind w:firstLine="419" w:firstLineChars="0"/>
      <w:jc w:val="both"/>
      <w:textAlignment w:val="baseline"/>
    </w:pPr>
    <w:rPr>
      <w:color w:val="000000"/>
      <w:kern w:val="0"/>
      <w:sz w:val="24"/>
      <w:szCs w:val="20"/>
      <w:u w:color="000000"/>
    </w:rPr>
  </w:style>
  <w:style w:type="paragraph" w:customStyle="1" w:styleId="2077">
    <w:name w:val="标题 91"/>
    <w:basedOn w:val="1"/>
    <w:next w:val="1"/>
    <w:qFormat/>
    <w:uiPriority w:val="0"/>
    <w:pPr>
      <w:widowControl/>
      <w:adjustRightInd/>
      <w:snapToGrid/>
      <w:spacing w:line="606" w:lineRule="atLeast"/>
      <w:ind w:firstLine="419" w:firstLineChars="0"/>
      <w:jc w:val="both"/>
      <w:textAlignment w:val="baseline"/>
    </w:pPr>
    <w:rPr>
      <w:color w:val="000000"/>
      <w:kern w:val="0"/>
      <w:sz w:val="24"/>
      <w:szCs w:val="20"/>
      <w:u w:color="000000"/>
    </w:rPr>
  </w:style>
  <w:style w:type="character" w:customStyle="1" w:styleId="2078">
    <w:name w:val="默认段落字体1"/>
    <w:semiHidden/>
    <w:qFormat/>
    <w:uiPriority w:val="0"/>
    <w:rPr>
      <w:rFonts w:ascii="Times New Roman" w:eastAsia="宋体"/>
      <w:color w:val="000000"/>
      <w:spacing w:val="0"/>
      <w:w w:val="100"/>
      <w:sz w:val="21"/>
      <w:u w:val="none" w:color="000000"/>
      <w:vertAlign w:val="baseline"/>
      <w:lang w:val="en-US" w:eastAsia="zh-CN"/>
    </w:rPr>
  </w:style>
  <w:style w:type="paragraph" w:customStyle="1" w:styleId="2079">
    <w:name w:val="图形中文字"/>
    <w:basedOn w:val="1"/>
    <w:qFormat/>
    <w:uiPriority w:val="0"/>
    <w:pPr>
      <w:widowControl/>
      <w:adjustRightInd/>
      <w:snapToGrid/>
      <w:spacing w:line="606" w:lineRule="atLeast"/>
      <w:ind w:firstLine="419" w:firstLineChars="0"/>
      <w:jc w:val="center"/>
      <w:textAlignment w:val="baseline"/>
    </w:pPr>
    <w:rPr>
      <w:rFonts w:ascii="宋体"/>
      <w:color w:val="000000"/>
      <w:kern w:val="0"/>
      <w:sz w:val="24"/>
      <w:szCs w:val="20"/>
      <w:u w:color="000000"/>
    </w:rPr>
  </w:style>
  <w:style w:type="paragraph" w:customStyle="1" w:styleId="2080">
    <w:name w:val="font14"/>
    <w:basedOn w:val="1"/>
    <w:qFormat/>
    <w:uiPriority w:val="0"/>
    <w:pPr>
      <w:widowControl/>
      <w:adjustRightInd/>
      <w:snapToGrid/>
      <w:spacing w:before="102" w:after="102" w:line="351" w:lineRule="atLeast"/>
      <w:ind w:firstLine="419" w:firstLineChars="0"/>
      <w:textAlignment w:val="baseline"/>
    </w:pPr>
    <w:rPr>
      <w:rFonts w:ascii="宋体"/>
      <w:color w:val="00FF00"/>
      <w:kern w:val="0"/>
      <w:sz w:val="21"/>
      <w:szCs w:val="20"/>
      <w:u w:color="000000"/>
    </w:rPr>
  </w:style>
  <w:style w:type="paragraph" w:customStyle="1" w:styleId="2081">
    <w:name w:val="font15"/>
    <w:basedOn w:val="1"/>
    <w:qFormat/>
    <w:uiPriority w:val="0"/>
    <w:pPr>
      <w:widowControl/>
      <w:adjustRightInd/>
      <w:snapToGrid/>
      <w:spacing w:before="102" w:after="102" w:line="351" w:lineRule="atLeast"/>
      <w:ind w:firstLine="419" w:firstLineChars="0"/>
      <w:textAlignment w:val="baseline"/>
    </w:pPr>
    <w:rPr>
      <w:color w:val="00FF00"/>
      <w:kern w:val="0"/>
      <w:sz w:val="21"/>
      <w:szCs w:val="20"/>
      <w:u w:color="000000"/>
    </w:rPr>
  </w:style>
  <w:style w:type="paragraph" w:customStyle="1" w:styleId="2082">
    <w:name w:val="font16"/>
    <w:basedOn w:val="1"/>
    <w:qFormat/>
    <w:uiPriority w:val="0"/>
    <w:pPr>
      <w:widowControl/>
      <w:adjustRightInd/>
      <w:snapToGrid/>
      <w:spacing w:before="102" w:after="102" w:line="351" w:lineRule="atLeast"/>
      <w:ind w:firstLine="419" w:firstLineChars="0"/>
      <w:textAlignment w:val="baseline"/>
    </w:pPr>
    <w:rPr>
      <w:color w:val="000000"/>
      <w:kern w:val="0"/>
      <w:sz w:val="21"/>
      <w:szCs w:val="20"/>
      <w:u w:color="000000"/>
    </w:rPr>
  </w:style>
  <w:style w:type="paragraph" w:customStyle="1" w:styleId="2083">
    <w:name w:val="图表头"/>
    <w:basedOn w:val="1"/>
    <w:next w:val="1"/>
    <w:qFormat/>
    <w:uiPriority w:val="0"/>
    <w:pPr>
      <w:widowControl/>
      <w:adjustRightInd/>
      <w:snapToGrid/>
      <w:spacing w:before="283" w:after="56" w:line="708" w:lineRule="atLeast"/>
      <w:ind w:firstLine="419" w:firstLineChars="0"/>
      <w:jc w:val="center"/>
      <w:textAlignment w:val="baseline"/>
    </w:pPr>
    <w:rPr>
      <w:rFonts w:ascii="宋体"/>
      <w:b/>
      <w:color w:val="000000"/>
      <w:kern w:val="0"/>
      <w:sz w:val="24"/>
      <w:szCs w:val="20"/>
      <w:u w:color="000000"/>
    </w:rPr>
  </w:style>
  <w:style w:type="paragraph" w:customStyle="1" w:styleId="2084">
    <w:name w:val="表格_dg"/>
    <w:basedOn w:val="1"/>
    <w:qFormat/>
    <w:uiPriority w:val="0"/>
    <w:pPr>
      <w:widowControl/>
      <w:adjustRightInd/>
      <w:snapToGrid/>
      <w:spacing w:line="572" w:lineRule="atLeast"/>
      <w:ind w:firstLine="419" w:firstLineChars="0"/>
      <w:jc w:val="center"/>
      <w:textAlignment w:val="center"/>
    </w:pPr>
    <w:rPr>
      <w:rFonts w:ascii="宋体"/>
      <w:color w:val="000000"/>
      <w:kern w:val="0"/>
      <w:sz w:val="21"/>
      <w:szCs w:val="20"/>
      <w:u w:color="000000"/>
    </w:rPr>
  </w:style>
  <w:style w:type="paragraph" w:customStyle="1" w:styleId="2085">
    <w:name w:val="!标题1(alt+1)"/>
    <w:basedOn w:val="2069"/>
    <w:next w:val="1"/>
    <w:qFormat/>
    <w:uiPriority w:val="0"/>
    <w:pPr>
      <w:spacing w:line="440" w:lineRule="exact"/>
      <w:jc w:val="both"/>
      <w:outlineLvl w:val="9"/>
    </w:pPr>
    <w:rPr>
      <w:rFonts w:ascii="Times New Roman" w:hAnsi="Times New Roman" w:eastAsia="宋体"/>
      <w:b/>
      <w:sz w:val="24"/>
    </w:rPr>
  </w:style>
  <w:style w:type="paragraph" w:customStyle="1" w:styleId="2086">
    <w:name w:val="!标题2(alt+2)"/>
    <w:next w:val="1"/>
    <w:qFormat/>
    <w:uiPriority w:val="0"/>
    <w:pPr>
      <w:jc w:val="both"/>
    </w:pPr>
    <w:rPr>
      <w:rFonts w:ascii="Times New Roman" w:hAnsi="Times New Roman" w:eastAsia="宋体" w:cs="Times New Roman"/>
      <w:b/>
      <w:bCs/>
      <w:color w:val="000000"/>
      <w:sz w:val="24"/>
      <w:szCs w:val="24"/>
      <w:lang w:val="en-US" w:eastAsia="zh-CN" w:bidi="ar-SA"/>
    </w:rPr>
  </w:style>
  <w:style w:type="character" w:customStyle="1" w:styleId="2087">
    <w:name w:val="!标题2(alt+2) Char Char"/>
    <w:qFormat/>
    <w:uiPriority w:val="0"/>
    <w:rPr>
      <w:rFonts w:eastAsia="宋体"/>
      <w:kern w:val="2"/>
      <w:sz w:val="30"/>
      <w:szCs w:val="30"/>
      <w:lang w:val="en-US" w:eastAsia="zh-CN" w:bidi="ar-SA"/>
    </w:rPr>
  </w:style>
  <w:style w:type="paragraph" w:customStyle="1" w:styleId="2088">
    <w:name w:val="!标题3(alt+3)"/>
    <w:next w:val="1"/>
    <w:qFormat/>
    <w:uiPriority w:val="0"/>
    <w:pPr>
      <w:spacing w:before="120" w:after="80" w:line="500" w:lineRule="exact"/>
      <w:outlineLvl w:val="2"/>
    </w:pPr>
    <w:rPr>
      <w:rFonts w:ascii="Times New Roman" w:hAnsi="Times New Roman" w:eastAsia="黑体" w:cs="Times New Roman"/>
      <w:kern w:val="2"/>
      <w:sz w:val="24"/>
      <w:szCs w:val="24"/>
      <w:lang w:val="en-US" w:eastAsia="zh-CN" w:bidi="ar-SA"/>
    </w:rPr>
  </w:style>
  <w:style w:type="character" w:customStyle="1" w:styleId="2089">
    <w:name w:val="!标题3(alt+3) Char Char"/>
    <w:qFormat/>
    <w:uiPriority w:val="0"/>
    <w:rPr>
      <w:rFonts w:eastAsia="黑体"/>
      <w:kern w:val="2"/>
      <w:sz w:val="24"/>
      <w:szCs w:val="24"/>
      <w:lang w:val="en-US" w:eastAsia="zh-CN" w:bidi="ar-SA"/>
    </w:rPr>
  </w:style>
  <w:style w:type="paragraph" w:customStyle="1" w:styleId="2090">
    <w:name w:val="!标题4(alt+4)"/>
    <w:basedOn w:val="1"/>
    <w:qFormat/>
    <w:uiPriority w:val="0"/>
    <w:pPr>
      <w:tabs>
        <w:tab w:val="left" w:pos="1825"/>
      </w:tabs>
      <w:adjustRightInd/>
      <w:snapToGrid/>
      <w:spacing w:line="420" w:lineRule="exact"/>
      <w:ind w:left="1825" w:hanging="420" w:firstLineChars="0"/>
      <w:jc w:val="both"/>
      <w:outlineLvl w:val="3"/>
    </w:pPr>
    <w:rPr>
      <w:sz w:val="24"/>
      <w:szCs w:val="24"/>
    </w:rPr>
  </w:style>
  <w:style w:type="paragraph" w:customStyle="1" w:styleId="2091">
    <w:name w:val="!表标题(alt+h)"/>
    <w:next w:val="1"/>
    <w:qFormat/>
    <w:uiPriority w:val="0"/>
    <w:pPr>
      <w:spacing w:after="78" w:line="440" w:lineRule="exact"/>
      <w:ind w:firstLine="480" w:firstLineChars="200"/>
      <w:jc w:val="center"/>
    </w:pPr>
    <w:rPr>
      <w:rFonts w:ascii="黑体" w:hAnsi="黑体" w:eastAsia="黑体" w:cs="Times New Roman"/>
      <w:bCs/>
      <w:sz w:val="24"/>
      <w:szCs w:val="28"/>
      <w:lang w:val="en-US" w:eastAsia="zh-CN" w:bidi="ar-SA"/>
    </w:rPr>
  </w:style>
  <w:style w:type="character" w:customStyle="1" w:styleId="2092">
    <w:name w:val="!表标题(alt+h) Char"/>
    <w:qFormat/>
    <w:uiPriority w:val="0"/>
    <w:rPr>
      <w:rFonts w:eastAsia="黑体"/>
      <w:sz w:val="24"/>
      <w:szCs w:val="24"/>
      <w:lang w:val="en-US" w:eastAsia="zh-CN" w:bidi="ar-SA"/>
    </w:rPr>
  </w:style>
  <w:style w:type="character" w:customStyle="1" w:styleId="2093">
    <w:name w:val="!表格(alt+t) Char"/>
    <w:qFormat/>
    <w:uiPriority w:val="0"/>
    <w:rPr>
      <w:rFonts w:eastAsia="宋体"/>
      <w:sz w:val="21"/>
      <w:szCs w:val="21"/>
      <w:lang w:val="en-US" w:eastAsia="zh-CN" w:bidi="ar-SA"/>
    </w:rPr>
  </w:style>
  <w:style w:type="character" w:customStyle="1" w:styleId="2094">
    <w:name w:val="!正文(alt+c) Char"/>
    <w:qFormat/>
    <w:uiPriority w:val="0"/>
    <w:rPr>
      <w:rFonts w:eastAsia="宋体"/>
      <w:sz w:val="24"/>
      <w:szCs w:val="24"/>
      <w:lang w:val="en-US" w:eastAsia="zh-CN" w:bidi="ar-SA"/>
    </w:rPr>
  </w:style>
  <w:style w:type="character" w:customStyle="1" w:styleId="2095">
    <w:name w:val="!注_字符(alt+p)"/>
    <w:qFormat/>
    <w:uiPriority w:val="0"/>
    <w:rPr>
      <w:rFonts w:eastAsia="宋体"/>
      <w:sz w:val="21"/>
    </w:rPr>
  </w:style>
  <w:style w:type="paragraph" w:customStyle="1" w:styleId="2096">
    <w:name w:val="gg_body"/>
    <w:basedOn w:val="1"/>
    <w:qFormat/>
    <w:uiPriority w:val="0"/>
    <w:pPr>
      <w:adjustRightInd/>
      <w:snapToGrid/>
      <w:spacing w:line="460" w:lineRule="exact"/>
      <w:jc w:val="both"/>
    </w:pPr>
    <w:rPr>
      <w:rFonts w:ascii="宋体" w:hAnsi="宋体"/>
      <w:sz w:val="24"/>
      <w:szCs w:val="24"/>
    </w:rPr>
  </w:style>
  <w:style w:type="character" w:customStyle="1" w:styleId="2097">
    <w:name w:val="!正文(alt+c) Char1"/>
    <w:qFormat/>
    <w:uiPriority w:val="0"/>
    <w:rPr>
      <w:rFonts w:eastAsia="宋体"/>
      <w:sz w:val="24"/>
      <w:szCs w:val="24"/>
      <w:lang w:val="en-US" w:eastAsia="zh-CN" w:bidi="ar-SA"/>
    </w:rPr>
  </w:style>
  <w:style w:type="character" w:customStyle="1" w:styleId="2098">
    <w:name w:val="!表标题(alt+h) Char2"/>
    <w:qFormat/>
    <w:uiPriority w:val="0"/>
    <w:rPr>
      <w:rFonts w:hint="eastAsia" w:ascii="黑体" w:eastAsia="黑体"/>
      <w:color w:val="000000"/>
      <w:sz w:val="24"/>
      <w:szCs w:val="24"/>
      <w:lang w:val="en-US" w:eastAsia="zh-CN" w:bidi="ar-SA"/>
    </w:rPr>
  </w:style>
  <w:style w:type="character" w:customStyle="1" w:styleId="2099">
    <w:name w:val="!表标题(alt+h) Char1"/>
    <w:qFormat/>
    <w:uiPriority w:val="0"/>
    <w:rPr>
      <w:rFonts w:eastAsia="黑体"/>
      <w:sz w:val="24"/>
      <w:szCs w:val="24"/>
      <w:lang w:val="en-US" w:eastAsia="zh-CN" w:bidi="ar-SA"/>
    </w:rPr>
  </w:style>
  <w:style w:type="paragraph" w:customStyle="1" w:styleId="2100">
    <w:name w:val="样式 !正文(alt+c) + 首行缩进:  2 字符"/>
    <w:basedOn w:val="2067"/>
    <w:qFormat/>
    <w:uiPriority w:val="0"/>
    <w:pPr>
      <w:spacing w:line="440" w:lineRule="exact"/>
    </w:pPr>
    <w:rPr>
      <w:color w:val="000000"/>
      <w:szCs w:val="20"/>
    </w:rPr>
  </w:style>
  <w:style w:type="paragraph" w:customStyle="1" w:styleId="2101">
    <w:name w:val="表5号字"/>
    <w:qFormat/>
    <w:uiPriority w:val="0"/>
    <w:pPr>
      <w:keepNext/>
      <w:widowControl w:val="0"/>
      <w:adjustRightInd w:val="0"/>
      <w:spacing w:before="120" w:line="60" w:lineRule="atLeast"/>
      <w:jc w:val="center"/>
      <w:textAlignment w:val="baseline"/>
    </w:pPr>
    <w:rPr>
      <w:rFonts w:ascii="Times New Roman" w:hAnsi="Times New Roman" w:eastAsia="宋体" w:cs="Times New Roman"/>
      <w:sz w:val="21"/>
      <w:lang w:val="en-US" w:eastAsia="zh-CN" w:bidi="ar-SA"/>
    </w:rPr>
  </w:style>
  <w:style w:type="character" w:customStyle="1" w:styleId="2102">
    <w:name w:val="正文4号 Char Char"/>
    <w:qFormat/>
    <w:uiPriority w:val="0"/>
    <w:rPr>
      <w:rFonts w:eastAsia="宋体"/>
      <w:kern w:val="2"/>
      <w:sz w:val="24"/>
      <w:lang w:val="en-US" w:eastAsia="zh-CN" w:bidi="ar-SA"/>
    </w:rPr>
  </w:style>
  <w:style w:type="paragraph" w:customStyle="1" w:styleId="2103">
    <w:name w:val="pa-4"/>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character" w:customStyle="1" w:styleId="2104">
    <w:name w:val="ca-51"/>
    <w:basedOn w:val="132"/>
    <w:qFormat/>
    <w:uiPriority w:val="0"/>
  </w:style>
  <w:style w:type="paragraph" w:customStyle="1" w:styleId="2105">
    <w:name w:val="样式 行距: 固定值 18 磅 首行缩进:  2 字符"/>
    <w:basedOn w:val="1"/>
    <w:qFormat/>
    <w:uiPriority w:val="0"/>
    <w:pPr>
      <w:adjustRightInd/>
      <w:snapToGrid/>
      <w:spacing w:line="360" w:lineRule="auto"/>
      <w:ind w:firstLine="420"/>
      <w:jc w:val="both"/>
    </w:pPr>
    <w:rPr>
      <w:rFonts w:cs="宋体"/>
      <w:sz w:val="24"/>
      <w:szCs w:val="20"/>
    </w:rPr>
  </w:style>
  <w:style w:type="paragraph" w:customStyle="1" w:styleId="2106">
    <w:name w:val="Char11"/>
    <w:basedOn w:val="1"/>
    <w:qFormat/>
    <w:uiPriority w:val="0"/>
    <w:pPr>
      <w:adjustRightInd/>
      <w:snapToGrid/>
      <w:spacing w:line="240" w:lineRule="auto"/>
      <w:ind w:left="510" w:firstLine="0" w:firstLineChars="0"/>
      <w:jc w:val="both"/>
    </w:pPr>
    <w:rPr>
      <w:sz w:val="21"/>
      <w:szCs w:val="21"/>
    </w:rPr>
  </w:style>
  <w:style w:type="paragraph" w:customStyle="1" w:styleId="2107">
    <w:name w:val="Char Char Char1 Char Char Char Char"/>
    <w:basedOn w:val="1"/>
    <w:semiHidden/>
    <w:qFormat/>
    <w:uiPriority w:val="0"/>
    <w:pPr>
      <w:spacing w:line="360" w:lineRule="auto"/>
      <w:jc w:val="both"/>
    </w:pPr>
    <w:rPr>
      <w:rFonts w:ascii="宋体" w:hAnsi="宋体" w:cs="宋体"/>
      <w:sz w:val="24"/>
      <w:szCs w:val="26"/>
    </w:rPr>
  </w:style>
  <w:style w:type="character" w:customStyle="1" w:styleId="2108">
    <w:name w:val="question-title2"/>
    <w:basedOn w:val="132"/>
    <w:qFormat/>
    <w:uiPriority w:val="0"/>
  </w:style>
  <w:style w:type="paragraph" w:customStyle="1" w:styleId="2109">
    <w:name w:val="cucd-1"/>
    <w:next w:val="2024"/>
    <w:qFormat/>
    <w:uiPriority w:val="0"/>
    <w:pPr>
      <w:pageBreakBefore/>
      <w:tabs>
        <w:tab w:val="left" w:pos="425"/>
      </w:tabs>
      <w:spacing w:beforeLines="100" w:afterLines="50" w:line="360" w:lineRule="auto"/>
      <w:ind w:left="425" w:hanging="425"/>
      <w:jc w:val="center"/>
      <w:outlineLvl w:val="0"/>
    </w:pPr>
    <w:rPr>
      <w:rFonts w:ascii="Times New Roman" w:hAnsi="Times New Roman" w:eastAsia="黑体" w:cs="Times New Roman"/>
      <w:b/>
      <w:kern w:val="2"/>
      <w:sz w:val="36"/>
      <w:szCs w:val="24"/>
      <w:lang w:val="en-US" w:eastAsia="zh-CN" w:bidi="ar-SA"/>
    </w:rPr>
  </w:style>
  <w:style w:type="character" w:customStyle="1" w:styleId="2110">
    <w:name w:val="cucd-3 Char1"/>
    <w:qFormat/>
    <w:uiPriority w:val="0"/>
    <w:rPr>
      <w:rFonts w:eastAsia="宋体"/>
      <w:b/>
      <w:kern w:val="2"/>
      <w:sz w:val="28"/>
      <w:szCs w:val="24"/>
      <w:lang w:val="en-US" w:eastAsia="zh-CN" w:bidi="ar-SA"/>
    </w:rPr>
  </w:style>
  <w:style w:type="paragraph" w:customStyle="1" w:styleId="2111">
    <w:name w:val="样式 标题 3 + 段后: 0.5 行"/>
    <w:basedOn w:val="5"/>
    <w:qFormat/>
    <w:uiPriority w:val="0"/>
    <w:pPr>
      <w:keepNext/>
      <w:keepLines/>
      <w:widowControl w:val="0"/>
      <w:tabs>
        <w:tab w:val="left" w:pos="1260"/>
        <w:tab w:val="clear" w:pos="0"/>
      </w:tabs>
      <w:adjustRightInd/>
      <w:snapToGrid/>
      <w:spacing w:afterLines="50"/>
      <w:ind w:firstLine="200"/>
    </w:pPr>
    <w:rPr>
      <w:rFonts w:eastAsia="黑体" w:cs="宋体"/>
      <w:b w:val="0"/>
      <w:snapToGrid/>
      <w:szCs w:val="20"/>
    </w:rPr>
  </w:style>
  <w:style w:type="paragraph" w:customStyle="1" w:styleId="2112">
    <w:name w:val="样式 cucd-0 + 宋体"/>
    <w:basedOn w:val="1"/>
    <w:qFormat/>
    <w:uiPriority w:val="0"/>
    <w:pPr>
      <w:widowControl/>
      <w:adjustRightInd/>
      <w:snapToGrid/>
      <w:spacing w:line="360" w:lineRule="auto"/>
      <w:ind w:firstLine="480"/>
    </w:pPr>
    <w:rPr>
      <w:rFonts w:ascii="宋体" w:hAnsi="宋体"/>
      <w:sz w:val="24"/>
      <w:szCs w:val="24"/>
    </w:rPr>
  </w:style>
  <w:style w:type="paragraph" w:customStyle="1" w:styleId="2113">
    <w:name w:val="reader-word-layer reader-word-s1-8"/>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114">
    <w:name w:val="CM23"/>
    <w:basedOn w:val="201"/>
    <w:next w:val="201"/>
    <w:qFormat/>
    <w:uiPriority w:val="0"/>
    <w:pPr>
      <w:spacing w:line="573" w:lineRule="atLeast"/>
    </w:pPr>
    <w:rPr>
      <w:rFonts w:ascii="黑体" w:eastAsia="黑体" w:cs="Times New Roman"/>
      <w:color w:val="auto"/>
      <w:sz w:val="20"/>
    </w:rPr>
  </w:style>
  <w:style w:type="character" w:customStyle="1" w:styleId="2115">
    <w:name w:val="Body Text Indent Char"/>
    <w:semiHidden/>
    <w:qFormat/>
    <w:locked/>
    <w:uiPriority w:val="0"/>
    <w:rPr>
      <w:rFonts w:ascii="Times New Roman" w:hAnsi="Times New Roman" w:eastAsia="宋体" w:cs="Times New Roman"/>
      <w:color w:val="FF0000"/>
      <w:sz w:val="20"/>
      <w:szCs w:val="20"/>
    </w:rPr>
  </w:style>
  <w:style w:type="paragraph" w:customStyle="1" w:styleId="2116">
    <w:name w:val="三亚标3"/>
    <w:basedOn w:val="1"/>
    <w:qFormat/>
    <w:uiPriority w:val="0"/>
    <w:pPr>
      <w:keepNext/>
      <w:keepLines/>
      <w:adjustRightInd/>
      <w:snapToGrid/>
      <w:spacing w:before="260" w:after="260" w:line="413" w:lineRule="auto"/>
      <w:ind w:firstLine="0" w:firstLineChars="0"/>
      <w:outlineLvl w:val="1"/>
    </w:pPr>
    <w:rPr>
      <w:b/>
      <w:bCs/>
      <w:kern w:val="0"/>
      <w:sz w:val="24"/>
      <w:szCs w:val="32"/>
    </w:rPr>
  </w:style>
  <w:style w:type="paragraph" w:customStyle="1" w:styleId="2117">
    <w:name w:val="CM80"/>
    <w:basedOn w:val="201"/>
    <w:next w:val="201"/>
    <w:qFormat/>
    <w:uiPriority w:val="0"/>
    <w:pPr>
      <w:spacing w:after="68"/>
    </w:pPr>
    <w:rPr>
      <w:rFonts w:cs="Times New Roman"/>
      <w:color w:val="auto"/>
    </w:rPr>
  </w:style>
  <w:style w:type="character" w:customStyle="1" w:styleId="2118">
    <w:name w:val="cucd-0 Char Char"/>
    <w:qFormat/>
    <w:locked/>
    <w:uiPriority w:val="0"/>
    <w:rPr>
      <w:kern w:val="2"/>
      <w:sz w:val="24"/>
      <w:szCs w:val="24"/>
    </w:rPr>
  </w:style>
  <w:style w:type="character" w:customStyle="1" w:styleId="2119">
    <w:name w:val="标准样式 Char Char"/>
    <w:link w:val="2120"/>
    <w:qFormat/>
    <w:uiPriority w:val="0"/>
    <w:rPr>
      <w:rFonts w:eastAsia="仿宋_GB2312"/>
      <w:kern w:val="28"/>
      <w:sz w:val="28"/>
      <w:szCs w:val="28"/>
    </w:rPr>
  </w:style>
  <w:style w:type="paragraph" w:customStyle="1" w:styleId="2120">
    <w:name w:val="标准样式"/>
    <w:basedOn w:val="1"/>
    <w:link w:val="2119"/>
    <w:qFormat/>
    <w:uiPriority w:val="0"/>
    <w:pPr>
      <w:topLinePunct/>
      <w:adjustRightInd/>
      <w:snapToGrid/>
      <w:spacing w:line="360" w:lineRule="auto"/>
      <w:ind w:firstLine="560"/>
    </w:pPr>
    <w:rPr>
      <w:rFonts w:ascii="Calibri" w:hAnsi="Calibri" w:eastAsia="仿宋_GB2312"/>
      <w:kern w:val="28"/>
      <w:sz w:val="28"/>
      <w:szCs w:val="28"/>
    </w:rPr>
  </w:style>
  <w:style w:type="character" w:customStyle="1" w:styleId="2121">
    <w:name w:val="公正文 Char"/>
    <w:link w:val="2122"/>
    <w:qFormat/>
    <w:locked/>
    <w:uiPriority w:val="0"/>
    <w:rPr>
      <w:rFonts w:ascii="宋体" w:hAnsi="宋体" w:eastAsia="仿宋_GB2312"/>
      <w:sz w:val="28"/>
      <w:szCs w:val="24"/>
    </w:rPr>
  </w:style>
  <w:style w:type="paragraph" w:customStyle="1" w:styleId="2122">
    <w:name w:val="公正文"/>
    <w:basedOn w:val="21"/>
    <w:link w:val="2121"/>
    <w:qFormat/>
    <w:uiPriority w:val="0"/>
    <w:pPr>
      <w:adjustRightInd w:val="0"/>
      <w:snapToGrid w:val="0"/>
      <w:spacing w:line="355" w:lineRule="auto"/>
      <w:ind w:firstLine="200" w:firstLineChars="200"/>
      <w:jc w:val="both"/>
    </w:pPr>
    <w:rPr>
      <w:rFonts w:ascii="宋体" w:hAnsi="宋体" w:eastAsia="仿宋_GB2312"/>
      <w:b w:val="0"/>
      <w:color w:val="auto"/>
      <w:sz w:val="28"/>
    </w:rPr>
  </w:style>
  <w:style w:type="character" w:customStyle="1" w:styleId="2123">
    <w:name w:val="Char Char9"/>
    <w:qFormat/>
    <w:uiPriority w:val="0"/>
    <w:rPr>
      <w:rFonts w:ascii="Times New Roman" w:hAnsi="Times New Roman" w:eastAsia="宋体" w:cs="Times New Roman"/>
      <w:szCs w:val="24"/>
    </w:rPr>
  </w:style>
  <w:style w:type="paragraph" w:customStyle="1" w:styleId="2124">
    <w:name w:val="正文文本缩进 31"/>
    <w:basedOn w:val="1"/>
    <w:qFormat/>
    <w:uiPriority w:val="0"/>
    <w:pPr>
      <w:adjustRightInd/>
      <w:snapToGrid/>
      <w:spacing w:after="120" w:line="240" w:lineRule="auto"/>
      <w:ind w:left="420" w:leftChars="200" w:firstLine="0" w:firstLineChars="0"/>
      <w:jc w:val="both"/>
    </w:pPr>
    <w:rPr>
      <w:sz w:val="16"/>
      <w:szCs w:val="16"/>
    </w:rPr>
  </w:style>
  <w:style w:type="paragraph" w:customStyle="1" w:styleId="2125">
    <w:name w:val="修订2"/>
    <w:hidden/>
    <w:semiHidden/>
    <w:qFormat/>
    <w:uiPriority w:val="99"/>
    <w:rPr>
      <w:rFonts w:ascii="Times New Roman" w:hAnsi="Times New Roman" w:eastAsia="宋体" w:cs="Times New Roman"/>
      <w:kern w:val="2"/>
      <w:sz w:val="21"/>
      <w:szCs w:val="24"/>
      <w:lang w:val="en-US" w:eastAsia="zh-CN" w:bidi="ar-SA"/>
    </w:rPr>
  </w:style>
  <w:style w:type="character" w:customStyle="1" w:styleId="2126">
    <w:name w:val="description6"/>
    <w:basedOn w:val="132"/>
    <w:qFormat/>
    <w:uiPriority w:val="0"/>
  </w:style>
  <w:style w:type="paragraph" w:customStyle="1" w:styleId="2127">
    <w:name w:val="_Style 4"/>
    <w:basedOn w:val="1"/>
    <w:qFormat/>
    <w:uiPriority w:val="0"/>
    <w:pPr>
      <w:widowControl/>
      <w:adjustRightInd/>
      <w:snapToGrid/>
      <w:spacing w:after="160" w:line="240" w:lineRule="exact"/>
      <w:ind w:firstLine="0" w:firstLineChars="0"/>
    </w:pPr>
    <w:rPr>
      <w:color w:val="000000"/>
      <w:sz w:val="24"/>
      <w:szCs w:val="24"/>
    </w:rPr>
  </w:style>
  <w:style w:type="character" w:customStyle="1" w:styleId="2128">
    <w:name w:val="环评正文2 Char Char"/>
    <w:link w:val="2129"/>
    <w:qFormat/>
    <w:uiPriority w:val="0"/>
    <w:rPr>
      <w:rFonts w:ascii="宋体" w:hAnsi="宋体" w:eastAsia="仿宋_GB2312"/>
      <w:color w:val="000000"/>
      <w:kern w:val="16"/>
      <w:sz w:val="24"/>
      <w:szCs w:val="24"/>
    </w:rPr>
  </w:style>
  <w:style w:type="paragraph" w:customStyle="1" w:styleId="2129">
    <w:name w:val="环评正文2"/>
    <w:basedOn w:val="1"/>
    <w:link w:val="2128"/>
    <w:qFormat/>
    <w:uiPriority w:val="0"/>
    <w:pPr>
      <w:adjustRightInd/>
      <w:snapToGrid/>
      <w:spacing w:line="360" w:lineRule="auto"/>
      <w:jc w:val="both"/>
    </w:pPr>
    <w:rPr>
      <w:rFonts w:ascii="宋体" w:hAnsi="宋体" w:eastAsia="仿宋_GB2312"/>
      <w:color w:val="000000"/>
      <w:kern w:val="16"/>
      <w:sz w:val="24"/>
      <w:szCs w:val="24"/>
    </w:rPr>
  </w:style>
  <w:style w:type="paragraph" w:customStyle="1" w:styleId="2130">
    <w:name w:val="表格字2"/>
    <w:basedOn w:val="1"/>
    <w:qFormat/>
    <w:uiPriority w:val="0"/>
    <w:pPr>
      <w:adjustRightInd/>
      <w:snapToGrid/>
      <w:spacing w:line="240" w:lineRule="auto"/>
      <w:ind w:firstLine="0" w:firstLineChars="0"/>
      <w:jc w:val="both"/>
    </w:pPr>
    <w:rPr>
      <w:rFonts w:ascii="宋体" w:hAnsi="宋体"/>
      <w:color w:val="000000"/>
      <w:kern w:val="16"/>
      <w:sz w:val="21"/>
      <w:szCs w:val="21"/>
    </w:rPr>
  </w:style>
  <w:style w:type="character" w:customStyle="1" w:styleId="2131">
    <w:name w:val="fontstyle31"/>
    <w:qFormat/>
    <w:uiPriority w:val="0"/>
    <w:rPr>
      <w:rFonts w:hint="default" w:ascii="TimesNewRoman" w:hAnsi="TimesNewRoman"/>
      <w:b/>
      <w:bCs/>
      <w:color w:val="000000"/>
      <w:sz w:val="24"/>
      <w:szCs w:val="24"/>
    </w:rPr>
  </w:style>
  <w:style w:type="character" w:customStyle="1" w:styleId="2132">
    <w:name w:val="二级条标题 Char Char"/>
    <w:qFormat/>
    <w:uiPriority w:val="0"/>
    <w:rPr>
      <w:rFonts w:ascii="黑体" w:eastAsia="黑体"/>
      <w:sz w:val="21"/>
      <w:lang w:val="en-US" w:eastAsia="zh-CN" w:bidi="ar-SA"/>
    </w:rPr>
  </w:style>
  <w:style w:type="paragraph" w:customStyle="1" w:styleId="2133">
    <w:name w:val="Char Char Char Char Char Char Char Char Char Char Char Char4"/>
    <w:basedOn w:val="1"/>
    <w:qFormat/>
    <w:uiPriority w:val="0"/>
    <w:pPr>
      <w:widowControl/>
      <w:tabs>
        <w:tab w:val="left" w:pos="540"/>
        <w:tab w:val="left" w:pos="1800"/>
      </w:tabs>
      <w:spacing w:before="120" w:after="160" w:line="240" w:lineRule="exact"/>
      <w:ind w:firstLine="480"/>
    </w:pPr>
    <w:rPr>
      <w:sz w:val="24"/>
    </w:rPr>
  </w:style>
  <w:style w:type="paragraph" w:customStyle="1" w:styleId="2134">
    <w:name w:val="正文14"/>
    <w:qFormat/>
    <w:uiPriority w:val="0"/>
    <w:pPr>
      <w:jc w:val="both"/>
    </w:pPr>
    <w:rPr>
      <w:rFonts w:ascii="Times New Roman" w:hAnsi="Times New Roman" w:eastAsia="宋体" w:cs="Times New Roman"/>
      <w:kern w:val="2"/>
      <w:sz w:val="21"/>
      <w:szCs w:val="21"/>
      <w:lang w:val="en-US" w:eastAsia="zh-CN" w:bidi="ar-SA"/>
    </w:rPr>
  </w:style>
  <w:style w:type="paragraph" w:customStyle="1" w:styleId="2135">
    <w:name w:val="Char Char Char Char Char Char Char Char Char Char Char Char7"/>
    <w:basedOn w:val="1"/>
    <w:semiHidden/>
    <w:qFormat/>
    <w:uiPriority w:val="0"/>
    <w:pPr>
      <w:widowControl/>
      <w:tabs>
        <w:tab w:val="left" w:pos="540"/>
        <w:tab w:val="left" w:pos="1800"/>
      </w:tabs>
      <w:spacing w:before="120" w:after="160" w:line="240" w:lineRule="exact"/>
      <w:ind w:firstLine="480"/>
    </w:pPr>
    <w:rPr>
      <w:sz w:val="24"/>
    </w:rPr>
  </w:style>
  <w:style w:type="paragraph" w:customStyle="1" w:styleId="2136">
    <w:name w:val="表格内字体"/>
    <w:basedOn w:val="1"/>
    <w:link w:val="2137"/>
    <w:qFormat/>
    <w:uiPriority w:val="0"/>
    <w:pPr>
      <w:adjustRightInd/>
      <w:snapToGrid/>
      <w:spacing w:line="240" w:lineRule="auto"/>
      <w:ind w:firstLine="0" w:firstLineChars="0"/>
      <w:jc w:val="center"/>
    </w:pPr>
    <w:rPr>
      <w:sz w:val="21"/>
      <w:szCs w:val="18"/>
    </w:rPr>
  </w:style>
  <w:style w:type="character" w:customStyle="1" w:styleId="2137">
    <w:name w:val="表格内字体 Char"/>
    <w:link w:val="2136"/>
    <w:qFormat/>
    <w:uiPriority w:val="0"/>
    <w:rPr>
      <w:rFonts w:ascii="Times New Roman" w:hAnsi="Times New Roman"/>
      <w:kern w:val="2"/>
      <w:sz w:val="21"/>
      <w:szCs w:val="18"/>
    </w:rPr>
  </w:style>
  <w:style w:type="paragraph" w:customStyle="1" w:styleId="2138">
    <w:name w:val="标题44"/>
    <w:basedOn w:val="1"/>
    <w:link w:val="2140"/>
    <w:qFormat/>
    <w:uiPriority w:val="0"/>
    <w:pPr>
      <w:adjustRightInd/>
      <w:snapToGrid/>
      <w:spacing w:line="360" w:lineRule="auto"/>
      <w:ind w:firstLine="0" w:firstLineChars="0"/>
      <w:outlineLvl w:val="3"/>
    </w:pPr>
    <w:rPr>
      <w:b/>
      <w:sz w:val="24"/>
      <w:szCs w:val="24"/>
    </w:rPr>
  </w:style>
  <w:style w:type="table" w:customStyle="1" w:styleId="2139">
    <w:name w:val="专业网格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140">
    <w:name w:val="标题44 Char"/>
    <w:link w:val="2138"/>
    <w:qFormat/>
    <w:uiPriority w:val="0"/>
    <w:rPr>
      <w:rFonts w:ascii="Times New Roman" w:hAnsi="Times New Roman"/>
      <w:b/>
      <w:kern w:val="2"/>
      <w:sz w:val="24"/>
      <w:szCs w:val="24"/>
    </w:rPr>
  </w:style>
  <w:style w:type="paragraph" w:customStyle="1" w:styleId="2141">
    <w:name w:val="表头字体"/>
    <w:basedOn w:val="1"/>
    <w:link w:val="2197"/>
    <w:qFormat/>
    <w:uiPriority w:val="0"/>
    <w:pPr>
      <w:spacing w:beforeLines="50" w:line="240" w:lineRule="auto"/>
      <w:ind w:firstLine="0" w:firstLineChars="0"/>
      <w:jc w:val="center"/>
    </w:pPr>
    <w:rPr>
      <w:b/>
      <w:sz w:val="24"/>
      <w:szCs w:val="24"/>
    </w:rPr>
  </w:style>
  <w:style w:type="table" w:customStyle="1" w:styleId="2142">
    <w:name w:val="网格型 1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2143">
    <w:name w:val="网格型 51"/>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character" w:customStyle="1" w:styleId="2144">
    <w:name w:val="WJ表格 Char"/>
    <w:link w:val="2145"/>
    <w:qFormat/>
    <w:uiPriority w:val="0"/>
    <w:rPr>
      <w:rFonts w:ascii="宋体" w:hAnsi="宋体"/>
      <w:color w:val="000000"/>
      <w:szCs w:val="24"/>
    </w:rPr>
  </w:style>
  <w:style w:type="paragraph" w:customStyle="1" w:styleId="2145">
    <w:name w:val="WJ表格"/>
    <w:basedOn w:val="1"/>
    <w:next w:val="1"/>
    <w:link w:val="2144"/>
    <w:qFormat/>
    <w:uiPriority w:val="0"/>
    <w:pPr>
      <w:tabs>
        <w:tab w:val="left" w:pos="600"/>
      </w:tabs>
      <w:adjustRightInd/>
      <w:snapToGrid/>
      <w:spacing w:line="240" w:lineRule="auto"/>
      <w:ind w:firstLine="0" w:firstLineChars="0"/>
      <w:jc w:val="center"/>
    </w:pPr>
    <w:rPr>
      <w:rFonts w:ascii="宋体" w:hAnsi="宋体"/>
      <w:color w:val="000000"/>
      <w:kern w:val="0"/>
      <w:sz w:val="20"/>
      <w:szCs w:val="24"/>
    </w:rPr>
  </w:style>
  <w:style w:type="character" w:customStyle="1" w:styleId="2146">
    <w:name w:val="WJ标题3 Char"/>
    <w:link w:val="2147"/>
    <w:qFormat/>
    <w:uiPriority w:val="0"/>
    <w:rPr>
      <w:rFonts w:ascii="宋体" w:hAnsi="宋体"/>
      <w:color w:val="000000"/>
      <w:sz w:val="24"/>
      <w:szCs w:val="24"/>
    </w:rPr>
  </w:style>
  <w:style w:type="paragraph" w:customStyle="1" w:styleId="2147">
    <w:name w:val="WJ标题3"/>
    <w:basedOn w:val="4"/>
    <w:link w:val="2146"/>
    <w:qFormat/>
    <w:uiPriority w:val="0"/>
    <w:pPr>
      <w:keepNext/>
      <w:keepLines/>
      <w:widowControl w:val="0"/>
      <w:tabs>
        <w:tab w:val="clear" w:pos="0"/>
      </w:tabs>
      <w:spacing w:beforeLines="0" w:afterLines="0" w:line="415" w:lineRule="auto"/>
      <w:jc w:val="both"/>
    </w:pPr>
    <w:rPr>
      <w:rFonts w:ascii="宋体" w:hAnsi="宋体"/>
      <w:b w:val="0"/>
      <w:bCs w:val="0"/>
      <w:snapToGrid/>
      <w:color w:val="000000"/>
      <w:kern w:val="0"/>
      <w:sz w:val="24"/>
      <w:szCs w:val="24"/>
    </w:rPr>
  </w:style>
  <w:style w:type="character" w:customStyle="1" w:styleId="2148">
    <w:name w:val="WJ正文 Char"/>
    <w:link w:val="2149"/>
    <w:qFormat/>
    <w:uiPriority w:val="0"/>
    <w:rPr>
      <w:rFonts w:ascii="宋体" w:hAnsi="宋体"/>
      <w:color w:val="000000"/>
      <w:sz w:val="24"/>
      <w:szCs w:val="24"/>
    </w:rPr>
  </w:style>
  <w:style w:type="paragraph" w:customStyle="1" w:styleId="2149">
    <w:name w:val="WJ正文"/>
    <w:basedOn w:val="1"/>
    <w:next w:val="1"/>
    <w:link w:val="2148"/>
    <w:qFormat/>
    <w:uiPriority w:val="0"/>
    <w:pPr>
      <w:tabs>
        <w:tab w:val="left" w:pos="600"/>
      </w:tabs>
      <w:adjustRightInd/>
      <w:snapToGrid/>
      <w:spacing w:line="360" w:lineRule="auto"/>
      <w:jc w:val="both"/>
    </w:pPr>
    <w:rPr>
      <w:rFonts w:ascii="宋体" w:hAnsi="宋体"/>
      <w:color w:val="000000"/>
      <w:kern w:val="0"/>
      <w:sz w:val="24"/>
      <w:szCs w:val="24"/>
    </w:rPr>
  </w:style>
  <w:style w:type="paragraph" w:customStyle="1" w:styleId="2150">
    <w:name w:val="正文文本 22"/>
    <w:basedOn w:val="1"/>
    <w:qFormat/>
    <w:uiPriority w:val="0"/>
    <w:pPr>
      <w:tabs>
        <w:tab w:val="left" w:pos="567"/>
      </w:tabs>
      <w:snapToGrid/>
      <w:spacing w:line="410" w:lineRule="atLeast"/>
      <w:ind w:firstLine="480" w:firstLineChars="0"/>
      <w:jc w:val="both"/>
      <w:textAlignment w:val="baseline"/>
    </w:pPr>
    <w:rPr>
      <w:rFonts w:ascii="宋体"/>
      <w:kern w:val="0"/>
      <w:sz w:val="24"/>
      <w:szCs w:val="20"/>
    </w:rPr>
  </w:style>
  <w:style w:type="paragraph" w:customStyle="1" w:styleId="2151">
    <w:name w:val="纯文本5"/>
    <w:basedOn w:val="1"/>
    <w:qFormat/>
    <w:uiPriority w:val="0"/>
    <w:pPr>
      <w:snapToGrid/>
      <w:spacing w:line="240" w:lineRule="auto"/>
      <w:ind w:firstLine="0" w:firstLineChars="0"/>
      <w:jc w:val="both"/>
      <w:textAlignment w:val="baseline"/>
    </w:pPr>
    <w:rPr>
      <w:rFonts w:ascii="宋体" w:hAnsi="Courier New"/>
      <w:sz w:val="21"/>
      <w:szCs w:val="20"/>
    </w:rPr>
  </w:style>
  <w:style w:type="paragraph" w:customStyle="1" w:styleId="2152">
    <w:name w:val="默认段落字体 Para Char Char Char Char Char Char Char Char Char Char Char Char Char"/>
    <w:basedOn w:val="1"/>
    <w:qFormat/>
    <w:uiPriority w:val="0"/>
    <w:pPr>
      <w:adjustRightInd/>
      <w:snapToGrid/>
      <w:spacing w:line="240" w:lineRule="auto"/>
      <w:ind w:firstLine="0" w:firstLineChars="0"/>
      <w:jc w:val="both"/>
    </w:pPr>
    <w:rPr>
      <w:sz w:val="21"/>
      <w:szCs w:val="24"/>
    </w:rPr>
  </w:style>
  <w:style w:type="paragraph" w:customStyle="1" w:styleId="2153">
    <w:name w:val="basic eng. doc."/>
    <w:basedOn w:val="1"/>
    <w:qFormat/>
    <w:uiPriority w:val="0"/>
    <w:pPr>
      <w:spacing w:line="240" w:lineRule="auto"/>
      <w:ind w:left="200" w:leftChars="200" w:firstLine="0" w:firstLineChars="0"/>
      <w:jc w:val="both"/>
    </w:pPr>
    <w:rPr>
      <w:rFonts w:hint="eastAsia" w:ascii="宋体" w:hAnsi="宋体"/>
      <w:kern w:val="0"/>
      <w:sz w:val="21"/>
      <w:szCs w:val="32"/>
    </w:rPr>
  </w:style>
  <w:style w:type="paragraph" w:customStyle="1" w:styleId="2154">
    <w:name w:val="默认段落字体 Char Char Char"/>
    <w:basedOn w:val="1"/>
    <w:qFormat/>
    <w:uiPriority w:val="0"/>
    <w:pPr>
      <w:adjustRightInd/>
      <w:snapToGrid/>
      <w:spacing w:line="240" w:lineRule="auto"/>
      <w:ind w:firstLine="0" w:firstLineChars="0"/>
      <w:jc w:val="both"/>
    </w:pPr>
    <w:rPr>
      <w:sz w:val="24"/>
      <w:szCs w:val="24"/>
    </w:rPr>
  </w:style>
  <w:style w:type="paragraph" w:customStyle="1" w:styleId="2155">
    <w:name w:val="日期5"/>
    <w:basedOn w:val="1"/>
    <w:next w:val="1"/>
    <w:qFormat/>
    <w:uiPriority w:val="0"/>
    <w:pPr>
      <w:snapToGrid/>
      <w:spacing w:line="240" w:lineRule="auto"/>
      <w:ind w:firstLine="0" w:firstLineChars="0"/>
      <w:textAlignment w:val="baseline"/>
    </w:pPr>
    <w:rPr>
      <w:rFonts w:ascii="宋体"/>
      <w:spacing w:val="24"/>
      <w:kern w:val="24"/>
      <w:sz w:val="24"/>
      <w:szCs w:val="20"/>
    </w:rPr>
  </w:style>
  <w:style w:type="character" w:customStyle="1" w:styleId="2156">
    <w:name w:val="标题 1 Char Char Char Char1"/>
    <w:qFormat/>
    <w:uiPriority w:val="0"/>
    <w:rPr>
      <w:rFonts w:eastAsia="宋体"/>
      <w:b/>
      <w:bCs/>
      <w:kern w:val="44"/>
      <w:sz w:val="44"/>
      <w:szCs w:val="44"/>
      <w:lang w:val="en-US" w:eastAsia="zh-CN" w:bidi="ar-SA"/>
    </w:rPr>
  </w:style>
  <w:style w:type="paragraph" w:customStyle="1" w:styleId="2157">
    <w:name w:val="puce"/>
    <w:basedOn w:val="1"/>
    <w:qFormat/>
    <w:uiPriority w:val="0"/>
    <w:pPr>
      <w:widowControl/>
      <w:tabs>
        <w:tab w:val="left" w:pos="1040"/>
      </w:tabs>
      <w:spacing w:before="120" w:after="120" w:line="240" w:lineRule="auto"/>
      <w:ind w:left="1020" w:hanging="340" w:firstLineChars="0"/>
      <w:jc w:val="both"/>
    </w:pPr>
    <w:rPr>
      <w:rFonts w:ascii="Arial" w:hAnsi="Arial"/>
      <w:kern w:val="0"/>
      <w:sz w:val="24"/>
      <w:szCs w:val="20"/>
    </w:rPr>
  </w:style>
  <w:style w:type="paragraph" w:customStyle="1" w:styleId="2158">
    <w:name w:val="ENUM"/>
    <w:basedOn w:val="1"/>
    <w:qFormat/>
    <w:uiPriority w:val="0"/>
    <w:pPr>
      <w:widowControl/>
      <w:tabs>
        <w:tab w:val="left" w:pos="1418"/>
      </w:tabs>
      <w:adjustRightInd/>
      <w:snapToGrid/>
      <w:spacing w:before="60" w:after="60" w:line="240" w:lineRule="auto"/>
      <w:ind w:left="1418" w:hanging="284"/>
      <w:jc w:val="both"/>
    </w:pPr>
    <w:rPr>
      <w:rFonts w:ascii="Arial" w:hAnsi="Arial"/>
      <w:kern w:val="0"/>
      <w:sz w:val="22"/>
      <w:szCs w:val="20"/>
      <w:lang w:val="en-GB"/>
    </w:rPr>
  </w:style>
  <w:style w:type="character" w:customStyle="1" w:styleId="2159">
    <w:name w:val="style81"/>
    <w:qFormat/>
    <w:uiPriority w:val="0"/>
    <w:rPr>
      <w:sz w:val="24"/>
      <w:szCs w:val="24"/>
    </w:rPr>
  </w:style>
  <w:style w:type="paragraph" w:customStyle="1" w:styleId="2160">
    <w:name w:val="小标题2"/>
    <w:basedOn w:val="1"/>
    <w:qFormat/>
    <w:uiPriority w:val="0"/>
    <w:pPr>
      <w:adjustRightInd/>
      <w:snapToGrid/>
      <w:spacing w:line="336" w:lineRule="auto"/>
      <w:ind w:firstLine="0" w:firstLineChars="0"/>
      <w:jc w:val="both"/>
    </w:pPr>
    <w:rPr>
      <w:b/>
      <w:bCs/>
      <w:sz w:val="24"/>
      <w:szCs w:val="24"/>
    </w:rPr>
  </w:style>
  <w:style w:type="character" w:customStyle="1" w:styleId="2161">
    <w:name w:val="f141"/>
    <w:qFormat/>
    <w:uiPriority w:val="0"/>
    <w:rPr>
      <w:sz w:val="21"/>
      <w:szCs w:val="21"/>
    </w:rPr>
  </w:style>
  <w:style w:type="paragraph" w:customStyle="1" w:styleId="2162">
    <w:name w:val="BG1"/>
    <w:basedOn w:val="1"/>
    <w:qFormat/>
    <w:uiPriority w:val="0"/>
    <w:pPr>
      <w:adjustRightInd/>
      <w:spacing w:line="240" w:lineRule="auto"/>
      <w:ind w:firstLine="0" w:firstLineChars="0"/>
      <w:jc w:val="center"/>
    </w:pPr>
    <w:rPr>
      <w:color w:val="000000"/>
      <w:sz w:val="21"/>
      <w:szCs w:val="24"/>
    </w:rPr>
  </w:style>
  <w:style w:type="paragraph" w:customStyle="1" w:styleId="2163">
    <w:name w:val="表格名称"/>
    <w:basedOn w:val="1"/>
    <w:next w:val="1"/>
    <w:qFormat/>
    <w:uiPriority w:val="0"/>
    <w:pPr>
      <w:adjustRightInd/>
      <w:snapToGrid/>
      <w:spacing w:line="300" w:lineRule="auto"/>
      <w:ind w:firstLine="0" w:firstLineChars="0"/>
      <w:jc w:val="center"/>
    </w:pPr>
    <w:rPr>
      <w:rFonts w:eastAsia="黑体"/>
      <w:bCs/>
      <w:sz w:val="24"/>
      <w:szCs w:val="24"/>
    </w:rPr>
  </w:style>
  <w:style w:type="paragraph" w:customStyle="1" w:styleId="2164">
    <w:name w:val="图标字体"/>
    <w:basedOn w:val="1"/>
    <w:link w:val="2224"/>
    <w:qFormat/>
    <w:uiPriority w:val="0"/>
    <w:pPr>
      <w:tabs>
        <w:tab w:val="left" w:pos="660"/>
      </w:tabs>
      <w:spacing w:afterLines="50" w:line="240" w:lineRule="auto"/>
      <w:ind w:firstLine="0" w:firstLineChars="0"/>
      <w:jc w:val="center"/>
    </w:pPr>
    <w:rPr>
      <w:b/>
      <w:sz w:val="24"/>
      <w:szCs w:val="26"/>
    </w:rPr>
  </w:style>
  <w:style w:type="character" w:customStyle="1" w:styleId="2165">
    <w:name w:val="表头 Char1"/>
    <w:qFormat/>
    <w:uiPriority w:val="0"/>
    <w:rPr>
      <w:rFonts w:eastAsia="黑体"/>
      <w:b/>
      <w:kern w:val="2"/>
      <w:sz w:val="24"/>
      <w:szCs w:val="24"/>
      <w:lang w:val="en-US" w:eastAsia="zh-CN" w:bidi="ar-SA"/>
    </w:rPr>
  </w:style>
  <w:style w:type="paragraph" w:customStyle="1" w:styleId="2166">
    <w:name w:val="表 头"/>
    <w:basedOn w:val="1"/>
    <w:qFormat/>
    <w:uiPriority w:val="0"/>
    <w:pPr>
      <w:snapToGrid/>
      <w:spacing w:before="120" w:after="120" w:line="360" w:lineRule="atLeast"/>
      <w:ind w:firstLine="0" w:firstLineChars="0"/>
      <w:jc w:val="center"/>
    </w:pPr>
    <w:rPr>
      <w:rFonts w:eastAsia="黑体"/>
      <w:spacing w:val="10"/>
      <w:kern w:val="0"/>
      <w:sz w:val="24"/>
      <w:szCs w:val="20"/>
    </w:rPr>
  </w:style>
  <w:style w:type="character" w:customStyle="1" w:styleId="2167">
    <w:name w:val="neirong1"/>
    <w:qFormat/>
    <w:uiPriority w:val="0"/>
    <w:rPr>
      <w:sz w:val="21"/>
      <w:szCs w:val="21"/>
    </w:rPr>
  </w:style>
  <w:style w:type="character" w:customStyle="1" w:styleId="2168">
    <w:name w:val="表字 Char"/>
    <w:link w:val="454"/>
    <w:qFormat/>
    <w:uiPriority w:val="0"/>
    <w:rPr>
      <w:rFonts w:ascii="宋体" w:hAnsi="Times New Roman"/>
      <w:color w:val="000000"/>
      <w:sz w:val="21"/>
    </w:rPr>
  </w:style>
  <w:style w:type="character" w:customStyle="1" w:styleId="2169">
    <w:name w:val="标题 3 Char Char1"/>
    <w:qFormat/>
    <w:uiPriority w:val="0"/>
    <w:rPr>
      <w:rFonts w:eastAsia="宋体"/>
      <w:b/>
      <w:bCs/>
      <w:kern w:val="2"/>
      <w:sz w:val="32"/>
      <w:szCs w:val="32"/>
      <w:lang w:val="en-US" w:eastAsia="zh-CN" w:bidi="ar-SA"/>
    </w:rPr>
  </w:style>
  <w:style w:type="paragraph" w:customStyle="1" w:styleId="2170">
    <w:name w:val="表格居中"/>
    <w:qFormat/>
    <w:uiPriority w:val="0"/>
    <w:pPr>
      <w:widowControl w:val="0"/>
      <w:jc w:val="center"/>
    </w:pPr>
    <w:rPr>
      <w:rFonts w:hint="eastAsia" w:ascii="宋体" w:hAnsi="Arial" w:eastAsia="宋体" w:cs="Times New Roman"/>
      <w:kern w:val="2"/>
      <w:sz w:val="21"/>
      <w:lang w:val="en-US" w:eastAsia="zh-CN" w:bidi="ar-SA"/>
    </w:rPr>
  </w:style>
  <w:style w:type="paragraph" w:customStyle="1" w:styleId="2171">
    <w:name w:val="AFTERTITLE"/>
    <w:basedOn w:val="1"/>
    <w:qFormat/>
    <w:uiPriority w:val="0"/>
    <w:pPr>
      <w:widowControl/>
      <w:adjustRightInd/>
      <w:snapToGrid/>
      <w:spacing w:afterLines="25" w:line="360" w:lineRule="atLeast"/>
      <w:jc w:val="center"/>
    </w:pPr>
    <w:rPr>
      <w:b/>
      <w:caps/>
      <w:kern w:val="0"/>
      <w:sz w:val="24"/>
      <w:szCs w:val="20"/>
      <w:lang w:val="fr-FR"/>
    </w:rPr>
  </w:style>
  <w:style w:type="paragraph" w:customStyle="1" w:styleId="2172">
    <w:name w:val="正文图"/>
    <w:basedOn w:val="1"/>
    <w:qFormat/>
    <w:uiPriority w:val="0"/>
    <w:pPr>
      <w:spacing w:before="40" w:line="240" w:lineRule="auto"/>
      <w:ind w:firstLine="0" w:firstLineChars="0"/>
      <w:jc w:val="center"/>
      <w:textAlignment w:val="baseline"/>
    </w:pPr>
    <w:rPr>
      <w:rFonts w:ascii="宋体"/>
      <w:kern w:val="0"/>
      <w:sz w:val="24"/>
      <w:szCs w:val="20"/>
    </w:rPr>
  </w:style>
  <w:style w:type="paragraph" w:customStyle="1" w:styleId="2173">
    <w:name w:val="正文图五"/>
    <w:basedOn w:val="1"/>
    <w:qFormat/>
    <w:uiPriority w:val="0"/>
    <w:pPr>
      <w:spacing w:line="240" w:lineRule="auto"/>
      <w:ind w:firstLine="0" w:firstLineChars="0"/>
      <w:jc w:val="center"/>
    </w:pPr>
    <w:rPr>
      <w:rFonts w:ascii="仿宋_GB2312" w:hAnsi="华文宋体" w:eastAsia="仿宋_GB2312"/>
      <w:snapToGrid w:val="0"/>
      <w:spacing w:val="6"/>
      <w:sz w:val="18"/>
      <w:szCs w:val="18"/>
    </w:rPr>
  </w:style>
  <w:style w:type="paragraph" w:customStyle="1" w:styleId="2174">
    <w:name w:val="样式 标题 2 + 宋体 小四"/>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paragraph" w:customStyle="1" w:styleId="2175">
    <w:name w:val="样式 小四 首行缩进:  2.5 字符"/>
    <w:basedOn w:val="1"/>
    <w:qFormat/>
    <w:uiPriority w:val="0"/>
    <w:pPr>
      <w:adjustRightInd/>
      <w:snapToGrid/>
      <w:spacing w:afterLines="25" w:line="240" w:lineRule="auto"/>
      <w:jc w:val="both"/>
    </w:pPr>
    <w:rPr>
      <w:sz w:val="24"/>
      <w:szCs w:val="20"/>
    </w:rPr>
  </w:style>
  <w:style w:type="paragraph" w:customStyle="1" w:styleId="2176">
    <w:name w:val="样式2 Char Char"/>
    <w:basedOn w:val="21"/>
    <w:qFormat/>
    <w:uiPriority w:val="0"/>
    <w:pPr>
      <w:widowControl/>
      <w:tabs>
        <w:tab w:val="left" w:pos="3360"/>
      </w:tabs>
      <w:adjustRightInd w:val="0"/>
      <w:snapToGrid w:val="0"/>
      <w:spacing w:line="360" w:lineRule="auto"/>
      <w:ind w:left="-2" w:leftChars="-1" w:firstLine="567"/>
      <w:jc w:val="both"/>
      <w:textAlignment w:val="baseline"/>
    </w:pPr>
    <w:rPr>
      <w:rFonts w:ascii="Arial" w:hAnsi="Arial" w:cs="Arial"/>
      <w:b w:val="0"/>
      <w:bCs/>
      <w:color w:val="auto"/>
      <w:spacing w:val="6"/>
      <w:kern w:val="2"/>
    </w:rPr>
  </w:style>
  <w:style w:type="paragraph" w:customStyle="1" w:styleId="2177">
    <w:name w:val="正文图五左"/>
    <w:basedOn w:val="2173"/>
    <w:qFormat/>
    <w:uiPriority w:val="0"/>
  </w:style>
  <w:style w:type="paragraph" w:customStyle="1" w:styleId="2178">
    <w:name w:val="生物附录"/>
    <w:qFormat/>
    <w:uiPriority w:val="0"/>
    <w:pPr>
      <w:jc w:val="both"/>
    </w:pPr>
    <w:rPr>
      <w:rFonts w:ascii="Times New Roman" w:hAnsi="Times New Roman" w:eastAsia="宋体" w:cs="Times New Roman"/>
      <w:b/>
      <w:spacing w:val="20"/>
      <w:sz w:val="28"/>
      <w:lang w:val="en-US" w:eastAsia="zh-CN" w:bidi="ar-SA"/>
    </w:rPr>
  </w:style>
  <w:style w:type="character" w:customStyle="1" w:styleId="2179">
    <w:name w:val="样式 标题 1 + 黑体 四号 非加粗 Char"/>
    <w:qFormat/>
    <w:uiPriority w:val="0"/>
    <w:rPr>
      <w:rFonts w:eastAsia="黑体"/>
      <w:bCs/>
      <w:kern w:val="44"/>
      <w:sz w:val="28"/>
      <w:szCs w:val="28"/>
      <w:lang w:val="en-US" w:eastAsia="zh-CN" w:bidi="ar-SA"/>
    </w:rPr>
  </w:style>
  <w:style w:type="character" w:customStyle="1" w:styleId="2180">
    <w:name w:val="样式 标题 2 + 仿宋_GB2312 四号 非加粗 Char"/>
    <w:qFormat/>
    <w:uiPriority w:val="0"/>
    <w:rPr>
      <w:rFonts w:eastAsia="仿宋_GB2312"/>
      <w:bCs/>
      <w:kern w:val="2"/>
      <w:sz w:val="28"/>
      <w:szCs w:val="28"/>
      <w:lang w:val="en-US" w:eastAsia="zh-CN" w:bidi="ar-SA"/>
    </w:rPr>
  </w:style>
  <w:style w:type="paragraph" w:customStyle="1" w:styleId="2181">
    <w:name w:val="样式 正文文本缩进特点标题表内左齐 + 首行缩进:  2 字符"/>
    <w:basedOn w:val="35"/>
    <w:qFormat/>
    <w:uiPriority w:val="0"/>
    <w:pPr>
      <w:spacing w:line="360" w:lineRule="auto"/>
    </w:pPr>
    <w:rPr>
      <w:rFonts w:eastAsia="仿宋_GB2312"/>
      <w:snapToGrid w:val="0"/>
      <w:color w:val="000000"/>
      <w:spacing w:val="4"/>
      <w:kern w:val="0"/>
      <w:sz w:val="24"/>
      <w:szCs w:val="24"/>
    </w:rPr>
  </w:style>
  <w:style w:type="character" w:customStyle="1" w:styleId="2182">
    <w:name w:val="样式 标题 3 + 小四 非加粗 Char"/>
    <w:qFormat/>
    <w:uiPriority w:val="0"/>
    <w:rPr>
      <w:rFonts w:eastAsia="仿宋_GB2312"/>
      <w:b/>
      <w:bCs/>
      <w:kern w:val="2"/>
      <w:sz w:val="24"/>
      <w:szCs w:val="24"/>
      <w:lang w:val="en-US" w:eastAsia="zh-CN" w:bidi="ar-SA"/>
    </w:rPr>
  </w:style>
  <w:style w:type="character" w:customStyle="1" w:styleId="2183">
    <w:name w:val="样式 标题 2 + (西文) Times New Roman (中文) 仿宋_GB2312 四号 非加粗 Char"/>
    <w:qFormat/>
    <w:uiPriority w:val="0"/>
    <w:rPr>
      <w:rFonts w:eastAsia="仿宋_GB2312"/>
      <w:bCs/>
      <w:kern w:val="2"/>
      <w:sz w:val="28"/>
      <w:szCs w:val="28"/>
      <w:lang w:val="en-US" w:eastAsia="zh-CN" w:bidi="ar-SA"/>
    </w:rPr>
  </w:style>
  <w:style w:type="character" w:customStyle="1" w:styleId="2184">
    <w:name w:val="样式 样式 样式 标题 2 + (西文) Times New Roman (中文) 仿宋_GB2312 四号 非加粗 + Ari... Char"/>
    <w:qFormat/>
    <w:uiPriority w:val="0"/>
    <w:rPr>
      <w:rFonts w:eastAsia="仿宋_GB2312"/>
      <w:bCs/>
      <w:kern w:val="2"/>
      <w:sz w:val="28"/>
      <w:szCs w:val="28"/>
      <w:lang w:val="en-US" w:eastAsia="zh-CN" w:bidi="ar-SA"/>
    </w:rPr>
  </w:style>
  <w:style w:type="paragraph" w:customStyle="1" w:styleId="2185">
    <w:name w:val="样式 标题 2 + 加粗 行距: 1.5 倍行距"/>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character" w:customStyle="1" w:styleId="2186">
    <w:name w:val="样式 样式 标题 3 + 小四 非加粗 + Char"/>
    <w:qFormat/>
    <w:uiPriority w:val="0"/>
  </w:style>
  <w:style w:type="character" w:customStyle="1" w:styleId="2187">
    <w:name w:val="样式 样式 样式 标题 3 + 小四 非加粗 + + Char"/>
    <w:qFormat/>
    <w:uiPriority w:val="0"/>
  </w:style>
  <w:style w:type="character" w:customStyle="1" w:styleId="2188">
    <w:name w:val="f9"/>
    <w:qFormat/>
    <w:uiPriority w:val="0"/>
    <w:rPr>
      <w:rFonts w:ascii="Times New Roman" w:hAnsi="Times New Roman" w:eastAsia="仿宋_GB2312"/>
      <w:sz w:val="24"/>
    </w:rPr>
  </w:style>
  <w:style w:type="paragraph" w:customStyle="1" w:styleId="2189">
    <w:name w:val="框图sq"/>
    <w:basedOn w:val="1"/>
    <w:qFormat/>
    <w:uiPriority w:val="0"/>
    <w:pPr>
      <w:snapToGrid/>
      <w:spacing w:line="0" w:lineRule="atLeast"/>
      <w:ind w:firstLine="0" w:firstLineChars="0"/>
      <w:jc w:val="both"/>
      <w:textAlignment w:val="baseline"/>
    </w:pPr>
    <w:rPr>
      <w:rFonts w:ascii="宋体"/>
      <w:kern w:val="0"/>
      <w:sz w:val="21"/>
      <w:szCs w:val="20"/>
    </w:rPr>
  </w:style>
  <w:style w:type="character" w:customStyle="1" w:styleId="2190">
    <w:name w:val="style1"/>
    <w:qFormat/>
    <w:uiPriority w:val="0"/>
  </w:style>
  <w:style w:type="paragraph" w:customStyle="1" w:styleId="2191">
    <w:name w:val="样式 正文文本缩进正文文字缩进特点标题表内左齐 + (中文) 仿宋_GB2312 11 磅 两端对齐 行距: 1.5..."/>
    <w:basedOn w:val="35"/>
    <w:qFormat/>
    <w:uiPriority w:val="0"/>
    <w:pPr>
      <w:autoSpaceDE w:val="0"/>
      <w:autoSpaceDN w:val="0"/>
      <w:spacing w:line="360" w:lineRule="auto"/>
      <w:ind w:firstLine="440"/>
    </w:pPr>
    <w:rPr>
      <w:rFonts w:eastAsia="仿宋_GB2312"/>
      <w:kern w:val="0"/>
      <w:sz w:val="22"/>
      <w:szCs w:val="24"/>
    </w:rPr>
  </w:style>
  <w:style w:type="paragraph" w:customStyle="1" w:styleId="2192">
    <w:name w:val="样式 正文文本缩进正文文字缩进特点标题表内左齐 + (中文) 仿宋_GB2312 11 磅 两端对齐 行距: 1.5...1"/>
    <w:basedOn w:val="35"/>
    <w:qFormat/>
    <w:uiPriority w:val="0"/>
    <w:pPr>
      <w:autoSpaceDE w:val="0"/>
      <w:autoSpaceDN w:val="0"/>
      <w:spacing w:line="360" w:lineRule="auto"/>
      <w:ind w:firstLine="440"/>
    </w:pPr>
    <w:rPr>
      <w:rFonts w:eastAsia="仿宋_GB2312"/>
      <w:kern w:val="0"/>
      <w:sz w:val="22"/>
      <w:szCs w:val="24"/>
    </w:rPr>
  </w:style>
  <w:style w:type="paragraph" w:customStyle="1" w:styleId="2193">
    <w:name w:val="样式 正文文字缩进 3 + (西文) Times New Roman (中文) 仿宋_GB2312 11 磅"/>
    <w:basedOn w:val="87"/>
    <w:next w:val="2192"/>
    <w:qFormat/>
    <w:uiPriority w:val="0"/>
    <w:pPr>
      <w:spacing w:line="312" w:lineRule="auto"/>
      <w:ind w:firstLine="330" w:firstLineChars="150"/>
      <w:textAlignment w:val="baseline"/>
    </w:pPr>
    <w:rPr>
      <w:rFonts w:ascii="Times New Roman" w:hAnsi="Arial"/>
      <w:snapToGrid w:val="0"/>
      <w:spacing w:val="6"/>
      <w:kern w:val="0"/>
      <w:sz w:val="22"/>
    </w:rPr>
  </w:style>
  <w:style w:type="paragraph" w:customStyle="1" w:styleId="2194">
    <w:name w:val="样式 正文文本缩进正文文字缩进特点标题表内左齐 + (中文) 仿宋_GB2312 11.5 磅 两端对齐 行距: 1..."/>
    <w:basedOn w:val="51"/>
    <w:qFormat/>
    <w:uiPriority w:val="0"/>
    <w:pPr>
      <w:widowControl/>
      <w:spacing w:beforeLines="0" w:afterLines="0" w:line="360" w:lineRule="auto"/>
      <w:ind w:left="0" w:leftChars="0" w:firstLine="460"/>
    </w:pPr>
    <w:rPr>
      <w:rFonts w:eastAsia="仿宋_GB2312"/>
      <w:kern w:val="0"/>
      <w:sz w:val="23"/>
      <w:szCs w:val="20"/>
    </w:rPr>
  </w:style>
  <w:style w:type="paragraph" w:customStyle="1" w:styleId="2195">
    <w:name w:val="标题正文"/>
    <w:basedOn w:val="1"/>
    <w:qFormat/>
    <w:uiPriority w:val="0"/>
    <w:pPr>
      <w:adjustRightInd/>
      <w:snapToGrid/>
      <w:spacing w:line="360" w:lineRule="auto"/>
      <w:ind w:firstLine="480"/>
      <w:jc w:val="both"/>
    </w:pPr>
    <w:rPr>
      <w:rFonts w:eastAsia="仿宋_GB2312"/>
      <w:sz w:val="24"/>
      <w:szCs w:val="20"/>
    </w:rPr>
  </w:style>
  <w:style w:type="paragraph" w:customStyle="1" w:styleId="2196">
    <w:name w:val="文本正文"/>
    <w:basedOn w:val="1"/>
    <w:qFormat/>
    <w:uiPriority w:val="0"/>
    <w:pPr>
      <w:adjustRightInd/>
      <w:snapToGrid/>
      <w:spacing w:line="360" w:lineRule="auto"/>
      <w:ind w:firstLine="480"/>
      <w:jc w:val="both"/>
    </w:pPr>
    <w:rPr>
      <w:rFonts w:eastAsia="仿宋_GB2312"/>
      <w:sz w:val="24"/>
      <w:szCs w:val="24"/>
    </w:rPr>
  </w:style>
  <w:style w:type="character" w:customStyle="1" w:styleId="2197">
    <w:name w:val="表头字体 Char"/>
    <w:link w:val="2141"/>
    <w:qFormat/>
    <w:uiPriority w:val="0"/>
    <w:rPr>
      <w:rFonts w:ascii="Times New Roman" w:hAnsi="Times New Roman"/>
      <w:b/>
      <w:kern w:val="2"/>
      <w:sz w:val="24"/>
      <w:szCs w:val="24"/>
    </w:rPr>
  </w:style>
  <w:style w:type="paragraph" w:customStyle="1" w:styleId="2198">
    <w:name w:val="样式 表头 + 两端对齐"/>
    <w:basedOn w:val="84"/>
    <w:qFormat/>
    <w:uiPriority w:val="0"/>
    <w:pPr>
      <w:keepNext/>
      <w:keepLines/>
      <w:spacing w:before="60"/>
      <w:ind w:firstLine="200" w:firstLineChars="200"/>
      <w:jc w:val="both"/>
    </w:pPr>
    <w:rPr>
      <w:rFonts w:eastAsia="仿宋_GB2312"/>
      <w:b/>
      <w:bCs w:val="0"/>
      <w:szCs w:val="20"/>
    </w:rPr>
  </w:style>
  <w:style w:type="character" w:customStyle="1" w:styleId="2199">
    <w:name w:val="unnamed1"/>
    <w:qFormat/>
    <w:uiPriority w:val="0"/>
  </w:style>
  <w:style w:type="paragraph" w:customStyle="1" w:styleId="2200">
    <w:name w:val="样式 表格文字 + 五号 黑色"/>
    <w:basedOn w:val="45"/>
    <w:qFormat/>
    <w:uiPriority w:val="0"/>
    <w:pPr>
      <w:spacing w:beforeLines="20" w:line="240" w:lineRule="atLeast"/>
      <w:textAlignment w:val="baseline"/>
    </w:pPr>
    <w:rPr>
      <w:rFonts w:ascii="Times New Roman" w:hAnsi="Times New Roman"/>
      <w:snapToGrid w:val="0"/>
      <w:color w:val="000000"/>
      <w:kern w:val="0"/>
    </w:rPr>
  </w:style>
  <w:style w:type="paragraph" w:customStyle="1" w:styleId="2201">
    <w:name w:val="样式 表标题 + 段前: 0.5 行"/>
    <w:basedOn w:val="447"/>
    <w:qFormat/>
    <w:uiPriority w:val="0"/>
    <w:pPr>
      <w:keepNext/>
      <w:keepLines/>
      <w:widowControl w:val="0"/>
      <w:adjustRightInd w:val="0"/>
      <w:snapToGrid w:val="0"/>
      <w:spacing w:line="348" w:lineRule="auto"/>
    </w:pPr>
    <w:rPr>
      <w:rFonts w:ascii="Times New Roman" w:hAnsi="Times New Roman" w:eastAsia="宋体"/>
      <w:b w:val="0"/>
      <w:bCs w:val="0"/>
      <w:snapToGrid w:val="0"/>
      <w:spacing w:val="0"/>
    </w:rPr>
  </w:style>
  <w:style w:type="character" w:customStyle="1" w:styleId="2202">
    <w:name w:val="标题 4 Char Char Char Char Char Char Char Char Char Char Char Char Char Char Char Char Char Char Char"/>
    <w:qFormat/>
    <w:uiPriority w:val="0"/>
    <w:rPr>
      <w:rFonts w:ascii="Arial" w:hAnsi="Arial" w:eastAsia="黑体"/>
      <w:b/>
      <w:bCs/>
      <w:snapToGrid w:val="0"/>
      <w:sz w:val="24"/>
      <w:szCs w:val="28"/>
      <w:lang w:val="en-US" w:eastAsia="zh-CN" w:bidi="ar-SA"/>
    </w:rPr>
  </w:style>
  <w:style w:type="paragraph" w:customStyle="1" w:styleId="2203">
    <w:name w:val="样式 标题 1 + 仿宋_GB2312 加粗 首行缩进:  2 字符"/>
    <w:basedOn w:val="3"/>
    <w:qFormat/>
    <w:uiPriority w:val="0"/>
    <w:pPr>
      <w:keepNext/>
      <w:keepLines/>
      <w:widowControl w:val="0"/>
      <w:numPr>
        <w:numId w:val="0"/>
      </w:numPr>
      <w:tabs>
        <w:tab w:val="clear" w:pos="0"/>
      </w:tabs>
      <w:adjustRightInd/>
      <w:snapToGrid/>
      <w:spacing w:beforeLines="0" w:afterLines="0" w:line="560" w:lineRule="exact"/>
    </w:pPr>
    <w:rPr>
      <w:bCs w:val="0"/>
      <w:snapToGrid/>
      <w:kern w:val="0"/>
      <w:sz w:val="30"/>
      <w:szCs w:val="30"/>
    </w:rPr>
  </w:style>
  <w:style w:type="paragraph" w:customStyle="1" w:styleId="2204">
    <w:name w:val="文本框五号 Char"/>
    <w:qFormat/>
    <w:uiPriority w:val="0"/>
    <w:pPr>
      <w:jc w:val="center"/>
    </w:pPr>
    <w:rPr>
      <w:rFonts w:ascii="Times New Roman" w:hAnsi="Times New Roman" w:eastAsia="仿宋_GB2312" w:cs="Times New Roman"/>
      <w:kern w:val="2"/>
      <w:sz w:val="21"/>
      <w:szCs w:val="21"/>
      <w:lang w:val="en-US" w:eastAsia="zh-CN" w:bidi="ar-SA"/>
    </w:rPr>
  </w:style>
  <w:style w:type="character" w:customStyle="1" w:styleId="2205">
    <w:name w:val="文本框五号 Char Char"/>
    <w:qFormat/>
    <w:uiPriority w:val="0"/>
    <w:rPr>
      <w:rFonts w:eastAsia="仿宋_GB2312"/>
      <w:kern w:val="2"/>
      <w:sz w:val="21"/>
      <w:szCs w:val="21"/>
      <w:lang w:val="en-US" w:eastAsia="zh-CN" w:bidi="ar-SA"/>
    </w:rPr>
  </w:style>
  <w:style w:type="paragraph" w:customStyle="1" w:styleId="2206">
    <w:name w:val="文本框5号两端齐"/>
    <w:basedOn w:val="2204"/>
    <w:qFormat/>
    <w:uiPriority w:val="0"/>
    <w:pPr>
      <w:jc w:val="both"/>
    </w:pPr>
    <w:rPr>
      <w:sz w:val="15"/>
      <w:szCs w:val="15"/>
    </w:rPr>
  </w:style>
  <w:style w:type="paragraph" w:customStyle="1" w:styleId="2207">
    <w:name w:val="码头表"/>
    <w:basedOn w:val="1"/>
    <w:qFormat/>
    <w:uiPriority w:val="0"/>
    <w:pPr>
      <w:adjustRightInd/>
      <w:snapToGrid/>
      <w:spacing w:line="240" w:lineRule="auto"/>
      <w:ind w:firstLine="0" w:firstLineChars="0"/>
      <w:jc w:val="center"/>
    </w:pPr>
    <w:rPr>
      <w:rFonts w:eastAsia="仿宋_GB2312"/>
      <w:color w:val="FF6600"/>
      <w:sz w:val="21"/>
      <w:szCs w:val="24"/>
    </w:rPr>
  </w:style>
  <w:style w:type="character" w:customStyle="1" w:styleId="2208">
    <w:name w:val="文本框五号 Char Char Char"/>
    <w:qFormat/>
    <w:uiPriority w:val="0"/>
    <w:rPr>
      <w:rFonts w:eastAsia="仿宋_GB2312"/>
      <w:kern w:val="2"/>
      <w:sz w:val="21"/>
      <w:szCs w:val="21"/>
      <w:lang w:val="en-US" w:eastAsia="zh-CN" w:bidi="ar-SA"/>
    </w:rPr>
  </w:style>
  <w:style w:type="paragraph" w:customStyle="1" w:styleId="2209">
    <w:name w:val="文本框五号1.5倍行距"/>
    <w:basedOn w:val="2204"/>
    <w:qFormat/>
    <w:uiPriority w:val="0"/>
    <w:pPr>
      <w:spacing w:line="360" w:lineRule="auto"/>
    </w:pPr>
  </w:style>
  <w:style w:type="character" w:customStyle="1" w:styleId="2210">
    <w:name w:val="文本框五号1.5倍行距 Char"/>
    <w:qFormat/>
    <w:uiPriority w:val="0"/>
  </w:style>
  <w:style w:type="character" w:customStyle="1" w:styleId="2211">
    <w:name w:val="文本框五号 Char Char Char Char"/>
    <w:qFormat/>
    <w:uiPriority w:val="0"/>
    <w:rPr>
      <w:rFonts w:eastAsia="仿宋_GB2312"/>
      <w:kern w:val="2"/>
      <w:sz w:val="21"/>
      <w:szCs w:val="21"/>
      <w:lang w:val="en-US" w:eastAsia="zh-CN" w:bidi="ar-SA"/>
    </w:rPr>
  </w:style>
  <w:style w:type="character" w:customStyle="1" w:styleId="2212">
    <w:name w:val="文本框五号1.5倍行距 Char Char"/>
    <w:qFormat/>
    <w:uiPriority w:val="0"/>
    <w:rPr>
      <w:rFonts w:eastAsia="仿宋_GB2312"/>
      <w:kern w:val="2"/>
      <w:sz w:val="21"/>
      <w:szCs w:val="21"/>
      <w:lang w:val="en-US" w:eastAsia="zh-CN" w:bidi="ar-SA"/>
    </w:rPr>
  </w:style>
  <w:style w:type="paragraph" w:customStyle="1" w:styleId="2213">
    <w:name w:val="表格文字五"/>
    <w:basedOn w:val="1"/>
    <w:qFormat/>
    <w:uiPriority w:val="0"/>
    <w:pPr>
      <w:spacing w:beforeLines="20" w:afterLines="20" w:line="312" w:lineRule="auto"/>
      <w:ind w:firstLine="0" w:firstLineChars="0"/>
      <w:jc w:val="both"/>
    </w:pPr>
    <w:rPr>
      <w:rFonts w:eastAsia="仿宋_GB2312"/>
      <w:sz w:val="21"/>
      <w:szCs w:val="21"/>
    </w:rPr>
  </w:style>
  <w:style w:type="character" w:customStyle="1" w:styleId="2214">
    <w:name w:val="contenttext1"/>
    <w:qFormat/>
    <w:uiPriority w:val="0"/>
  </w:style>
  <w:style w:type="paragraph" w:customStyle="1" w:styleId="2215">
    <w:name w:val="表名称"/>
    <w:basedOn w:val="1"/>
    <w:qFormat/>
    <w:uiPriority w:val="0"/>
    <w:pPr>
      <w:tabs>
        <w:tab w:val="left" w:pos="-120"/>
      </w:tabs>
      <w:overflowPunct w:val="0"/>
      <w:topLinePunct/>
      <w:autoSpaceDE w:val="0"/>
      <w:spacing w:before="240" w:after="120" w:line="240" w:lineRule="atLeast"/>
      <w:ind w:firstLine="0" w:firstLineChars="0"/>
      <w:textAlignment w:val="baseline"/>
    </w:pPr>
    <w:rPr>
      <w:rFonts w:eastAsia="仿宋_GB2312"/>
      <w:spacing w:val="16"/>
      <w:kern w:val="0"/>
      <w:sz w:val="24"/>
      <w:szCs w:val="24"/>
    </w:rPr>
  </w:style>
  <w:style w:type="paragraph" w:customStyle="1" w:styleId="2216">
    <w:name w:val="样式 样式4 + 字距调整小四"/>
    <w:basedOn w:val="1"/>
    <w:qFormat/>
    <w:uiPriority w:val="0"/>
    <w:pPr>
      <w:adjustRightInd/>
      <w:snapToGrid/>
      <w:spacing w:line="240" w:lineRule="auto"/>
      <w:ind w:firstLine="0" w:firstLineChars="0"/>
      <w:jc w:val="both"/>
    </w:pPr>
    <w:rPr>
      <w:rFonts w:ascii="Arial" w:hAnsi="Arial" w:eastAsia="楷体_GB2312" w:cs="Arial"/>
      <w:kern w:val="24"/>
      <w:sz w:val="24"/>
      <w:szCs w:val="24"/>
    </w:rPr>
  </w:style>
  <w:style w:type="paragraph" w:customStyle="1" w:styleId="2217">
    <w:name w:val="表格五中"/>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paragraph" w:customStyle="1" w:styleId="2218">
    <w:name w:val="lff"/>
    <w:basedOn w:val="86"/>
    <w:qFormat/>
    <w:uiPriority w:val="0"/>
    <w:pPr>
      <w:adjustRightInd w:val="0"/>
      <w:snapToGrid w:val="0"/>
      <w:spacing w:after="0" w:line="360" w:lineRule="auto"/>
      <w:ind w:firstLine="200" w:firstLineChars="200"/>
    </w:pPr>
    <w:rPr>
      <w:rFonts w:eastAsia="仿宋_GB2312"/>
      <w:sz w:val="21"/>
      <w:szCs w:val="21"/>
    </w:rPr>
  </w:style>
  <w:style w:type="character" w:customStyle="1" w:styleId="2219">
    <w:name w:val="lff Char"/>
    <w:qFormat/>
    <w:uiPriority w:val="0"/>
    <w:rPr>
      <w:rFonts w:eastAsia="仿宋_GB2312"/>
      <w:color w:val="000000"/>
      <w:kern w:val="2"/>
      <w:sz w:val="21"/>
      <w:szCs w:val="21"/>
      <w:lang w:val="en-US" w:eastAsia="zh-CN" w:bidi="ar-SA"/>
    </w:rPr>
  </w:style>
  <w:style w:type="paragraph" w:customStyle="1" w:styleId="2220">
    <w:name w:val="编号4号"/>
    <w:basedOn w:val="1"/>
    <w:qFormat/>
    <w:uiPriority w:val="0"/>
    <w:pPr>
      <w:widowControl/>
      <w:adjustRightInd/>
      <w:spacing w:line="312" w:lineRule="auto"/>
      <w:ind w:firstLine="0" w:firstLineChars="0"/>
      <w:jc w:val="both"/>
    </w:pPr>
    <w:rPr>
      <w:rFonts w:ascii="Arial" w:hAnsi="Arial" w:cs="Arial"/>
      <w:sz w:val="21"/>
      <w:szCs w:val="24"/>
    </w:rPr>
  </w:style>
  <w:style w:type="character" w:customStyle="1" w:styleId="2221">
    <w:name w:val="td11"/>
    <w:qFormat/>
    <w:uiPriority w:val="0"/>
    <w:rPr>
      <w:rFonts w:hint="default" w:ascii="ˎ̥" w:hAnsi="ˎ̥"/>
      <w:color w:val="000000"/>
      <w:sz w:val="18"/>
      <w:szCs w:val="18"/>
    </w:rPr>
  </w:style>
  <w:style w:type="paragraph" w:customStyle="1" w:styleId="2222">
    <w:name w:val="tit"/>
    <w:basedOn w:val="1"/>
    <w:qFormat/>
    <w:uiPriority w:val="0"/>
    <w:pPr>
      <w:spacing w:line="240" w:lineRule="auto"/>
      <w:ind w:firstLine="0" w:firstLineChars="0"/>
      <w:jc w:val="center"/>
      <w:textAlignment w:val="baseline"/>
    </w:pPr>
    <w:rPr>
      <w:kern w:val="0"/>
      <w:sz w:val="21"/>
      <w:szCs w:val="20"/>
    </w:rPr>
  </w:style>
  <w:style w:type="paragraph" w:customStyle="1" w:styleId="2223">
    <w:name w:val="样式 标题 2节标题 1.1b21.1标题2h2l22nd levelTitre2Header 2标题2b2..."/>
    <w:basedOn w:val="4"/>
    <w:qFormat/>
    <w:uiPriority w:val="0"/>
    <w:pPr>
      <w:keepNext/>
      <w:keepLines/>
      <w:widowControl w:val="0"/>
      <w:tabs>
        <w:tab w:val="clear" w:pos="0"/>
      </w:tabs>
      <w:spacing w:beforeLines="0" w:afterLines="0" w:line="415" w:lineRule="auto"/>
      <w:jc w:val="both"/>
    </w:pPr>
    <w:rPr>
      <w:rFonts w:ascii="Arial" w:hAnsi="Arial"/>
      <w:snapToGrid/>
      <w:color w:val="000000"/>
      <w:sz w:val="32"/>
    </w:rPr>
  </w:style>
  <w:style w:type="character" w:customStyle="1" w:styleId="2224">
    <w:name w:val="图标字体 Char"/>
    <w:link w:val="2164"/>
    <w:qFormat/>
    <w:uiPriority w:val="0"/>
    <w:rPr>
      <w:rFonts w:ascii="Times New Roman" w:hAnsi="Times New Roman"/>
      <w:b/>
      <w:kern w:val="2"/>
      <w:sz w:val="24"/>
      <w:szCs w:val="26"/>
    </w:rPr>
  </w:style>
  <w:style w:type="paragraph" w:customStyle="1" w:styleId="2225">
    <w:name w:val="样式 样式 正文 楷体_GB2312 四号 行距: 固定值 30 磅 + 首行缩进:  2 字符1 + 首行缩进:  2 字符"/>
    <w:basedOn w:val="1"/>
    <w:qFormat/>
    <w:uiPriority w:val="0"/>
    <w:pPr>
      <w:spacing w:line="348" w:lineRule="auto"/>
      <w:ind w:firstLine="560"/>
      <w:jc w:val="center"/>
    </w:pPr>
    <w:rPr>
      <w:rFonts w:hAnsi="宋体"/>
      <w:color w:val="000000"/>
      <w:kern w:val="0"/>
      <w:sz w:val="28"/>
      <w:szCs w:val="20"/>
    </w:rPr>
  </w:style>
  <w:style w:type="character" w:customStyle="1" w:styleId="2226">
    <w:name w:val="highlight1"/>
    <w:qFormat/>
    <w:uiPriority w:val="0"/>
    <w:rPr>
      <w:sz w:val="21"/>
      <w:szCs w:val="21"/>
    </w:rPr>
  </w:style>
  <w:style w:type="paragraph" w:customStyle="1" w:styleId="2227">
    <w:name w:val="Char Char Char1 Char Char Char Char Char Char Char Char Char Char"/>
    <w:basedOn w:val="1"/>
    <w:semiHidden/>
    <w:qFormat/>
    <w:uiPriority w:val="0"/>
    <w:pPr>
      <w:spacing w:line="360" w:lineRule="auto"/>
      <w:jc w:val="both"/>
    </w:pPr>
    <w:rPr>
      <w:rFonts w:ascii="宋体" w:hAnsi="宋体" w:cs="宋体"/>
      <w:sz w:val="24"/>
      <w:szCs w:val="26"/>
    </w:rPr>
  </w:style>
  <w:style w:type="table" w:customStyle="1" w:styleId="2228">
    <w:name w:val="网格型1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29">
    <w:name w:val="正文首行缩进2"/>
    <w:basedOn w:val="34"/>
    <w:qFormat/>
    <w:uiPriority w:val="0"/>
    <w:pPr>
      <w:snapToGrid/>
      <w:spacing w:beforeLines="0" w:line="312" w:lineRule="auto"/>
      <w:ind w:firstLine="567"/>
      <w:jc w:val="left"/>
      <w:textAlignment w:val="baseline"/>
    </w:pPr>
    <w:rPr>
      <w:snapToGrid/>
      <w:sz w:val="28"/>
      <w:szCs w:val="20"/>
    </w:rPr>
  </w:style>
  <w:style w:type="paragraph" w:customStyle="1" w:styleId="2230">
    <w:name w:val="Body Text First Indent2"/>
    <w:basedOn w:val="34"/>
    <w:qFormat/>
    <w:uiPriority w:val="0"/>
    <w:pPr>
      <w:snapToGrid/>
      <w:spacing w:beforeLines="0" w:line="312" w:lineRule="auto"/>
      <w:ind w:firstLine="567"/>
      <w:textAlignment w:val="baseline"/>
    </w:pPr>
    <w:rPr>
      <w:rFonts w:eastAsia="Wingdings"/>
      <w:snapToGrid/>
      <w:sz w:val="28"/>
      <w:szCs w:val="20"/>
    </w:rPr>
  </w:style>
  <w:style w:type="paragraph" w:customStyle="1" w:styleId="2231">
    <w:name w:val="Body Text First Indent1"/>
    <w:basedOn w:val="34"/>
    <w:qFormat/>
    <w:uiPriority w:val="0"/>
    <w:pPr>
      <w:snapToGrid/>
      <w:spacing w:beforeLines="0" w:line="480" w:lineRule="exact"/>
      <w:ind w:firstLine="567"/>
      <w:textAlignment w:val="baseline"/>
    </w:pPr>
    <w:rPr>
      <w:rFonts w:eastAsia="Wingdings"/>
      <w:snapToGrid/>
      <w:sz w:val="28"/>
      <w:szCs w:val="20"/>
    </w:rPr>
  </w:style>
  <w:style w:type="paragraph" w:customStyle="1" w:styleId="2232">
    <w:name w:val="正文文本缩进 21"/>
    <w:basedOn w:val="1"/>
    <w:qFormat/>
    <w:uiPriority w:val="0"/>
    <w:pPr>
      <w:snapToGrid/>
      <w:spacing w:line="348" w:lineRule="auto"/>
      <w:ind w:firstLine="573" w:firstLineChars="0"/>
      <w:jc w:val="both"/>
      <w:textAlignment w:val="baseline"/>
    </w:pPr>
    <w:rPr>
      <w:rFonts w:eastAsia="Wingdings"/>
      <w:sz w:val="28"/>
      <w:szCs w:val="20"/>
    </w:rPr>
  </w:style>
  <w:style w:type="paragraph" w:customStyle="1" w:styleId="2233">
    <w:name w:val="标题样式"/>
    <w:basedOn w:val="2043"/>
    <w:qFormat/>
    <w:uiPriority w:val="0"/>
    <w:pPr>
      <w:spacing w:line="240" w:lineRule="auto"/>
      <w:ind w:firstLine="0" w:firstLineChars="0"/>
    </w:pPr>
    <w:rPr>
      <w:rFonts w:ascii="Times New Roman" w:hAnsi="Times New Roman"/>
    </w:rPr>
  </w:style>
  <w:style w:type="paragraph" w:customStyle="1" w:styleId="2234">
    <w:name w:val="文档结构图1"/>
    <w:basedOn w:val="1"/>
    <w:qFormat/>
    <w:uiPriority w:val="0"/>
    <w:pPr>
      <w:shd w:val="clear" w:color="auto" w:fill="000080"/>
      <w:snapToGrid/>
      <w:spacing w:line="360" w:lineRule="atLeast"/>
      <w:ind w:firstLine="0" w:firstLineChars="0"/>
      <w:textAlignment w:val="baseline"/>
    </w:pPr>
    <w:rPr>
      <w:rFonts w:eastAsia="Wingdings"/>
      <w:kern w:val="0"/>
      <w:sz w:val="24"/>
      <w:szCs w:val="20"/>
    </w:rPr>
  </w:style>
  <w:style w:type="paragraph" w:customStyle="1" w:styleId="2235">
    <w:name w:val="样式 正文文本1 + 首行缩进:  2 字符2"/>
    <w:basedOn w:val="1"/>
    <w:qFormat/>
    <w:uiPriority w:val="0"/>
    <w:pPr>
      <w:spacing w:line="348" w:lineRule="auto"/>
      <w:ind w:firstLine="0" w:firstLineChars="0"/>
      <w:jc w:val="both"/>
    </w:pPr>
    <w:rPr>
      <w:sz w:val="28"/>
      <w:szCs w:val="20"/>
    </w:rPr>
  </w:style>
  <w:style w:type="paragraph" w:customStyle="1" w:styleId="2236">
    <w:name w:val="正文 楷体_GB2312 四号 行距: 固定值 30 磅"/>
    <w:basedOn w:val="1"/>
    <w:qFormat/>
    <w:uiPriority w:val="0"/>
    <w:pPr>
      <w:adjustRightInd/>
      <w:snapToGrid/>
      <w:spacing w:line="400" w:lineRule="exact"/>
      <w:ind w:firstLine="0" w:firstLineChars="0"/>
      <w:jc w:val="center"/>
    </w:pPr>
    <w:rPr>
      <w:rFonts w:ascii="Arial" w:hAnsi="Arial" w:cs="Arial"/>
      <w:sz w:val="21"/>
      <w:szCs w:val="21"/>
    </w:rPr>
  </w:style>
  <w:style w:type="paragraph" w:customStyle="1" w:styleId="2237">
    <w:name w:val="正文文本1"/>
    <w:basedOn w:val="1"/>
    <w:qFormat/>
    <w:uiPriority w:val="0"/>
    <w:pPr>
      <w:spacing w:line="348" w:lineRule="auto"/>
      <w:ind w:firstLine="560"/>
      <w:jc w:val="center"/>
    </w:pPr>
    <w:rPr>
      <w:rFonts w:ascii="宋体" w:hAnsi="华文宋体" w:cs="宋体"/>
      <w:w w:val="80"/>
      <w:sz w:val="28"/>
      <w:szCs w:val="20"/>
    </w:rPr>
  </w:style>
  <w:style w:type="character" w:customStyle="1" w:styleId="2238">
    <w:name w:val="正文文本1 Char"/>
    <w:qFormat/>
    <w:uiPriority w:val="0"/>
    <w:rPr>
      <w:rFonts w:ascii="宋体" w:hAnsi="华文宋体" w:eastAsia="宋体" w:cs="宋体"/>
      <w:w w:val="80"/>
      <w:kern w:val="2"/>
      <w:sz w:val="28"/>
      <w:lang w:val="en-US" w:eastAsia="zh-CN" w:bidi="ar-SA"/>
    </w:rPr>
  </w:style>
  <w:style w:type="character" w:customStyle="1" w:styleId="2239">
    <w:name w:val="da"/>
    <w:qFormat/>
    <w:uiPriority w:val="0"/>
  </w:style>
  <w:style w:type="paragraph" w:customStyle="1" w:styleId="2240">
    <w:name w:val="样式 正文首行缩进 + 段后: 0 磅"/>
    <w:basedOn w:val="86"/>
    <w:qFormat/>
    <w:uiPriority w:val="0"/>
    <w:pPr>
      <w:adjustRightInd w:val="0"/>
      <w:snapToGrid w:val="0"/>
      <w:spacing w:after="0" w:line="348" w:lineRule="auto"/>
      <w:ind w:firstLine="200" w:firstLineChars="200"/>
      <w:jc w:val="left"/>
      <w:textAlignment w:val="baseline"/>
    </w:pPr>
    <w:rPr>
      <w:rFonts w:cs="宋体"/>
      <w:snapToGrid w:val="0"/>
      <w:color w:val="auto"/>
      <w:kern w:val="0"/>
      <w:sz w:val="28"/>
      <w:szCs w:val="20"/>
    </w:rPr>
  </w:style>
  <w:style w:type="paragraph" w:customStyle="1" w:styleId="2241">
    <w:name w:val="样式 样式 正文文字 + 首行缩进:  2 字符 + 首行缩进:  2 字符"/>
    <w:basedOn w:val="1053"/>
    <w:qFormat/>
    <w:uiPriority w:val="0"/>
    <w:pPr>
      <w:widowControl w:val="0"/>
      <w:adjustRightInd/>
      <w:spacing w:line="348" w:lineRule="auto"/>
      <w:ind w:firstLine="200" w:firstLineChars="200"/>
      <w:jc w:val="both"/>
    </w:pPr>
    <w:rPr>
      <w:rFonts w:ascii="Times New Roman" w:hAnsi="Times New Roman"/>
      <w:b w:val="0"/>
      <w:snapToGrid w:val="0"/>
      <w:sz w:val="28"/>
      <w:szCs w:val="28"/>
      <w:lang w:bidi="ar-SA"/>
    </w:rPr>
  </w:style>
  <w:style w:type="paragraph" w:customStyle="1" w:styleId="2242">
    <w:name w:val="正文首行缩进:  2 字符"/>
    <w:basedOn w:val="2240"/>
    <w:qFormat/>
    <w:uiPriority w:val="0"/>
    <w:pPr>
      <w:ind w:firstLine="560"/>
    </w:pPr>
  </w:style>
  <w:style w:type="paragraph" w:customStyle="1" w:styleId="2243">
    <w:name w:val="正文缩进（首行缩进两字）"/>
    <w:basedOn w:val="1"/>
    <w:qFormat/>
    <w:uiPriority w:val="0"/>
    <w:pPr>
      <w:spacing w:line="348" w:lineRule="auto"/>
      <w:ind w:firstLine="560"/>
      <w:jc w:val="both"/>
      <w:textAlignment w:val="baseline"/>
    </w:pPr>
    <w:rPr>
      <w:rFonts w:cs="宋体"/>
      <w:snapToGrid w:val="0"/>
      <w:color w:val="000000"/>
      <w:kern w:val="16"/>
      <w:sz w:val="28"/>
      <w:szCs w:val="20"/>
    </w:rPr>
  </w:style>
  <w:style w:type="paragraph" w:customStyle="1" w:styleId="2244">
    <w:name w:val="样式 正文缩进正文（首行缩进两字）."/>
    <w:basedOn w:val="21"/>
    <w:qFormat/>
    <w:uiPriority w:val="0"/>
    <w:pPr>
      <w:adjustRightInd w:val="0"/>
      <w:snapToGrid w:val="0"/>
      <w:spacing w:line="348" w:lineRule="auto"/>
      <w:ind w:firstLine="200" w:firstLineChars="200"/>
      <w:jc w:val="both"/>
      <w:textAlignment w:val="baseline"/>
    </w:pPr>
    <w:rPr>
      <w:rFonts w:cs="宋体"/>
      <w:b w:val="0"/>
      <w:snapToGrid w:val="0"/>
      <w:color w:val="auto"/>
      <w:sz w:val="28"/>
      <w:szCs w:val="28"/>
    </w:rPr>
  </w:style>
  <w:style w:type="paragraph" w:customStyle="1" w:styleId="2245">
    <w:name w:val="样式 正文文字 + 宋体"/>
    <w:basedOn w:val="393"/>
    <w:qFormat/>
    <w:uiPriority w:val="0"/>
    <w:pPr>
      <w:spacing w:beforeLines="0" w:line="348" w:lineRule="auto"/>
      <w:ind w:firstLine="200" w:firstLineChars="200"/>
    </w:pPr>
    <w:rPr>
      <w:rFonts w:ascii="Times New Roman" w:hAnsi="Times New Roman" w:eastAsia="宋体" w:cs="Times New Roman"/>
      <w:bCs w:val="0"/>
      <w:snapToGrid w:val="0"/>
      <w:color w:val="000000"/>
      <w:sz w:val="28"/>
      <w:szCs w:val="28"/>
      <w:lang w:val="en-US"/>
    </w:rPr>
  </w:style>
  <w:style w:type="paragraph" w:customStyle="1" w:styleId="2246">
    <w:name w:val="样式 正文文字 + 宋体 首行缩进:  2 字符"/>
    <w:basedOn w:val="393"/>
    <w:qFormat/>
    <w:uiPriority w:val="0"/>
    <w:pPr>
      <w:spacing w:beforeLines="0" w:line="348" w:lineRule="auto"/>
      <w:ind w:firstLine="560" w:firstLineChars="200"/>
    </w:pPr>
    <w:rPr>
      <w:rFonts w:ascii="Times New Roman" w:hAnsi="Times New Roman" w:eastAsia="宋体" w:cs="宋体"/>
      <w:bCs w:val="0"/>
      <w:snapToGrid w:val="0"/>
      <w:color w:val="000000"/>
      <w:sz w:val="28"/>
      <w:szCs w:val="28"/>
      <w:lang w:val="en-US"/>
    </w:rPr>
  </w:style>
  <w:style w:type="paragraph" w:customStyle="1" w:styleId="2247">
    <w:name w:val="样式 正文首行缩进 + 首行缩进:  0.99 厘米"/>
    <w:basedOn w:val="86"/>
    <w:qFormat/>
    <w:uiPriority w:val="0"/>
    <w:pPr>
      <w:adjustRightInd w:val="0"/>
      <w:snapToGrid w:val="0"/>
      <w:spacing w:after="0" w:line="348" w:lineRule="auto"/>
      <w:ind w:firstLine="200" w:firstLineChars="200"/>
      <w:jc w:val="left"/>
      <w:textAlignment w:val="baseline"/>
    </w:pPr>
    <w:rPr>
      <w:rFonts w:cs="宋体"/>
      <w:snapToGrid w:val="0"/>
      <w:color w:val="auto"/>
      <w:kern w:val="0"/>
      <w:sz w:val="28"/>
      <w:szCs w:val="28"/>
    </w:rPr>
  </w:style>
  <w:style w:type="paragraph" w:customStyle="1" w:styleId="2248">
    <w:name w:val="样式 标题 3"/>
    <w:basedOn w:val="5"/>
    <w:link w:val="2249"/>
    <w:qFormat/>
    <w:uiPriority w:val="0"/>
    <w:pPr>
      <w:keepNext/>
      <w:keepLines/>
      <w:widowControl w:val="0"/>
      <w:tabs>
        <w:tab w:val="left" w:pos="1260"/>
        <w:tab w:val="clear" w:pos="0"/>
      </w:tabs>
      <w:adjustRightInd/>
      <w:snapToGrid/>
      <w:spacing w:before="260" w:after="260" w:line="416" w:lineRule="auto"/>
      <w:ind w:left="1260" w:hanging="420"/>
    </w:pPr>
    <w:rPr>
      <w:snapToGrid/>
      <w:sz w:val="32"/>
    </w:rPr>
  </w:style>
  <w:style w:type="character" w:customStyle="1" w:styleId="2249">
    <w:name w:val="样式 标题 3 Char"/>
    <w:link w:val="2248"/>
    <w:qFormat/>
    <w:uiPriority w:val="0"/>
    <w:rPr>
      <w:rFonts w:ascii="Times New Roman" w:hAnsi="Times New Roman"/>
      <w:b/>
      <w:bCs/>
      <w:kern w:val="2"/>
      <w:sz w:val="32"/>
      <w:szCs w:val="32"/>
    </w:rPr>
  </w:style>
  <w:style w:type="paragraph" w:customStyle="1" w:styleId="2250">
    <w:name w:val="初设段落"/>
    <w:basedOn w:val="1"/>
    <w:qFormat/>
    <w:uiPriority w:val="0"/>
    <w:pPr>
      <w:spacing w:line="348" w:lineRule="auto"/>
      <w:ind w:firstLine="0" w:firstLineChars="0"/>
      <w:jc w:val="both"/>
    </w:pPr>
    <w:rPr>
      <w:snapToGrid w:val="0"/>
      <w:sz w:val="28"/>
      <w:szCs w:val="24"/>
    </w:rPr>
  </w:style>
  <w:style w:type="paragraph" w:customStyle="1" w:styleId="2251">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2252">
    <w:name w:val="小标题a)"/>
    <w:basedOn w:val="1"/>
    <w:qFormat/>
    <w:uiPriority w:val="0"/>
    <w:pPr>
      <w:overflowPunct w:val="0"/>
      <w:topLinePunct/>
      <w:adjustRightInd/>
      <w:snapToGrid/>
      <w:spacing w:line="348" w:lineRule="auto"/>
      <w:ind w:firstLine="0" w:firstLineChars="0"/>
      <w:jc w:val="both"/>
    </w:pPr>
    <w:rPr>
      <w:kern w:val="0"/>
      <w:sz w:val="28"/>
      <w:szCs w:val="20"/>
    </w:rPr>
  </w:style>
  <w:style w:type="paragraph" w:customStyle="1" w:styleId="2253">
    <w:name w:val="样式 四号 行距: 多倍行距 1.45 字行1"/>
    <w:basedOn w:val="1"/>
    <w:qFormat/>
    <w:uiPriority w:val="0"/>
    <w:pPr>
      <w:adjustRightInd/>
      <w:spacing w:line="348" w:lineRule="auto"/>
      <w:ind w:firstLine="0" w:firstLineChars="0"/>
      <w:jc w:val="both"/>
    </w:pPr>
    <w:rPr>
      <w:rFonts w:cs="宋体"/>
      <w:sz w:val="28"/>
      <w:szCs w:val="20"/>
    </w:rPr>
  </w:style>
  <w:style w:type="paragraph" w:customStyle="1" w:styleId="2254">
    <w:name w:val="样式 四号 行距: 多倍行距 1.45 字行"/>
    <w:basedOn w:val="1"/>
    <w:qFormat/>
    <w:uiPriority w:val="0"/>
    <w:pPr>
      <w:adjustRightInd/>
      <w:spacing w:line="348" w:lineRule="auto"/>
      <w:ind w:firstLine="0" w:firstLineChars="0"/>
      <w:jc w:val="both"/>
    </w:pPr>
    <w:rPr>
      <w:rFonts w:cs="宋体"/>
      <w:sz w:val="28"/>
      <w:szCs w:val="20"/>
    </w:rPr>
  </w:style>
  <w:style w:type="table" w:customStyle="1" w:styleId="2255">
    <w:name w:val="列表型 51"/>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2256">
    <w:name w:val="网格型2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57">
    <w:name w:val="haha"/>
    <w:basedOn w:val="86"/>
    <w:link w:val="2258"/>
    <w:qFormat/>
    <w:uiPriority w:val="0"/>
    <w:pPr>
      <w:spacing w:after="0" w:line="360" w:lineRule="auto"/>
      <w:ind w:firstLine="480" w:firstLineChars="200"/>
    </w:pPr>
    <w:rPr>
      <w:rFonts w:eastAsia="仿宋_GB2312"/>
      <w:color w:val="auto"/>
    </w:rPr>
  </w:style>
  <w:style w:type="character" w:customStyle="1" w:styleId="2258">
    <w:name w:val="haha Char"/>
    <w:link w:val="2257"/>
    <w:qFormat/>
    <w:uiPriority w:val="0"/>
    <w:rPr>
      <w:rFonts w:ascii="Times New Roman" w:hAnsi="Times New Roman" w:eastAsia="仿宋_GB2312"/>
      <w:kern w:val="2"/>
      <w:sz w:val="24"/>
      <w:szCs w:val="24"/>
    </w:rPr>
  </w:style>
  <w:style w:type="paragraph" w:customStyle="1" w:styleId="2259">
    <w:name w:val="new"/>
    <w:basedOn w:val="1"/>
    <w:qFormat/>
    <w:uiPriority w:val="0"/>
    <w:pPr>
      <w:adjustRightInd/>
      <w:spacing w:line="360" w:lineRule="auto"/>
      <w:ind w:firstLine="480"/>
      <w:jc w:val="both"/>
    </w:pPr>
    <w:rPr>
      <w:rFonts w:eastAsia="仿宋_GB2312"/>
      <w:sz w:val="24"/>
      <w:szCs w:val="24"/>
    </w:rPr>
  </w:style>
  <w:style w:type="paragraph" w:customStyle="1" w:styleId="2260">
    <w:name w:val="湛江钢铁表"/>
    <w:basedOn w:val="181"/>
    <w:link w:val="2261"/>
    <w:qFormat/>
    <w:uiPriority w:val="0"/>
    <w:pPr>
      <w:widowControl w:val="0"/>
      <w:adjustRightInd/>
      <w:snapToGrid/>
      <w:spacing w:line="240" w:lineRule="auto"/>
      <w:jc w:val="both"/>
    </w:pPr>
    <w:rPr>
      <w:color w:val="000000"/>
      <w:sz w:val="24"/>
      <w:szCs w:val="24"/>
    </w:rPr>
  </w:style>
  <w:style w:type="character" w:customStyle="1" w:styleId="2261">
    <w:name w:val="湛江钢铁表 Char"/>
    <w:link w:val="2260"/>
    <w:qFormat/>
    <w:uiPriority w:val="0"/>
    <w:rPr>
      <w:rFonts w:ascii="Times New Roman" w:hAnsi="Times New Roman"/>
      <w:color w:val="000000"/>
      <w:kern w:val="2"/>
      <w:sz w:val="24"/>
      <w:szCs w:val="24"/>
    </w:rPr>
  </w:style>
  <w:style w:type="character" w:customStyle="1" w:styleId="2262">
    <w:name w:val="标题 3 Char Char Char Char Char Char Char Char Char Char Char Char Char Char Char Char"/>
    <w:qFormat/>
    <w:uiPriority w:val="0"/>
    <w:rPr>
      <w:rFonts w:ascii="Times New Roman" w:hAnsi="Times New Roman" w:eastAsia="仿宋_GB2312"/>
      <w:sz w:val="24"/>
      <w:szCs w:val="32"/>
    </w:rPr>
  </w:style>
  <w:style w:type="paragraph" w:customStyle="1" w:styleId="2263">
    <w:name w:val="样式 湛江钢铁正文 +"/>
    <w:basedOn w:val="1"/>
    <w:qFormat/>
    <w:uiPriority w:val="0"/>
    <w:pPr>
      <w:spacing w:afterLines="25" w:line="360" w:lineRule="auto"/>
      <w:ind w:firstLine="480"/>
      <w:textAlignment w:val="baseline"/>
    </w:pPr>
    <w:rPr>
      <w:rFonts w:eastAsia="仿宋_GB2312"/>
      <w:color w:val="000000"/>
      <w:kern w:val="0"/>
      <w:sz w:val="24"/>
      <w:szCs w:val="24"/>
    </w:rPr>
  </w:style>
  <w:style w:type="paragraph" w:customStyle="1" w:styleId="2264">
    <w:name w:val="样式 湛江钢铁表 +"/>
    <w:basedOn w:val="2260"/>
    <w:next w:val="2260"/>
    <w:link w:val="2265"/>
    <w:qFormat/>
    <w:uiPriority w:val="0"/>
    <w:pPr>
      <w:adjustRightInd w:val="0"/>
      <w:snapToGrid w:val="0"/>
      <w:spacing w:beforeLines="20" w:afterLines="20" w:line="348" w:lineRule="auto"/>
      <w:jc w:val="center"/>
      <w:textAlignment w:val="baseline"/>
    </w:pPr>
    <w:rPr>
      <w:rFonts w:eastAsia="仿宋_GB2312"/>
      <w:snapToGrid w:val="0"/>
      <w:color w:val="auto"/>
      <w:sz w:val="21"/>
      <w:szCs w:val="21"/>
    </w:rPr>
  </w:style>
  <w:style w:type="character" w:customStyle="1" w:styleId="2265">
    <w:name w:val="样式 湛江钢铁表 + Char"/>
    <w:link w:val="2264"/>
    <w:qFormat/>
    <w:uiPriority w:val="0"/>
    <w:rPr>
      <w:rFonts w:ascii="Times New Roman" w:hAnsi="Times New Roman" w:eastAsia="仿宋_GB2312"/>
      <w:snapToGrid w:val="0"/>
      <w:kern w:val="2"/>
      <w:sz w:val="21"/>
      <w:szCs w:val="21"/>
    </w:rPr>
  </w:style>
  <w:style w:type="paragraph" w:customStyle="1" w:styleId="2266">
    <w:name w:val="大表内容"/>
    <w:qFormat/>
    <w:uiPriority w:val="0"/>
    <w:pPr>
      <w:snapToGrid w:val="0"/>
      <w:jc w:val="center"/>
    </w:pPr>
    <w:rPr>
      <w:rFonts w:ascii="Times New Roman" w:hAnsi="Times New Roman" w:eastAsia="宋体" w:cs="Times New Roman"/>
      <w:sz w:val="21"/>
      <w:lang w:val="en-US" w:eastAsia="zh-CN" w:bidi="ar-SA"/>
    </w:rPr>
  </w:style>
  <w:style w:type="paragraph" w:customStyle="1" w:styleId="2267">
    <w:name w:val="佛表"/>
    <w:basedOn w:val="66"/>
    <w:qFormat/>
    <w:uiPriority w:val="0"/>
    <w:pPr>
      <w:adjustRightInd w:val="0"/>
      <w:snapToGrid w:val="0"/>
      <w:spacing w:line="348" w:lineRule="auto"/>
      <w:textAlignment w:val="auto"/>
    </w:pPr>
    <w:rPr>
      <w:color w:val="000000"/>
      <w:sz w:val="28"/>
      <w:szCs w:val="24"/>
    </w:rPr>
  </w:style>
  <w:style w:type="paragraph" w:customStyle="1" w:styleId="2268">
    <w:name w:val="湛江钢铁正文"/>
    <w:basedOn w:val="1"/>
    <w:qFormat/>
    <w:uiPriority w:val="0"/>
    <w:pPr>
      <w:spacing w:line="360" w:lineRule="auto"/>
      <w:ind w:firstLine="420"/>
      <w:textAlignment w:val="baseline"/>
    </w:pPr>
    <w:rPr>
      <w:rFonts w:eastAsia="仿宋_GB2312"/>
      <w:color w:val="000000"/>
      <w:kern w:val="0"/>
      <w:sz w:val="28"/>
      <w:szCs w:val="21"/>
    </w:rPr>
  </w:style>
  <w:style w:type="paragraph" w:customStyle="1" w:styleId="2269">
    <w:name w:val="样式 湛江钢铁表 + 段前: 0.2 行 段后: 0.2 行"/>
    <w:basedOn w:val="2260"/>
    <w:qFormat/>
    <w:uiPriority w:val="0"/>
    <w:pPr>
      <w:adjustRightInd w:val="0"/>
      <w:snapToGrid w:val="0"/>
      <w:spacing w:beforeLines="20" w:afterLines="20" w:line="348" w:lineRule="auto"/>
      <w:jc w:val="center"/>
      <w:textAlignment w:val="baseline"/>
    </w:pPr>
    <w:rPr>
      <w:rFonts w:eastAsia="仿宋_GB2312" w:cs="宋体"/>
      <w:snapToGrid w:val="0"/>
      <w:color w:val="auto"/>
      <w:sz w:val="21"/>
      <w:szCs w:val="21"/>
    </w:rPr>
  </w:style>
  <w:style w:type="character" w:customStyle="1" w:styleId="2270">
    <w:name w:val="wenzi"/>
    <w:qFormat/>
    <w:uiPriority w:val="0"/>
  </w:style>
  <w:style w:type="paragraph" w:customStyle="1" w:styleId="2271">
    <w:name w:val="湛江沥青表"/>
    <w:basedOn w:val="1"/>
    <w:qFormat/>
    <w:uiPriority w:val="0"/>
    <w:pPr>
      <w:framePr w:hSpace="180" w:wrap="around" w:vAnchor="text" w:hAnchor="margin" w:y="524"/>
      <w:autoSpaceDE w:val="0"/>
      <w:autoSpaceDN w:val="0"/>
      <w:adjustRightInd/>
      <w:spacing w:before="100" w:line="0" w:lineRule="atLeast"/>
      <w:ind w:left="102" w:hanging="102" w:firstLineChars="0"/>
      <w:jc w:val="center"/>
    </w:pPr>
    <w:rPr>
      <w:bCs/>
      <w:sz w:val="28"/>
      <w:szCs w:val="21"/>
      <w:u w:color="000000"/>
    </w:rPr>
  </w:style>
  <w:style w:type="paragraph" w:customStyle="1" w:styleId="2272">
    <w:name w:val="湛江钢铁表标题"/>
    <w:basedOn w:val="1"/>
    <w:qFormat/>
    <w:uiPriority w:val="0"/>
    <w:pPr>
      <w:adjustRightInd/>
      <w:spacing w:line="360" w:lineRule="auto"/>
      <w:ind w:firstLine="480"/>
      <w:jc w:val="center"/>
    </w:pPr>
    <w:rPr>
      <w:rFonts w:eastAsia="仿宋_GB2312"/>
      <w:color w:val="000000"/>
      <w:kern w:val="0"/>
      <w:sz w:val="24"/>
      <w:szCs w:val="24"/>
    </w:rPr>
  </w:style>
  <w:style w:type="paragraph" w:customStyle="1" w:styleId="2273">
    <w:name w:val="图标题"/>
    <w:basedOn w:val="1"/>
    <w:next w:val="1"/>
    <w:qFormat/>
    <w:uiPriority w:val="0"/>
    <w:pPr>
      <w:autoSpaceDE w:val="0"/>
      <w:autoSpaceDN w:val="0"/>
      <w:spacing w:before="60" w:after="120" w:line="400" w:lineRule="atLeast"/>
      <w:ind w:firstLine="0" w:firstLineChars="0"/>
      <w:jc w:val="center"/>
      <w:textAlignment w:val="baseline"/>
    </w:pPr>
    <w:rPr>
      <w:rFonts w:eastAsia="仿宋_GB2312"/>
      <w:b/>
      <w:spacing w:val="2"/>
      <w:kern w:val="0"/>
      <w:sz w:val="24"/>
      <w:szCs w:val="20"/>
    </w:rPr>
  </w:style>
  <w:style w:type="paragraph" w:customStyle="1" w:styleId="2274">
    <w:name w:val="表头王"/>
    <w:basedOn w:val="1"/>
    <w:qFormat/>
    <w:uiPriority w:val="0"/>
    <w:pPr>
      <w:spacing w:line="360" w:lineRule="auto"/>
      <w:ind w:firstLine="0" w:firstLineChars="0"/>
      <w:jc w:val="center"/>
    </w:pPr>
    <w:rPr>
      <w:rFonts w:ascii="黑体" w:eastAsia="黑体"/>
      <w:b/>
      <w:bCs/>
      <w:color w:val="000000"/>
      <w:sz w:val="24"/>
      <w:szCs w:val="24"/>
    </w:rPr>
  </w:style>
  <w:style w:type="paragraph" w:customStyle="1" w:styleId="2275">
    <w:name w:val="表格文字独行"/>
    <w:next w:val="1"/>
    <w:qFormat/>
    <w:uiPriority w:val="0"/>
    <w:pPr>
      <w:spacing w:beforeLines="20" w:afterLines="20" w:line="264" w:lineRule="auto"/>
      <w:jc w:val="center"/>
    </w:pPr>
    <w:rPr>
      <w:rFonts w:ascii="Times New Roman" w:hAnsi="Times New Roman" w:eastAsia="仿宋_GB2312" w:cs="Times New Roman"/>
      <w:sz w:val="21"/>
      <w:szCs w:val="24"/>
      <w:lang w:val="en-US" w:eastAsia="zh-CN" w:bidi="ar-SA"/>
    </w:rPr>
  </w:style>
  <w:style w:type="table" w:customStyle="1" w:styleId="2276">
    <w:name w:val="网格型3"/>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7">
    <w:name w:val="网格型4"/>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8">
    <w:name w:val="网格型5"/>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79">
    <w:name w:val="样式 (符号) 宋体"/>
    <w:basedOn w:val="1"/>
    <w:qFormat/>
    <w:uiPriority w:val="0"/>
    <w:pPr>
      <w:adjustRightInd/>
      <w:spacing w:line="348" w:lineRule="auto"/>
      <w:ind w:firstLine="560"/>
      <w:jc w:val="both"/>
    </w:pPr>
    <w:rPr>
      <w:rFonts w:hAnsi="宋体" w:eastAsia="Times New Roman" w:cs="宋体"/>
      <w:sz w:val="28"/>
      <w:szCs w:val="20"/>
    </w:rPr>
  </w:style>
  <w:style w:type="table" w:customStyle="1" w:styleId="2280">
    <w:name w:val="网格型 511"/>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2281">
    <w:name w:val="网格型6"/>
    <w:basedOn w:val="88"/>
    <w:qFormat/>
    <w:uiPriority w:val="0"/>
    <w:pPr>
      <w:widowControl w:val="0"/>
      <w:adjustRightInd w:val="0"/>
      <w:snapToGrid w:val="0"/>
      <w:spacing w:line="348"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82">
    <w:name w:val="网格型 71"/>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paragraph" w:customStyle="1" w:styleId="2283">
    <w:name w:val="news"/>
    <w:basedOn w:val="1"/>
    <w:qFormat/>
    <w:uiPriority w:val="0"/>
    <w:pPr>
      <w:widowControl/>
      <w:adjustRightInd/>
      <w:snapToGrid/>
      <w:spacing w:before="100" w:beforeAutospacing="1" w:after="100" w:afterAutospacing="1" w:line="240" w:lineRule="auto"/>
      <w:ind w:firstLine="0" w:firstLineChars="0"/>
    </w:pPr>
    <w:rPr>
      <w:rFonts w:hint="eastAsia" w:ascii="宋体" w:hAnsi="宋体"/>
      <w:kern w:val="0"/>
      <w:sz w:val="20"/>
      <w:szCs w:val="20"/>
    </w:rPr>
  </w:style>
  <w:style w:type="paragraph" w:customStyle="1" w:styleId="2284">
    <w:name w:val="水平衡"/>
    <w:basedOn w:val="45"/>
    <w:qFormat/>
    <w:uiPriority w:val="0"/>
    <w:pPr>
      <w:autoSpaceDE w:val="0"/>
      <w:autoSpaceDN w:val="0"/>
      <w:textAlignment w:val="baseline"/>
    </w:pPr>
    <w:rPr>
      <w:rFonts w:ascii="Arial" w:hAnsi="Arial" w:cs="Arial"/>
      <w:spacing w:val="-10"/>
      <w:szCs w:val="20"/>
    </w:rPr>
  </w:style>
  <w:style w:type="paragraph" w:customStyle="1" w:styleId="2285">
    <w:name w:val="表格五号"/>
    <w:basedOn w:val="1"/>
    <w:qFormat/>
    <w:uiPriority w:val="0"/>
    <w:pPr>
      <w:autoSpaceDE w:val="0"/>
      <w:autoSpaceDN w:val="0"/>
      <w:spacing w:beforeLines="20" w:afterLines="20" w:line="240" w:lineRule="auto"/>
      <w:ind w:firstLine="0" w:firstLineChars="0"/>
      <w:jc w:val="center"/>
    </w:pPr>
    <w:rPr>
      <w:rFonts w:ascii="Arial" w:hAnsi="Arial" w:cs="Arial"/>
      <w:bCs/>
      <w:kern w:val="0"/>
      <w:sz w:val="18"/>
      <w:szCs w:val="21"/>
      <w:lang w:val="zh-CN"/>
    </w:rPr>
  </w:style>
  <w:style w:type="paragraph" w:customStyle="1" w:styleId="2286">
    <w:name w:val="表格下五号"/>
    <w:basedOn w:val="2285"/>
    <w:qFormat/>
    <w:uiPriority w:val="0"/>
    <w:pPr>
      <w:keepNext/>
      <w:keepLines/>
      <w:tabs>
        <w:tab w:val="left" w:pos="1260"/>
      </w:tabs>
      <w:autoSpaceDE/>
      <w:autoSpaceDN/>
      <w:adjustRightInd/>
      <w:snapToGrid/>
      <w:spacing w:beforeLines="0" w:afterLines="0" w:line="416" w:lineRule="auto"/>
      <w:ind w:left="720" w:hanging="432"/>
      <w:jc w:val="both"/>
      <w:outlineLvl w:val="2"/>
    </w:pPr>
    <w:rPr>
      <w:rFonts w:ascii="Times New Roman" w:hAnsi="Times New Roman" w:cs="Times New Roman"/>
      <w:b/>
      <w:kern w:val="2"/>
      <w:sz w:val="32"/>
      <w:szCs w:val="32"/>
      <w:lang w:val="en-US"/>
    </w:rPr>
  </w:style>
  <w:style w:type="paragraph" w:customStyle="1" w:styleId="2287">
    <w:name w:val="表格下文字5号"/>
    <w:basedOn w:val="1"/>
    <w:qFormat/>
    <w:uiPriority w:val="0"/>
    <w:pPr>
      <w:spacing w:beforeLines="50" w:line="264" w:lineRule="auto"/>
      <w:ind w:left="938" w:leftChars="200" w:hanging="378" w:hangingChars="180"/>
      <w:jc w:val="both"/>
      <w:textAlignment w:val="baseline"/>
    </w:pPr>
    <w:rPr>
      <w:rFonts w:ascii="Arial" w:hAnsi="Arial" w:cs="Arial"/>
      <w:kern w:val="0"/>
      <w:sz w:val="21"/>
      <w:szCs w:val="20"/>
    </w:rPr>
  </w:style>
  <w:style w:type="paragraph" w:customStyle="1" w:styleId="2288">
    <w:name w:val="正文图小五"/>
    <w:basedOn w:val="1"/>
    <w:qFormat/>
    <w:uiPriority w:val="0"/>
    <w:pPr>
      <w:adjustRightInd/>
      <w:spacing w:line="240" w:lineRule="atLeast"/>
      <w:ind w:firstLine="0" w:firstLineChars="0"/>
      <w:jc w:val="center"/>
    </w:pPr>
    <w:rPr>
      <w:rFonts w:ascii="Arial" w:hAnsi="Arial" w:cs="Arial"/>
      <w:spacing w:val="6"/>
      <w:sz w:val="18"/>
      <w:szCs w:val="20"/>
    </w:rPr>
  </w:style>
  <w:style w:type="paragraph" w:customStyle="1" w:styleId="2289">
    <w:name w:val="表格文字小四"/>
    <w:basedOn w:val="1"/>
    <w:qFormat/>
    <w:uiPriority w:val="0"/>
    <w:pPr>
      <w:spacing w:beforeLines="20" w:afterLines="20" w:line="240" w:lineRule="auto"/>
      <w:ind w:firstLine="0" w:firstLineChars="0"/>
      <w:jc w:val="center"/>
    </w:pPr>
    <w:rPr>
      <w:rFonts w:ascii="Arial" w:hAnsi="Arial" w:cs="Arial"/>
      <w:color w:val="000000"/>
      <w:kern w:val="0"/>
      <w:sz w:val="24"/>
      <w:szCs w:val="24"/>
    </w:rPr>
  </w:style>
  <w:style w:type="paragraph" w:customStyle="1" w:styleId="2290">
    <w:name w:val="正文图废z"/>
    <w:basedOn w:val="2172"/>
    <w:qFormat/>
    <w:uiPriority w:val="0"/>
    <w:pPr>
      <w:spacing w:before="0"/>
      <w:jc w:val="left"/>
    </w:pPr>
    <w:rPr>
      <w:rFonts w:ascii="Arial" w:hAnsi="Arial" w:cs="Arial"/>
      <w:sz w:val="21"/>
    </w:rPr>
  </w:style>
  <w:style w:type="paragraph" w:customStyle="1" w:styleId="2291">
    <w:name w:val="表格文字小五号"/>
    <w:basedOn w:val="2292"/>
    <w:qFormat/>
    <w:uiPriority w:val="0"/>
    <w:rPr>
      <w:rFonts w:ascii="宋体" w:hAnsi="宋体"/>
      <w:bCs w:val="0"/>
    </w:rPr>
  </w:style>
  <w:style w:type="paragraph" w:customStyle="1" w:styleId="2292">
    <w:name w:val="表格文字五号"/>
    <w:basedOn w:val="188"/>
    <w:qFormat/>
    <w:uiPriority w:val="0"/>
    <w:pPr>
      <w:autoSpaceDE w:val="0"/>
      <w:autoSpaceDN w:val="0"/>
      <w:spacing w:beforeLines="20" w:afterLines="20" w:line="240" w:lineRule="auto"/>
      <w:jc w:val="left"/>
      <w:textAlignment w:val="auto"/>
    </w:pPr>
    <w:rPr>
      <w:rFonts w:ascii="Arial" w:hAnsi="Arial" w:cs="Arial"/>
      <w:b/>
      <w:bCs/>
      <w:snapToGrid w:val="0"/>
      <w:color w:val="000000"/>
      <w:kern w:val="0"/>
      <w:szCs w:val="20"/>
    </w:rPr>
  </w:style>
  <w:style w:type="paragraph" w:customStyle="1" w:styleId="2293">
    <w:name w:val="表格文字1左"/>
    <w:basedOn w:val="188"/>
    <w:qFormat/>
    <w:uiPriority w:val="0"/>
    <w:pPr>
      <w:autoSpaceDE w:val="0"/>
      <w:autoSpaceDN w:val="0"/>
      <w:spacing w:beforeLines="20" w:afterLines="20" w:line="240" w:lineRule="auto"/>
      <w:ind w:firstLine="470" w:firstLineChars="224"/>
      <w:jc w:val="left"/>
      <w:textAlignment w:val="auto"/>
    </w:pPr>
    <w:rPr>
      <w:rFonts w:ascii="Arial" w:hAnsi="Arial" w:cs="Arial"/>
      <w:b/>
      <w:bCs/>
      <w:snapToGrid w:val="0"/>
      <w:color w:val="000000"/>
      <w:kern w:val="0"/>
      <w:szCs w:val="20"/>
    </w:rPr>
  </w:style>
  <w:style w:type="paragraph" w:customStyle="1" w:styleId="2294">
    <w:name w:val="正文图四"/>
    <w:basedOn w:val="2172"/>
    <w:qFormat/>
    <w:uiPriority w:val="0"/>
    <w:pPr>
      <w:spacing w:beforeLines="20"/>
    </w:pPr>
    <w:rPr>
      <w:sz w:val="28"/>
    </w:rPr>
  </w:style>
  <w:style w:type="paragraph" w:customStyle="1" w:styleId="2295">
    <w:name w:val="表格文字小四宽"/>
    <w:basedOn w:val="2289"/>
    <w:qFormat/>
    <w:uiPriority w:val="0"/>
    <w:pPr>
      <w:spacing w:beforeLines="10" w:afterLines="10"/>
    </w:pPr>
    <w:rPr>
      <w:rFonts w:cs="Times New Roman"/>
      <w:color w:val="auto"/>
      <w:spacing w:val="-6"/>
    </w:rPr>
  </w:style>
  <w:style w:type="paragraph" w:customStyle="1" w:styleId="2296">
    <w:name w:val="表格文字小四左"/>
    <w:basedOn w:val="2289"/>
    <w:qFormat/>
    <w:uiPriority w:val="0"/>
    <w:pPr>
      <w:spacing w:beforeLines="0" w:afterLines="0"/>
      <w:jc w:val="left"/>
    </w:pPr>
    <w:rPr>
      <w:snapToGrid w:val="0"/>
      <w:color w:val="auto"/>
      <w:szCs w:val="20"/>
    </w:rPr>
  </w:style>
  <w:style w:type="character" w:customStyle="1" w:styleId="2297">
    <w:name w:val="1首行缩进 Char"/>
    <w:qFormat/>
    <w:uiPriority w:val="0"/>
    <w:rPr>
      <w:rFonts w:ascii="Arial" w:hAnsi="Arial" w:eastAsia="宋体"/>
      <w:snapToGrid w:val="0"/>
      <w:sz w:val="28"/>
      <w:szCs w:val="28"/>
      <w:lang w:val="en-US" w:eastAsia="zh-CN" w:bidi="ar-SA"/>
    </w:rPr>
  </w:style>
  <w:style w:type="paragraph" w:customStyle="1" w:styleId="2298">
    <w:name w:val="表格下文字5号-1"/>
    <w:basedOn w:val="2287"/>
    <w:qFormat/>
    <w:uiPriority w:val="0"/>
    <w:pPr>
      <w:spacing w:before="156"/>
      <w:ind w:left="798"/>
    </w:pPr>
  </w:style>
  <w:style w:type="paragraph" w:customStyle="1" w:styleId="2299">
    <w:name w:val="leedl"/>
    <w:basedOn w:val="1"/>
    <w:qFormat/>
    <w:uiPriority w:val="0"/>
    <w:pPr>
      <w:adjustRightInd/>
      <w:snapToGrid/>
      <w:spacing w:line="348" w:lineRule="auto"/>
      <w:jc w:val="both"/>
    </w:pPr>
    <w:rPr>
      <w:spacing w:val="10"/>
      <w:sz w:val="28"/>
      <w:szCs w:val="28"/>
    </w:rPr>
  </w:style>
  <w:style w:type="table" w:customStyle="1" w:styleId="2300">
    <w:name w:val="网格型7"/>
    <w:basedOn w:val="88"/>
    <w:qFormat/>
    <w:uiPriority w:val="0"/>
    <w:pPr>
      <w:widowControl w:val="0"/>
      <w:adjustRightInd w:val="0"/>
      <w:snapToGrid w:val="0"/>
      <w:spacing w:line="348" w:lineRule="auto"/>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01">
    <w:name w:val="网格型 52"/>
    <w:basedOn w:val="88"/>
    <w:qFormat/>
    <w:uiPriority w:val="0"/>
    <w:pPr>
      <w:widowControl w:val="0"/>
      <w:adjustRightInd w:val="0"/>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character" w:customStyle="1" w:styleId="2302">
    <w:name w:val="标题 2 Char Char"/>
    <w:qFormat/>
    <w:uiPriority w:val="0"/>
    <w:rPr>
      <w:rFonts w:ascii="Arial" w:hAnsi="Arial" w:eastAsia="黑体"/>
      <w:b/>
      <w:bCs/>
      <w:kern w:val="2"/>
      <w:sz w:val="32"/>
      <w:szCs w:val="32"/>
      <w:lang w:val="en-US" w:eastAsia="zh-CN" w:bidi="ar-SA"/>
    </w:rPr>
  </w:style>
  <w:style w:type="character" w:customStyle="1" w:styleId="2303">
    <w:name w:val="表格内容 Char"/>
    <w:qFormat/>
    <w:uiPriority w:val="0"/>
    <w:rPr>
      <w:rFonts w:ascii="Arial" w:hAnsi="Arial" w:eastAsia="仿宋_GB2312" w:cs="Times New Roman"/>
      <w:kern w:val="0"/>
      <w:sz w:val="24"/>
      <w:szCs w:val="20"/>
    </w:rPr>
  </w:style>
  <w:style w:type="character" w:customStyle="1" w:styleId="2304">
    <w:name w:val="样式 样式2 + 非加粗 Char"/>
    <w:qFormat/>
    <w:uiPriority w:val="0"/>
    <w:rPr>
      <w:rFonts w:eastAsia="宋体"/>
      <w:color w:val="000000"/>
      <w:kern w:val="2"/>
      <w:sz w:val="24"/>
      <w:szCs w:val="24"/>
      <w:lang w:val="en-US" w:eastAsia="zh-CN" w:bidi="ar-SA"/>
    </w:rPr>
  </w:style>
  <w:style w:type="paragraph" w:customStyle="1" w:styleId="2305">
    <w:name w:val="Char Char Char 字元 字元"/>
    <w:basedOn w:val="1"/>
    <w:semiHidden/>
    <w:qFormat/>
    <w:uiPriority w:val="0"/>
    <w:pPr>
      <w:adjustRightInd/>
      <w:spacing w:line="360" w:lineRule="auto"/>
      <w:ind w:firstLine="0" w:firstLineChars="0"/>
      <w:jc w:val="both"/>
    </w:pPr>
    <w:rPr>
      <w:sz w:val="24"/>
      <w:szCs w:val="24"/>
    </w:rPr>
  </w:style>
  <w:style w:type="paragraph" w:customStyle="1" w:styleId="2306">
    <w:name w:val="1 Char Char Char Char Char Char Char Char Char Char Char Char Char Char Char Char"/>
    <w:basedOn w:val="1"/>
    <w:qFormat/>
    <w:uiPriority w:val="0"/>
    <w:pPr>
      <w:adjustRightInd/>
      <w:snapToGrid/>
      <w:spacing w:line="240" w:lineRule="auto"/>
      <w:ind w:firstLine="0" w:firstLineChars="0"/>
      <w:jc w:val="both"/>
    </w:pPr>
    <w:rPr>
      <w:sz w:val="21"/>
      <w:szCs w:val="24"/>
    </w:rPr>
  </w:style>
  <w:style w:type="character" w:customStyle="1" w:styleId="2307">
    <w:name w:val="Normal Char"/>
    <w:link w:val="2308"/>
    <w:qFormat/>
    <w:uiPriority w:val="0"/>
    <w:rPr>
      <w:rFonts w:ascii="宋体"/>
      <w:sz w:val="24"/>
    </w:rPr>
  </w:style>
  <w:style w:type="paragraph" w:customStyle="1" w:styleId="2308">
    <w:name w:val="正文15"/>
    <w:link w:val="2307"/>
    <w:qFormat/>
    <w:uiPriority w:val="0"/>
    <w:pPr>
      <w:widowControl w:val="0"/>
      <w:adjustRightInd w:val="0"/>
      <w:spacing w:line="315" w:lineRule="atLeast"/>
      <w:textAlignment w:val="baseline"/>
    </w:pPr>
    <w:rPr>
      <w:rFonts w:ascii="宋体" w:hAnsi="Calibri" w:eastAsia="宋体" w:cs="Times New Roman"/>
      <w:sz w:val="24"/>
      <w:lang w:val="en-US" w:eastAsia="zh-CN" w:bidi="ar-SA"/>
    </w:rPr>
  </w:style>
  <w:style w:type="paragraph" w:customStyle="1" w:styleId="2309">
    <w:name w:val="Normal1"/>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character" w:customStyle="1" w:styleId="2310">
    <w:name w:val="标准样式 Char"/>
    <w:qFormat/>
    <w:uiPriority w:val="0"/>
    <w:rPr>
      <w:rFonts w:ascii="宋体"/>
      <w:sz w:val="28"/>
      <w:lang w:val="en-US" w:eastAsia="zh-CN" w:bidi="ar-SA"/>
    </w:rPr>
  </w:style>
  <w:style w:type="paragraph" w:customStyle="1" w:styleId="2311">
    <w:name w:val="正文常用"/>
    <w:basedOn w:val="1"/>
    <w:qFormat/>
    <w:uiPriority w:val="0"/>
    <w:pPr>
      <w:adjustRightInd/>
      <w:snapToGrid/>
      <w:spacing w:line="520" w:lineRule="exact"/>
      <w:jc w:val="both"/>
    </w:pPr>
    <w:rPr>
      <w:sz w:val="28"/>
      <w:szCs w:val="28"/>
    </w:rPr>
  </w:style>
  <w:style w:type="paragraph" w:customStyle="1" w:styleId="2312">
    <w:name w:val="album-div"/>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character" w:customStyle="1" w:styleId="2313">
    <w:name w:val="title9"/>
    <w:qFormat/>
    <w:uiPriority w:val="0"/>
  </w:style>
  <w:style w:type="character" w:customStyle="1" w:styleId="2314">
    <w:name w:val="count3"/>
    <w:qFormat/>
    <w:uiPriority w:val="0"/>
  </w:style>
  <w:style w:type="character" w:customStyle="1" w:styleId="2315">
    <w:name w:val="标题11 Char"/>
    <w:link w:val="1036"/>
    <w:qFormat/>
    <w:uiPriority w:val="0"/>
    <w:rPr>
      <w:b/>
      <w:sz w:val="36"/>
      <w:szCs w:val="36"/>
      <w:lang w:eastAsia="en-US" w:bidi="en-US"/>
    </w:rPr>
  </w:style>
  <w:style w:type="paragraph" w:customStyle="1" w:styleId="2316">
    <w:name w:val="标题33"/>
    <w:basedOn w:val="1"/>
    <w:link w:val="2319"/>
    <w:qFormat/>
    <w:uiPriority w:val="0"/>
    <w:pPr>
      <w:adjustRightInd/>
      <w:snapToGrid/>
      <w:spacing w:line="360" w:lineRule="auto"/>
      <w:ind w:firstLine="0" w:firstLineChars="0"/>
      <w:outlineLvl w:val="2"/>
    </w:pPr>
    <w:rPr>
      <w:b/>
      <w:sz w:val="24"/>
      <w:szCs w:val="24"/>
    </w:rPr>
  </w:style>
  <w:style w:type="character" w:customStyle="1" w:styleId="2317">
    <w:name w:val="标题22 Char"/>
    <w:link w:val="976"/>
    <w:qFormat/>
    <w:uiPriority w:val="0"/>
    <w:rPr>
      <w:rFonts w:ascii="黑体" w:hAnsi="宋体" w:eastAsia="黑体"/>
      <w:b/>
      <w:sz w:val="28"/>
    </w:rPr>
  </w:style>
  <w:style w:type="paragraph" w:customStyle="1" w:styleId="2318">
    <w:name w:val="文本11"/>
    <w:basedOn w:val="1"/>
    <w:link w:val="2320"/>
    <w:qFormat/>
    <w:uiPriority w:val="0"/>
    <w:pPr>
      <w:adjustRightInd/>
      <w:snapToGrid/>
      <w:spacing w:line="360" w:lineRule="auto"/>
      <w:jc w:val="both"/>
    </w:pPr>
    <w:rPr>
      <w:color w:val="000000"/>
      <w:sz w:val="24"/>
      <w:szCs w:val="24"/>
    </w:rPr>
  </w:style>
  <w:style w:type="character" w:customStyle="1" w:styleId="2319">
    <w:name w:val="标题33 Char"/>
    <w:link w:val="2316"/>
    <w:qFormat/>
    <w:uiPriority w:val="0"/>
    <w:rPr>
      <w:rFonts w:ascii="Times New Roman" w:hAnsi="Times New Roman"/>
      <w:b/>
      <w:kern w:val="2"/>
      <w:sz w:val="24"/>
      <w:szCs w:val="24"/>
    </w:rPr>
  </w:style>
  <w:style w:type="character" w:customStyle="1" w:styleId="2320">
    <w:name w:val="文本11 Char"/>
    <w:link w:val="2318"/>
    <w:qFormat/>
    <w:uiPriority w:val="0"/>
    <w:rPr>
      <w:rFonts w:ascii="Times New Roman" w:hAnsi="Times New Roman"/>
      <w:color w:val="000000"/>
      <w:kern w:val="2"/>
      <w:sz w:val="24"/>
      <w:szCs w:val="24"/>
    </w:rPr>
  </w:style>
  <w:style w:type="table" w:customStyle="1" w:styleId="2321">
    <w:name w:val="专业网格11"/>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2322">
    <w:name w:val="图名"/>
    <w:basedOn w:val="1"/>
    <w:qFormat/>
    <w:uiPriority w:val="0"/>
    <w:pPr>
      <w:spacing w:beforeLines="50" w:line="240" w:lineRule="auto"/>
      <w:ind w:firstLine="0" w:firstLineChars="0"/>
      <w:jc w:val="center"/>
    </w:pPr>
    <w:rPr>
      <w:sz w:val="24"/>
      <w:szCs w:val="21"/>
    </w:rPr>
  </w:style>
  <w:style w:type="paragraph" w:customStyle="1" w:styleId="2323">
    <w:name w:val="标题 3 + 首行缩进:  2 字符"/>
    <w:basedOn w:val="5"/>
    <w:qFormat/>
    <w:uiPriority w:val="0"/>
    <w:pPr>
      <w:keepNext/>
      <w:keepLines/>
      <w:widowControl w:val="0"/>
      <w:tabs>
        <w:tab w:val="clear" w:pos="0"/>
      </w:tabs>
      <w:spacing w:afterLines="50"/>
      <w:ind w:firstLine="480" w:firstLineChars="200"/>
    </w:pPr>
    <w:rPr>
      <w:rFonts w:cs="宋体"/>
      <w:bCs/>
      <w:snapToGrid/>
      <w:szCs w:val="20"/>
    </w:rPr>
  </w:style>
  <w:style w:type="table" w:customStyle="1" w:styleId="2324">
    <w:name w:val="表格样式11"/>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paragraph" w:customStyle="1" w:styleId="2325">
    <w:name w:val="图片文字"/>
    <w:basedOn w:val="307"/>
    <w:qFormat/>
    <w:uiPriority w:val="0"/>
    <w:pPr>
      <w:jc w:val="both"/>
    </w:pPr>
    <w:rPr>
      <w:rFonts w:cs="Times New Roman"/>
      <w:sz w:val="21"/>
      <w:lang w:val="en-US"/>
    </w:rPr>
  </w:style>
  <w:style w:type="paragraph" w:customStyle="1" w:styleId="2326">
    <w:name w:val="样式 方正魏碑简体 50 磅 居中 行距: 多倍行距 1.25 字行"/>
    <w:basedOn w:val="1"/>
    <w:qFormat/>
    <w:uiPriority w:val="0"/>
    <w:pPr>
      <w:spacing w:line="300" w:lineRule="auto"/>
      <w:ind w:firstLine="0" w:firstLineChars="0"/>
      <w:jc w:val="center"/>
    </w:pPr>
    <w:rPr>
      <w:rFonts w:ascii="方正魏碑简体" w:eastAsia="方正魏碑简体" w:cs="宋体"/>
      <w:spacing w:val="40"/>
      <w:sz w:val="100"/>
      <w:szCs w:val="20"/>
    </w:rPr>
  </w:style>
  <w:style w:type="paragraph" w:customStyle="1" w:styleId="2327">
    <w:name w:val="格式正"/>
    <w:basedOn w:val="34"/>
    <w:qFormat/>
    <w:uiPriority w:val="0"/>
    <w:pPr>
      <w:adjustRightInd/>
      <w:snapToGrid/>
      <w:spacing w:beforeLines="50" w:line="480" w:lineRule="exact"/>
      <w:jc w:val="left"/>
    </w:pPr>
    <w:rPr>
      <w:rFonts w:ascii="楷体_GB2312" w:eastAsia="楷体_GB2312"/>
      <w:snapToGrid/>
    </w:rPr>
  </w:style>
  <w:style w:type="paragraph" w:customStyle="1" w:styleId="2328">
    <w:name w:val="文本框五号"/>
    <w:basedOn w:val="1"/>
    <w:qFormat/>
    <w:uiPriority w:val="0"/>
    <w:pPr>
      <w:spacing w:line="240" w:lineRule="auto"/>
      <w:jc w:val="center"/>
    </w:pPr>
    <w:rPr>
      <w:sz w:val="21"/>
      <w:szCs w:val="21"/>
    </w:rPr>
  </w:style>
  <w:style w:type="character" w:customStyle="1" w:styleId="2329">
    <w:name w:val="正文首行缩进 2 Char1"/>
    <w:semiHidden/>
    <w:qFormat/>
    <w:uiPriority w:val="99"/>
  </w:style>
  <w:style w:type="paragraph" w:customStyle="1" w:styleId="2330">
    <w:name w:val="font17"/>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1"/>
      <w:szCs w:val="21"/>
    </w:rPr>
  </w:style>
  <w:style w:type="paragraph" w:customStyle="1" w:styleId="2331">
    <w:name w:val="font18"/>
    <w:basedOn w:val="1"/>
    <w:qFormat/>
    <w:uiPriority w:val="0"/>
    <w:pPr>
      <w:widowControl/>
      <w:adjustRightInd/>
      <w:snapToGrid/>
      <w:spacing w:before="100" w:beforeAutospacing="1" w:after="100" w:afterAutospacing="1" w:line="240" w:lineRule="auto"/>
      <w:ind w:firstLine="0" w:firstLineChars="0"/>
    </w:pPr>
    <w:rPr>
      <w:color w:val="000000"/>
      <w:kern w:val="0"/>
      <w:sz w:val="21"/>
      <w:szCs w:val="21"/>
    </w:rPr>
  </w:style>
  <w:style w:type="paragraph" w:customStyle="1" w:styleId="2332">
    <w:name w:val="font19"/>
    <w:basedOn w:val="1"/>
    <w:qFormat/>
    <w:uiPriority w:val="0"/>
    <w:pPr>
      <w:widowControl/>
      <w:adjustRightInd/>
      <w:snapToGrid/>
      <w:spacing w:before="100" w:beforeAutospacing="1" w:after="100" w:afterAutospacing="1" w:line="240" w:lineRule="auto"/>
      <w:ind w:firstLine="0" w:firstLineChars="0"/>
    </w:pPr>
    <w:rPr>
      <w:rFonts w:ascii="仿宋_GB2312" w:hAnsi="宋体" w:cs="宋体"/>
      <w:color w:val="000000"/>
      <w:kern w:val="0"/>
      <w:sz w:val="21"/>
      <w:szCs w:val="21"/>
    </w:rPr>
  </w:style>
  <w:style w:type="paragraph" w:customStyle="1" w:styleId="2333">
    <w:name w:val="xl155"/>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kern w:val="0"/>
      <w:sz w:val="21"/>
      <w:szCs w:val="21"/>
    </w:rPr>
  </w:style>
  <w:style w:type="paragraph" w:customStyle="1" w:styleId="2334">
    <w:name w:val="xl15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仿宋_GB2312" w:hAnsi="宋体" w:cs="宋体"/>
      <w:kern w:val="0"/>
      <w:sz w:val="21"/>
      <w:szCs w:val="21"/>
    </w:rPr>
  </w:style>
  <w:style w:type="paragraph" w:customStyle="1" w:styleId="2335">
    <w:name w:val="xl157"/>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kern w:val="0"/>
      <w:sz w:val="21"/>
      <w:szCs w:val="21"/>
    </w:rPr>
  </w:style>
  <w:style w:type="paragraph" w:customStyle="1" w:styleId="2336">
    <w:name w:val="xl158"/>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kern w:val="0"/>
      <w:sz w:val="21"/>
      <w:szCs w:val="21"/>
    </w:rPr>
  </w:style>
  <w:style w:type="paragraph" w:customStyle="1" w:styleId="2337">
    <w:name w:val="xl15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kern w:val="0"/>
      <w:sz w:val="21"/>
      <w:szCs w:val="21"/>
    </w:rPr>
  </w:style>
  <w:style w:type="paragraph" w:customStyle="1" w:styleId="2338">
    <w:name w:val="xl16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cs="宋体"/>
      <w:kern w:val="0"/>
      <w:sz w:val="21"/>
      <w:szCs w:val="21"/>
    </w:rPr>
  </w:style>
  <w:style w:type="paragraph" w:customStyle="1" w:styleId="2339">
    <w:name w:val="xl161"/>
    <w:basedOn w:val="1"/>
    <w:qFormat/>
    <w:uiPriority w:val="0"/>
    <w:pPr>
      <w:widowControl/>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40">
    <w:name w:val="xl16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kern w:val="0"/>
      <w:sz w:val="21"/>
      <w:szCs w:val="21"/>
    </w:rPr>
  </w:style>
  <w:style w:type="paragraph" w:customStyle="1" w:styleId="2341">
    <w:name w:val="xl163"/>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kern w:val="0"/>
      <w:sz w:val="21"/>
      <w:szCs w:val="21"/>
    </w:rPr>
  </w:style>
  <w:style w:type="paragraph" w:customStyle="1" w:styleId="2342">
    <w:name w:val="xl164"/>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ascii="仿宋_GB2312" w:hAnsi="宋体" w:cs="宋体"/>
      <w:kern w:val="0"/>
      <w:sz w:val="21"/>
      <w:szCs w:val="21"/>
    </w:rPr>
  </w:style>
  <w:style w:type="paragraph" w:customStyle="1" w:styleId="2343">
    <w:name w:val="xl165"/>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00"/>
      <w:kern w:val="0"/>
      <w:sz w:val="21"/>
      <w:szCs w:val="21"/>
    </w:rPr>
  </w:style>
  <w:style w:type="paragraph" w:customStyle="1" w:styleId="2344">
    <w:name w:val="xl166"/>
    <w:basedOn w:val="1"/>
    <w:qFormat/>
    <w:uiPriority w:val="0"/>
    <w:pPr>
      <w:widowControl/>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45">
    <w:name w:val="xl167"/>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346">
    <w:name w:val="xl168"/>
    <w:basedOn w:val="1"/>
    <w:qFormat/>
    <w:uiPriority w:val="0"/>
    <w:pPr>
      <w:widowControl/>
      <w:adjustRightInd/>
      <w:snapToGrid/>
      <w:spacing w:before="100" w:beforeAutospacing="1" w:after="100" w:afterAutospacing="1" w:line="240" w:lineRule="auto"/>
      <w:ind w:firstLine="0" w:firstLineChars="0"/>
      <w:jc w:val="center"/>
      <w:textAlignment w:val="center"/>
    </w:pPr>
    <w:rPr>
      <w:color w:val="0000CC"/>
      <w:kern w:val="0"/>
      <w:sz w:val="22"/>
      <w:szCs w:val="20"/>
    </w:rPr>
  </w:style>
  <w:style w:type="paragraph" w:customStyle="1" w:styleId="2347">
    <w:name w:val="xl169"/>
    <w:basedOn w:val="1"/>
    <w:qFormat/>
    <w:uiPriority w:val="0"/>
    <w:pPr>
      <w:widowControl/>
      <w:adjustRightInd/>
      <w:snapToGrid/>
      <w:spacing w:before="100" w:beforeAutospacing="1" w:after="100" w:afterAutospacing="1" w:line="240" w:lineRule="auto"/>
      <w:ind w:firstLine="0" w:firstLineChars="0"/>
      <w:jc w:val="center"/>
      <w:textAlignment w:val="center"/>
    </w:pPr>
    <w:rPr>
      <w:kern w:val="0"/>
      <w:sz w:val="21"/>
      <w:szCs w:val="21"/>
    </w:rPr>
  </w:style>
  <w:style w:type="paragraph" w:customStyle="1" w:styleId="2348">
    <w:name w:val="xl17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color w:val="000000"/>
      <w:kern w:val="0"/>
      <w:sz w:val="21"/>
      <w:szCs w:val="21"/>
    </w:rPr>
  </w:style>
  <w:style w:type="paragraph" w:customStyle="1" w:styleId="2349">
    <w:name w:val="xl171"/>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kern w:val="0"/>
      <w:sz w:val="21"/>
      <w:szCs w:val="21"/>
    </w:rPr>
  </w:style>
  <w:style w:type="paragraph" w:customStyle="1" w:styleId="2350">
    <w:name w:val="xl172"/>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51">
    <w:name w:val="xl173"/>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color w:val="000000"/>
      <w:kern w:val="0"/>
      <w:sz w:val="21"/>
      <w:szCs w:val="21"/>
    </w:rPr>
  </w:style>
  <w:style w:type="paragraph" w:customStyle="1" w:styleId="2352">
    <w:name w:val="xl174"/>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53">
    <w:name w:val="xl175"/>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kern w:val="0"/>
      <w:sz w:val="21"/>
      <w:szCs w:val="21"/>
    </w:rPr>
  </w:style>
  <w:style w:type="paragraph" w:customStyle="1" w:styleId="2354">
    <w:name w:val="xl176"/>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55">
    <w:name w:val="xl177"/>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宋体" w:hAnsi="宋体" w:cs="宋体"/>
      <w:kern w:val="0"/>
      <w:sz w:val="21"/>
      <w:szCs w:val="21"/>
    </w:rPr>
  </w:style>
  <w:style w:type="paragraph" w:customStyle="1" w:styleId="2356">
    <w:name w:val="xl178"/>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color w:val="000000"/>
      <w:kern w:val="0"/>
      <w:sz w:val="21"/>
      <w:szCs w:val="21"/>
    </w:rPr>
  </w:style>
  <w:style w:type="paragraph" w:customStyle="1" w:styleId="2357">
    <w:name w:val="xl179"/>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仿宋_GB2312" w:hAnsi="宋体" w:cs="宋体"/>
      <w:color w:val="000000"/>
      <w:kern w:val="0"/>
      <w:sz w:val="21"/>
      <w:szCs w:val="21"/>
    </w:rPr>
  </w:style>
  <w:style w:type="paragraph" w:customStyle="1" w:styleId="2358">
    <w:name w:val="xl180"/>
    <w:basedOn w:val="1"/>
    <w:qFormat/>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CC"/>
      <w:kern w:val="0"/>
      <w:sz w:val="22"/>
      <w:szCs w:val="20"/>
    </w:rPr>
  </w:style>
  <w:style w:type="paragraph" w:customStyle="1" w:styleId="2359">
    <w:name w:val="xl181"/>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pPr>
    <w:rPr>
      <w:kern w:val="0"/>
      <w:sz w:val="21"/>
      <w:szCs w:val="21"/>
    </w:rPr>
  </w:style>
  <w:style w:type="paragraph" w:customStyle="1" w:styleId="2360">
    <w:name w:val="xl182"/>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ascii="宋体" w:hAnsi="宋体" w:cs="宋体"/>
      <w:kern w:val="0"/>
      <w:sz w:val="21"/>
      <w:szCs w:val="21"/>
    </w:rPr>
  </w:style>
  <w:style w:type="paragraph" w:customStyle="1" w:styleId="2361">
    <w:name w:val="xl183"/>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62">
    <w:name w:val="xl184"/>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00"/>
      <w:kern w:val="0"/>
      <w:sz w:val="22"/>
      <w:szCs w:val="20"/>
    </w:rPr>
  </w:style>
  <w:style w:type="paragraph" w:customStyle="1" w:styleId="2363">
    <w:name w:val="xl185"/>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pPr>
    <w:rPr>
      <w:color w:val="000000"/>
      <w:kern w:val="0"/>
      <w:sz w:val="21"/>
      <w:szCs w:val="21"/>
    </w:rPr>
  </w:style>
  <w:style w:type="paragraph" w:customStyle="1" w:styleId="2364">
    <w:name w:val="xl186"/>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textAlignment w:val="center"/>
    </w:pPr>
    <w:rPr>
      <w:color w:val="0000CC"/>
      <w:kern w:val="0"/>
      <w:sz w:val="22"/>
      <w:szCs w:val="20"/>
    </w:rPr>
  </w:style>
  <w:style w:type="paragraph" w:customStyle="1" w:styleId="2365">
    <w:name w:val="xl187"/>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color w:val="0000CC"/>
      <w:kern w:val="0"/>
      <w:sz w:val="22"/>
      <w:szCs w:val="20"/>
    </w:rPr>
  </w:style>
  <w:style w:type="paragraph" w:customStyle="1" w:styleId="2366">
    <w:name w:val="xl188"/>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ascii="仿宋_GB2312" w:hAnsi="宋体" w:cs="宋体"/>
      <w:kern w:val="0"/>
      <w:sz w:val="21"/>
      <w:szCs w:val="21"/>
    </w:rPr>
  </w:style>
  <w:style w:type="paragraph" w:customStyle="1" w:styleId="2367">
    <w:name w:val="xl189"/>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仿宋_GB2312" w:hAnsi="宋体" w:cs="宋体"/>
      <w:kern w:val="0"/>
      <w:sz w:val="21"/>
      <w:szCs w:val="21"/>
    </w:rPr>
  </w:style>
  <w:style w:type="paragraph" w:customStyle="1" w:styleId="2368">
    <w:name w:val="xl190"/>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pPr>
    <w:rPr>
      <w:rFonts w:ascii="仿宋_GB2312" w:hAnsi="宋体" w:cs="宋体"/>
      <w:kern w:val="0"/>
      <w:sz w:val="21"/>
      <w:szCs w:val="21"/>
    </w:rPr>
  </w:style>
  <w:style w:type="paragraph" w:customStyle="1" w:styleId="2369">
    <w:name w:val="xl191"/>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pPr>
    <w:rPr>
      <w:rFonts w:ascii="仿宋_GB2312" w:hAnsi="宋体" w:cs="宋体"/>
      <w:kern w:val="0"/>
      <w:sz w:val="21"/>
      <w:szCs w:val="21"/>
    </w:rPr>
  </w:style>
  <w:style w:type="paragraph" w:customStyle="1" w:styleId="2370">
    <w:name w:val="xl192"/>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仿宋_GB2312" w:hAnsi="宋体" w:cs="宋体"/>
      <w:kern w:val="0"/>
      <w:sz w:val="21"/>
      <w:szCs w:val="21"/>
    </w:rPr>
  </w:style>
  <w:style w:type="paragraph" w:customStyle="1" w:styleId="2371">
    <w:name w:val="xl193"/>
    <w:basedOn w:val="1"/>
    <w:qFormat/>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pPr>
    <w:rPr>
      <w:rFonts w:ascii="宋体" w:hAnsi="宋体" w:cs="宋体"/>
      <w:kern w:val="0"/>
      <w:sz w:val="21"/>
      <w:szCs w:val="21"/>
    </w:rPr>
  </w:style>
  <w:style w:type="paragraph" w:customStyle="1" w:styleId="2372">
    <w:name w:val="xl194"/>
    <w:basedOn w:val="1"/>
    <w:qFormat/>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pPr>
    <w:rPr>
      <w:rFonts w:ascii="宋体" w:hAnsi="宋体" w:cs="宋体"/>
      <w:kern w:val="0"/>
      <w:sz w:val="21"/>
      <w:szCs w:val="21"/>
    </w:rPr>
  </w:style>
  <w:style w:type="paragraph" w:customStyle="1" w:styleId="2373">
    <w:name w:val="xl195"/>
    <w:basedOn w:val="1"/>
    <w:qFormat/>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pPr>
    <w:rPr>
      <w:rFonts w:ascii="宋体" w:hAnsi="宋体" w:cs="宋体"/>
      <w:kern w:val="0"/>
      <w:sz w:val="21"/>
      <w:szCs w:val="21"/>
    </w:rPr>
  </w:style>
  <w:style w:type="paragraph" w:customStyle="1" w:styleId="2374">
    <w:name w:val="图中文字"/>
    <w:basedOn w:val="1"/>
    <w:next w:val="1"/>
    <w:qFormat/>
    <w:uiPriority w:val="0"/>
    <w:pPr>
      <w:ind w:firstLine="480"/>
      <w:jc w:val="both"/>
    </w:pPr>
    <w:rPr>
      <w:sz w:val="21"/>
      <w:szCs w:val="20"/>
    </w:rPr>
  </w:style>
  <w:style w:type="character" w:customStyle="1" w:styleId="2375">
    <w:name w:val="新格式表 Char"/>
    <w:link w:val="1370"/>
    <w:qFormat/>
    <w:uiPriority w:val="0"/>
    <w:rPr>
      <w:rFonts w:ascii="ˎ̥" w:hAnsi="ˎ̥"/>
      <w:b/>
      <w:snapToGrid w:val="0"/>
      <w:color w:val="000000"/>
      <w:kern w:val="2"/>
      <w:sz w:val="24"/>
      <w:szCs w:val="24"/>
    </w:rPr>
  </w:style>
  <w:style w:type="paragraph" w:customStyle="1" w:styleId="2376">
    <w:name w:val="图标"/>
    <w:basedOn w:val="1"/>
    <w:next w:val="1"/>
    <w:qFormat/>
    <w:uiPriority w:val="0"/>
    <w:pPr>
      <w:widowControl/>
      <w:ind w:firstLine="0" w:firstLineChars="0"/>
      <w:jc w:val="center"/>
    </w:pPr>
    <w:rPr>
      <w:rFonts w:cs="宋体"/>
      <w:kern w:val="0"/>
      <w:sz w:val="24"/>
      <w:szCs w:val="20"/>
    </w:rPr>
  </w:style>
  <w:style w:type="paragraph" w:customStyle="1" w:styleId="2377">
    <w:name w:val="正文楷体"/>
    <w:basedOn w:val="1"/>
    <w:qFormat/>
    <w:uiPriority w:val="0"/>
    <w:pPr>
      <w:adjustRightInd/>
      <w:snapToGrid/>
      <w:spacing w:line="240" w:lineRule="auto"/>
      <w:ind w:firstLine="0" w:firstLineChars="0"/>
      <w:jc w:val="both"/>
    </w:pPr>
    <w:rPr>
      <w:rFonts w:eastAsia="楷体_GB2312"/>
      <w:sz w:val="21"/>
      <w:szCs w:val="20"/>
    </w:rPr>
  </w:style>
  <w:style w:type="paragraph" w:customStyle="1" w:styleId="2378">
    <w:name w:val="font20"/>
    <w:basedOn w:val="1"/>
    <w:qFormat/>
    <w:uiPriority w:val="0"/>
    <w:pPr>
      <w:widowControl/>
      <w:adjustRightInd/>
      <w:snapToGrid/>
      <w:spacing w:before="100" w:beforeAutospacing="1" w:after="100" w:afterAutospacing="1" w:line="240" w:lineRule="auto"/>
      <w:ind w:firstLine="0" w:firstLineChars="0"/>
    </w:pPr>
    <w:rPr>
      <w:rFonts w:ascii="宋体" w:hAnsi="宋体" w:cs="宋体"/>
      <w:color w:val="000000"/>
      <w:kern w:val="0"/>
      <w:sz w:val="21"/>
      <w:szCs w:val="21"/>
    </w:rPr>
  </w:style>
  <w:style w:type="paragraph" w:customStyle="1" w:styleId="2379">
    <w:name w:val="font21"/>
    <w:basedOn w:val="1"/>
    <w:qFormat/>
    <w:uiPriority w:val="0"/>
    <w:pPr>
      <w:widowControl/>
      <w:adjustRightInd/>
      <w:snapToGrid/>
      <w:spacing w:before="100" w:beforeAutospacing="1" w:after="100" w:afterAutospacing="1" w:line="240" w:lineRule="auto"/>
      <w:ind w:firstLine="0" w:firstLineChars="0"/>
    </w:pPr>
    <w:rPr>
      <w:rFonts w:ascii="宋体" w:hAnsi="宋体" w:cs="宋体"/>
      <w:color w:val="000000"/>
      <w:kern w:val="0"/>
      <w:sz w:val="21"/>
      <w:szCs w:val="21"/>
    </w:rPr>
  </w:style>
  <w:style w:type="paragraph" w:customStyle="1" w:styleId="2380">
    <w:name w:val="font22"/>
    <w:basedOn w:val="1"/>
    <w:qFormat/>
    <w:uiPriority w:val="0"/>
    <w:pPr>
      <w:widowControl/>
      <w:adjustRightInd/>
      <w:snapToGrid/>
      <w:spacing w:before="100" w:beforeAutospacing="1" w:after="100" w:afterAutospacing="1" w:line="240" w:lineRule="auto"/>
      <w:ind w:firstLine="0" w:firstLineChars="0"/>
    </w:pPr>
    <w:rPr>
      <w:rFonts w:ascii="宋体" w:hAnsi="宋体" w:cs="宋体"/>
      <w:color w:val="000000"/>
      <w:kern w:val="0"/>
      <w:sz w:val="21"/>
      <w:szCs w:val="21"/>
    </w:rPr>
  </w:style>
  <w:style w:type="paragraph" w:customStyle="1" w:styleId="2381">
    <w:name w:val="font23"/>
    <w:basedOn w:val="1"/>
    <w:qFormat/>
    <w:uiPriority w:val="0"/>
    <w:pPr>
      <w:widowControl/>
      <w:adjustRightInd/>
      <w:snapToGrid/>
      <w:spacing w:before="100" w:beforeAutospacing="1" w:after="100" w:afterAutospacing="1" w:line="240" w:lineRule="auto"/>
      <w:ind w:firstLine="0" w:firstLineChars="0"/>
    </w:pPr>
    <w:rPr>
      <w:color w:val="000000"/>
      <w:kern w:val="0"/>
      <w:sz w:val="21"/>
      <w:szCs w:val="21"/>
    </w:rPr>
  </w:style>
  <w:style w:type="paragraph" w:customStyle="1" w:styleId="2382">
    <w:name w:val="font24"/>
    <w:basedOn w:val="1"/>
    <w:qFormat/>
    <w:uiPriority w:val="0"/>
    <w:pPr>
      <w:widowControl/>
      <w:adjustRightInd/>
      <w:snapToGrid/>
      <w:spacing w:before="100" w:beforeAutospacing="1" w:after="100" w:afterAutospacing="1" w:line="240" w:lineRule="auto"/>
      <w:ind w:firstLine="0" w:firstLineChars="0"/>
    </w:pPr>
    <w:rPr>
      <w:color w:val="000000"/>
      <w:kern w:val="0"/>
      <w:sz w:val="21"/>
      <w:szCs w:val="21"/>
    </w:rPr>
  </w:style>
  <w:style w:type="paragraph" w:customStyle="1" w:styleId="2383">
    <w:name w:val="font25"/>
    <w:basedOn w:val="1"/>
    <w:qFormat/>
    <w:uiPriority w:val="0"/>
    <w:pPr>
      <w:widowControl/>
      <w:adjustRightInd/>
      <w:snapToGrid/>
      <w:spacing w:before="100" w:beforeAutospacing="1" w:after="100" w:afterAutospacing="1" w:line="240" w:lineRule="auto"/>
      <w:ind w:firstLine="0" w:firstLineChars="0"/>
    </w:pPr>
    <w:rPr>
      <w:rFonts w:ascii="宋体" w:hAnsi="宋体" w:cs="宋体"/>
      <w:color w:val="000000"/>
      <w:kern w:val="0"/>
      <w:sz w:val="21"/>
      <w:szCs w:val="21"/>
    </w:rPr>
  </w:style>
  <w:style w:type="character" w:customStyle="1" w:styleId="2384">
    <w:name w:val="环科院表格标题 Char Char"/>
    <w:link w:val="2385"/>
    <w:qFormat/>
    <w:uiPriority w:val="0"/>
    <w:rPr>
      <w:rFonts w:eastAsia="黑体"/>
      <w:bCs/>
      <w:szCs w:val="21"/>
    </w:rPr>
  </w:style>
  <w:style w:type="paragraph" w:customStyle="1" w:styleId="2385">
    <w:name w:val="环科院表格标题"/>
    <w:basedOn w:val="1"/>
    <w:link w:val="2384"/>
    <w:qFormat/>
    <w:uiPriority w:val="0"/>
    <w:pPr>
      <w:adjustRightInd/>
      <w:snapToGrid/>
      <w:spacing w:beforeLines="50" w:line="240" w:lineRule="auto"/>
      <w:ind w:firstLine="0" w:firstLineChars="0"/>
      <w:jc w:val="center"/>
    </w:pPr>
    <w:rPr>
      <w:rFonts w:ascii="Calibri" w:hAnsi="Calibri" w:eastAsia="黑体"/>
      <w:bCs/>
      <w:kern w:val="0"/>
      <w:sz w:val="20"/>
      <w:szCs w:val="21"/>
    </w:rPr>
  </w:style>
  <w:style w:type="character" w:customStyle="1" w:styleId="2386">
    <w:name w:val="环科院正文 Char Char"/>
    <w:link w:val="2387"/>
    <w:qFormat/>
    <w:uiPriority w:val="0"/>
    <w:rPr>
      <w:sz w:val="24"/>
      <w:szCs w:val="24"/>
    </w:rPr>
  </w:style>
  <w:style w:type="paragraph" w:customStyle="1" w:styleId="2387">
    <w:name w:val="环科院正文"/>
    <w:basedOn w:val="1"/>
    <w:link w:val="2386"/>
    <w:qFormat/>
    <w:uiPriority w:val="0"/>
    <w:pPr>
      <w:adjustRightInd/>
      <w:snapToGrid/>
      <w:spacing w:line="300" w:lineRule="auto"/>
      <w:ind w:firstLine="480"/>
      <w:jc w:val="both"/>
    </w:pPr>
    <w:rPr>
      <w:rFonts w:ascii="Calibri" w:hAnsi="Calibri"/>
      <w:kern w:val="0"/>
      <w:sz w:val="24"/>
      <w:szCs w:val="24"/>
    </w:rPr>
  </w:style>
  <w:style w:type="character" w:customStyle="1" w:styleId="2388">
    <w:name w:val="环科院正文加粗 Char Char"/>
    <w:link w:val="2389"/>
    <w:qFormat/>
    <w:uiPriority w:val="0"/>
    <w:rPr>
      <w:rFonts w:ascii="宋体" w:hAnsi="宋体"/>
      <w:b/>
      <w:snapToGrid w:val="0"/>
      <w:color w:val="000000"/>
      <w:sz w:val="24"/>
      <w:szCs w:val="24"/>
    </w:rPr>
  </w:style>
  <w:style w:type="paragraph" w:customStyle="1" w:styleId="2389">
    <w:name w:val="环科院正文加粗"/>
    <w:basedOn w:val="2387"/>
    <w:link w:val="2388"/>
    <w:qFormat/>
    <w:uiPriority w:val="0"/>
    <w:pPr>
      <w:ind w:firstLine="482"/>
    </w:pPr>
    <w:rPr>
      <w:rFonts w:ascii="宋体" w:hAnsi="宋体"/>
      <w:b/>
      <w:snapToGrid w:val="0"/>
      <w:color w:val="000000"/>
    </w:rPr>
  </w:style>
  <w:style w:type="paragraph" w:customStyle="1" w:styleId="2390">
    <w:name w:val="Style40"/>
    <w:qFormat/>
    <w:uiPriority w:val="0"/>
    <w:pPr>
      <w:jc w:val="both"/>
    </w:pPr>
    <w:rPr>
      <w:rFonts w:ascii="Arial" w:hAnsi="Arial" w:eastAsia="宋体" w:cs="Times New Roman"/>
      <w:snapToGrid w:val="0"/>
      <w:sz w:val="24"/>
      <w:lang w:val="fr-FR" w:eastAsia="fr-FR" w:bidi="ar-SA"/>
    </w:rPr>
  </w:style>
  <w:style w:type="paragraph" w:customStyle="1" w:styleId="2391">
    <w:name w:val="_Style 210"/>
    <w:basedOn w:val="1"/>
    <w:qFormat/>
    <w:uiPriority w:val="0"/>
    <w:pPr>
      <w:adjustRightInd/>
      <w:snapToGrid/>
      <w:spacing w:line="240" w:lineRule="auto"/>
      <w:ind w:firstLine="0" w:firstLineChars="0"/>
      <w:jc w:val="both"/>
    </w:pPr>
    <w:rPr>
      <w:rFonts w:ascii="宋体"/>
      <w:kern w:val="0"/>
      <w:sz w:val="24"/>
      <w:szCs w:val="20"/>
    </w:rPr>
  </w:style>
  <w:style w:type="table" w:customStyle="1" w:styleId="2392">
    <w:name w:val="专业网格21"/>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393">
    <w:name w:val="表格样式2"/>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table" w:customStyle="1" w:styleId="2394">
    <w:name w:val="专业网格31"/>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395">
    <w:name w:val="列表 Char1"/>
    <w:qFormat/>
    <w:uiPriority w:val="0"/>
    <w:rPr>
      <w:kern w:val="2"/>
      <w:sz w:val="21"/>
      <w:szCs w:val="24"/>
    </w:rPr>
  </w:style>
  <w:style w:type="table" w:customStyle="1" w:styleId="2396">
    <w:name w:val="网格型 711"/>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paragraph" w:customStyle="1" w:styleId="2397">
    <w:name w:val="正文16"/>
    <w:basedOn w:val="1"/>
    <w:qFormat/>
    <w:uiPriority w:val="0"/>
    <w:pPr>
      <w:snapToGrid/>
      <w:spacing w:before="120" w:line="315" w:lineRule="atLeast"/>
      <w:ind w:firstLine="0" w:firstLineChars="0"/>
      <w:textAlignment w:val="baseline"/>
    </w:pPr>
    <w:rPr>
      <w:rFonts w:ascii="宋体"/>
      <w:kern w:val="0"/>
      <w:sz w:val="24"/>
      <w:szCs w:val="20"/>
    </w:rPr>
  </w:style>
  <w:style w:type="character" w:customStyle="1" w:styleId="2398">
    <w:name w:val="已访问的超级链接"/>
    <w:qFormat/>
    <w:uiPriority w:val="0"/>
    <w:rPr>
      <w:rFonts w:ascii="Times New Roman" w:eastAsia="宋体"/>
      <w:color w:val="800080"/>
      <w:spacing w:val="0"/>
      <w:w w:val="100"/>
      <w:sz w:val="21"/>
      <w:u w:val="single" w:color="800080"/>
      <w:vertAlign w:val="baseline"/>
      <w:lang w:val="en-US" w:eastAsia="zh-CN"/>
    </w:rPr>
  </w:style>
  <w:style w:type="paragraph" w:customStyle="1" w:styleId="2399">
    <w:name w:val="HTML 预先格式化"/>
    <w:basedOn w:val="1"/>
    <w:qFormat/>
    <w:uiPriority w:val="0"/>
    <w:pPr>
      <w:widowControl/>
      <w:tabs>
        <w:tab w:val="left" w:pos="912"/>
        <w:tab w:val="left" w:pos="1831"/>
        <w:tab w:val="left" w:pos="2743"/>
        <w:tab w:val="left" w:pos="3662"/>
        <w:tab w:val="left" w:pos="4575"/>
        <w:tab w:val="left" w:pos="5493"/>
        <w:tab w:val="left" w:pos="6406"/>
        <w:tab w:val="left" w:pos="7324"/>
        <w:tab w:val="left" w:pos="8237"/>
        <w:tab w:val="left" w:pos="9150"/>
        <w:tab w:val="left" w:pos="10068"/>
        <w:tab w:val="left" w:pos="10981"/>
        <w:tab w:val="left" w:pos="11899"/>
        <w:tab w:val="left" w:pos="12812"/>
        <w:tab w:val="left" w:pos="13730"/>
        <w:tab w:val="left" w:pos="14643"/>
      </w:tabs>
      <w:adjustRightInd/>
      <w:snapToGrid/>
      <w:spacing w:line="351" w:lineRule="atLeast"/>
      <w:ind w:firstLine="419" w:firstLineChars="0"/>
      <w:textAlignment w:val="baseline"/>
    </w:pPr>
    <w:rPr>
      <w:rFonts w:ascii="黑体" w:eastAsia="黑体"/>
      <w:color w:val="000000"/>
      <w:kern w:val="0"/>
      <w:sz w:val="21"/>
      <w:szCs w:val="20"/>
      <w:u w:color="000000"/>
    </w:rPr>
  </w:style>
  <w:style w:type="paragraph" w:customStyle="1" w:styleId="2400">
    <w:name w:val="正文文本缩进 32"/>
    <w:basedOn w:val="1"/>
    <w:qFormat/>
    <w:uiPriority w:val="0"/>
    <w:pPr>
      <w:adjustRightInd/>
      <w:snapToGrid/>
      <w:spacing w:after="120" w:line="240" w:lineRule="auto"/>
      <w:ind w:left="420" w:leftChars="200" w:firstLine="0" w:firstLineChars="0"/>
      <w:jc w:val="both"/>
    </w:pPr>
    <w:rPr>
      <w:sz w:val="16"/>
      <w:szCs w:val="16"/>
    </w:rPr>
  </w:style>
  <w:style w:type="paragraph" w:customStyle="1" w:styleId="2401">
    <w:name w:val="无间隔2"/>
    <w:qFormat/>
    <w:uiPriority w:val="0"/>
    <w:pPr>
      <w:widowControl w:val="0"/>
      <w:tabs>
        <w:tab w:val="left" w:pos="360"/>
      </w:tabs>
      <w:jc w:val="both"/>
    </w:pPr>
    <w:rPr>
      <w:rFonts w:ascii="宋体" w:hAnsi="宋体" w:eastAsia="宋体" w:cs="Times New Roman"/>
      <w:kern w:val="2"/>
      <w:sz w:val="32"/>
      <w:szCs w:val="32"/>
      <w:lang w:val="en-US" w:eastAsia="zh-CN" w:bidi="ar-SA"/>
    </w:rPr>
  </w:style>
  <w:style w:type="paragraph" w:customStyle="1" w:styleId="2402">
    <w:name w:val="样式11111"/>
    <w:basedOn w:val="1"/>
    <w:link w:val="2403"/>
    <w:qFormat/>
    <w:uiPriority w:val="0"/>
    <w:pPr>
      <w:spacing w:afterLines="100" w:line="460" w:lineRule="exact"/>
      <w:ind w:firstLine="0" w:firstLineChars="0"/>
      <w:jc w:val="center"/>
      <w:outlineLvl w:val="0"/>
    </w:pPr>
    <w:rPr>
      <w:rFonts w:eastAsia="黑体" w:cs="Arial"/>
      <w:b/>
      <w:bCs/>
      <w:snapToGrid w:val="0"/>
      <w:kern w:val="0"/>
      <w:sz w:val="30"/>
      <w:szCs w:val="32"/>
    </w:rPr>
  </w:style>
  <w:style w:type="character" w:customStyle="1" w:styleId="2403">
    <w:name w:val="样式11111 Char"/>
    <w:link w:val="2402"/>
    <w:qFormat/>
    <w:uiPriority w:val="0"/>
    <w:rPr>
      <w:rFonts w:ascii="Times New Roman" w:hAnsi="Times New Roman" w:eastAsia="黑体" w:cs="Arial"/>
      <w:b/>
      <w:bCs/>
      <w:snapToGrid w:val="0"/>
      <w:sz w:val="30"/>
      <w:szCs w:val="32"/>
    </w:rPr>
  </w:style>
  <w:style w:type="table" w:customStyle="1" w:styleId="2404">
    <w:name w:val="专业网格4"/>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5">
    <w:name w:val="网格型 72"/>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paragraph" w:customStyle="1" w:styleId="2406">
    <w:name w:val="图头字体"/>
    <w:basedOn w:val="2141"/>
    <w:link w:val="2408"/>
    <w:qFormat/>
    <w:uiPriority w:val="0"/>
    <w:pPr>
      <w:spacing w:beforeLines="0"/>
    </w:pPr>
  </w:style>
  <w:style w:type="table" w:customStyle="1" w:styleId="2407">
    <w:name w:val="专业网格5"/>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408">
    <w:name w:val="图头字体 Char"/>
    <w:link w:val="2406"/>
    <w:qFormat/>
    <w:uiPriority w:val="0"/>
    <w:rPr>
      <w:rFonts w:ascii="Times New Roman" w:hAnsi="Times New Roman"/>
      <w:b/>
      <w:kern w:val="2"/>
      <w:sz w:val="24"/>
      <w:szCs w:val="24"/>
    </w:rPr>
  </w:style>
  <w:style w:type="table" w:customStyle="1" w:styleId="2409">
    <w:name w:val="网格型 73"/>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2410">
    <w:name w:val="网格型模版1"/>
    <w:basedOn w:val="88"/>
    <w:semiHidden/>
    <w:qFormat/>
    <w:uiPriority w:val="0"/>
    <w:pPr>
      <w:widowControl w:val="0"/>
      <w:adjustRightInd w:val="0"/>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1">
    <w:name w:val="网格型8"/>
    <w:basedOn w:val="88"/>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2">
    <w:name w:val="网格型9"/>
    <w:basedOn w:val="88"/>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3">
    <w:name w:val="专业网格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4">
    <w:name w:val="网格型 12"/>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2415">
    <w:name w:val="网格型 53"/>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2416">
    <w:name w:val="列表型 52"/>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2417">
    <w:name w:val="网格型 512"/>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2418">
    <w:name w:val="网格型 74"/>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2419">
    <w:name w:val="专业网格12"/>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420">
    <w:name w:val="表格样式12"/>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table" w:customStyle="1" w:styleId="2421">
    <w:name w:val="专业网格22"/>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422">
    <w:name w:val="专业网格32"/>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3">
    <w:name w:val="网格型 712"/>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character" w:customStyle="1" w:styleId="2424">
    <w:name w:val="标题 1 Char2"/>
    <w:qFormat/>
    <w:uiPriority w:val="9"/>
    <w:rPr>
      <w:rFonts w:ascii="Times New Roman" w:hAnsi="Times New Roman" w:eastAsia="宋体" w:cs="Times New Roman"/>
      <w:b/>
      <w:bCs/>
      <w:kern w:val="44"/>
      <w:sz w:val="30"/>
      <w:szCs w:val="44"/>
    </w:rPr>
  </w:style>
  <w:style w:type="table" w:customStyle="1" w:styleId="2425">
    <w:name w:val="网格型-无边竖线1"/>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426">
    <w:name w:val="headline-content"/>
    <w:qFormat/>
    <w:uiPriority w:val="0"/>
  </w:style>
  <w:style w:type="character" w:styleId="2427">
    <w:name w:val="Placeholder Text"/>
    <w:semiHidden/>
    <w:qFormat/>
    <w:uiPriority w:val="99"/>
    <w:rPr>
      <w:color w:val="808080"/>
    </w:rPr>
  </w:style>
  <w:style w:type="character" w:customStyle="1" w:styleId="2428">
    <w:name w:val="明显引用 Char1"/>
    <w:basedOn w:val="132"/>
    <w:qFormat/>
    <w:uiPriority w:val="30"/>
    <w:rPr>
      <w:rFonts w:ascii="Times New Roman" w:hAnsi="Times New Roman" w:eastAsia="宋体" w:cs="Times New Roman"/>
      <w:b/>
      <w:bCs/>
      <w:i/>
      <w:iCs/>
      <w:color w:val="4F81BD"/>
      <w:kern w:val="0"/>
      <w:sz w:val="24"/>
      <w:szCs w:val="24"/>
    </w:rPr>
  </w:style>
  <w:style w:type="paragraph" w:customStyle="1" w:styleId="2429">
    <w:name w:val="样式 列表 2 + 华文仿宋 居中"/>
    <w:basedOn w:val="37"/>
    <w:qFormat/>
    <w:uiPriority w:val="0"/>
    <w:pPr>
      <w:ind w:left="0" w:leftChars="0" w:firstLine="0" w:firstLineChars="0"/>
      <w:jc w:val="center"/>
    </w:pPr>
    <w:rPr>
      <w:sz w:val="22"/>
      <w:szCs w:val="22"/>
    </w:rPr>
  </w:style>
  <w:style w:type="character" w:customStyle="1" w:styleId="2430">
    <w:name w:val="lemmatitleh11"/>
    <w:qFormat/>
    <w:uiPriority w:val="0"/>
  </w:style>
  <w:style w:type="paragraph" w:customStyle="1" w:styleId="2431">
    <w:name w:val="样式 四号 首行缩进:  2 字符"/>
    <w:basedOn w:val="1"/>
    <w:qFormat/>
    <w:uiPriority w:val="0"/>
    <w:pPr>
      <w:adjustRightInd/>
      <w:snapToGrid/>
      <w:spacing w:line="480" w:lineRule="atLeast"/>
      <w:jc w:val="both"/>
    </w:pPr>
    <w:rPr>
      <w:sz w:val="24"/>
      <w:szCs w:val="24"/>
    </w:rPr>
  </w:style>
  <w:style w:type="character" w:customStyle="1" w:styleId="2432">
    <w:name w:val="g Char Char2"/>
    <w:qFormat/>
    <w:uiPriority w:val="0"/>
    <w:rPr>
      <w:rFonts w:eastAsia="宋体"/>
      <w:sz w:val="18"/>
      <w:szCs w:val="18"/>
      <w:lang w:bidi="ar-SA"/>
    </w:rPr>
  </w:style>
  <w:style w:type="character" w:customStyle="1" w:styleId="2433">
    <w:name w:val="正文首行缩进 2 + Times New Roman Char"/>
    <w:qFormat/>
    <w:uiPriority w:val="0"/>
    <w:rPr>
      <w:rFonts w:eastAsia="宋体"/>
      <w:sz w:val="24"/>
      <w:szCs w:val="24"/>
      <w:lang w:val="en-US" w:eastAsia="zh-CN" w:bidi="ar-SA"/>
    </w:rPr>
  </w:style>
  <w:style w:type="character" w:customStyle="1" w:styleId="2434">
    <w:name w:val="列表 3 字符"/>
    <w:link w:val="12"/>
    <w:qFormat/>
    <w:locked/>
    <w:uiPriority w:val="0"/>
    <w:rPr>
      <w:rFonts w:ascii="Times New Roman" w:hAnsi="Times New Roman"/>
      <w:kern w:val="2"/>
      <w:sz w:val="21"/>
      <w:szCs w:val="24"/>
    </w:rPr>
  </w:style>
  <w:style w:type="paragraph" w:customStyle="1" w:styleId="2435">
    <w:name w:val="main"/>
    <w:basedOn w:val="1"/>
    <w:qFormat/>
    <w:uiPriority w:val="0"/>
    <w:pPr>
      <w:widowControl/>
      <w:adjustRightInd/>
      <w:snapToGrid/>
      <w:spacing w:before="100" w:beforeAutospacing="1" w:after="100" w:afterAutospacing="1" w:line="240" w:lineRule="auto"/>
      <w:ind w:firstLine="400" w:firstLineChars="0"/>
    </w:pPr>
    <w:rPr>
      <w:rFonts w:eastAsia="Arial Unicode MS" w:cs="Arial Unicode MS"/>
      <w:color w:val="0033CC"/>
      <w:kern w:val="0"/>
      <w:sz w:val="18"/>
      <w:szCs w:val="18"/>
    </w:rPr>
  </w:style>
  <w:style w:type="paragraph" w:customStyle="1" w:styleId="2436">
    <w:name w:val="表格内正文"/>
    <w:qFormat/>
    <w:uiPriority w:val="0"/>
    <w:pPr>
      <w:widowControl w:val="0"/>
      <w:spacing w:line="360" w:lineRule="exact"/>
      <w:ind w:firstLine="420" w:firstLineChars="200"/>
      <w:jc w:val="both"/>
    </w:pPr>
    <w:rPr>
      <w:rFonts w:ascii="Times New Roman" w:hAnsi="Times New Roman" w:eastAsia="宋体" w:cs="Times New Roman"/>
      <w:kern w:val="2"/>
      <w:sz w:val="21"/>
      <w:szCs w:val="24"/>
      <w:lang w:val="en-US" w:eastAsia="zh-CN" w:bidi="ar-SA"/>
    </w:rPr>
  </w:style>
  <w:style w:type="paragraph" w:customStyle="1" w:styleId="2437">
    <w:name w:val="样式 首行缩进:  2 字符 行距: 固定值 26 磅"/>
    <w:basedOn w:val="1"/>
    <w:qFormat/>
    <w:uiPriority w:val="0"/>
    <w:pPr>
      <w:adjustRightInd/>
      <w:snapToGrid/>
      <w:jc w:val="both"/>
    </w:pPr>
    <w:rPr>
      <w:rFonts w:cs="宋体"/>
      <w:sz w:val="24"/>
      <w:szCs w:val="20"/>
    </w:rPr>
  </w:style>
  <w:style w:type="character" w:customStyle="1" w:styleId="2438">
    <w:name w:val="样式 正文文本缩进 2正文文字缩进 2 + 四号 蓝色 Char Char"/>
    <w:link w:val="2439"/>
    <w:qFormat/>
    <w:locked/>
    <w:uiPriority w:val="0"/>
    <w:rPr>
      <w:rFonts w:ascii="Times New Roman" w:hAnsi="Times New Roman"/>
      <w:color w:val="0000FF"/>
      <w:sz w:val="24"/>
      <w:szCs w:val="24"/>
    </w:rPr>
  </w:style>
  <w:style w:type="paragraph" w:customStyle="1" w:styleId="2439">
    <w:name w:val="样式 正文文本缩进 2正文文字缩进 2 + 四号 蓝色 Char"/>
    <w:basedOn w:val="51"/>
    <w:link w:val="2438"/>
    <w:qFormat/>
    <w:uiPriority w:val="0"/>
    <w:pPr>
      <w:adjustRightInd w:val="0"/>
      <w:spacing w:beforeLines="0" w:afterLines="0" w:line="480" w:lineRule="exact"/>
      <w:ind w:left="0" w:leftChars="0" w:firstLine="709" w:firstLineChars="0"/>
    </w:pPr>
    <w:rPr>
      <w:color w:val="0000FF"/>
      <w:kern w:val="0"/>
    </w:rPr>
  </w:style>
  <w:style w:type="character" w:customStyle="1" w:styleId="2440">
    <w:name w:val="表格1 Char"/>
    <w:link w:val="384"/>
    <w:qFormat/>
    <w:locked/>
    <w:uiPriority w:val="0"/>
    <w:rPr>
      <w:rFonts w:ascii="Times New Roman" w:hAnsi="Times New Roman"/>
      <w:bCs/>
      <w:color w:val="000000"/>
      <w:sz w:val="21"/>
      <w:szCs w:val="19"/>
    </w:rPr>
  </w:style>
  <w:style w:type="paragraph" w:customStyle="1" w:styleId="2441">
    <w:name w:val="样式 红色 首行缩进:  2 字符"/>
    <w:basedOn w:val="1"/>
    <w:qFormat/>
    <w:uiPriority w:val="0"/>
    <w:pPr>
      <w:adjustRightInd/>
      <w:snapToGrid/>
      <w:ind w:firstLine="480"/>
      <w:jc w:val="both"/>
    </w:pPr>
    <w:rPr>
      <w:rFonts w:cs="宋体"/>
      <w:color w:val="FF0000"/>
      <w:sz w:val="24"/>
      <w:szCs w:val="20"/>
    </w:rPr>
  </w:style>
  <w:style w:type="paragraph" w:customStyle="1" w:styleId="2442">
    <w:name w:val="样式 正文文本缩进 2正文文字缩进 2 + 四号 蓝色"/>
    <w:basedOn w:val="51"/>
    <w:qFormat/>
    <w:uiPriority w:val="0"/>
    <w:pPr>
      <w:adjustRightInd w:val="0"/>
      <w:spacing w:beforeLines="0" w:afterLines="0" w:line="480" w:lineRule="exact"/>
      <w:ind w:left="0" w:leftChars="0" w:firstLine="709" w:firstLineChars="0"/>
    </w:pPr>
    <w:rPr>
      <w:rFonts w:eastAsia="Times New Roman"/>
      <w:color w:val="0000FF"/>
      <w:kern w:val="0"/>
    </w:rPr>
  </w:style>
  <w:style w:type="paragraph" w:customStyle="1" w:styleId="2443">
    <w:name w:val="样式 五号 居中 行距: 最小值 18 磅"/>
    <w:basedOn w:val="1"/>
    <w:qFormat/>
    <w:uiPriority w:val="0"/>
    <w:pPr>
      <w:adjustRightInd/>
      <w:snapToGrid/>
      <w:spacing w:line="360" w:lineRule="atLeast"/>
      <w:ind w:firstLine="0" w:firstLineChars="0"/>
      <w:jc w:val="center"/>
    </w:pPr>
    <w:rPr>
      <w:rFonts w:cs="宋体"/>
      <w:sz w:val="21"/>
      <w:szCs w:val="20"/>
    </w:rPr>
  </w:style>
  <w:style w:type="paragraph" w:customStyle="1" w:styleId="2444">
    <w:name w:val="样式 (中文) 黑体"/>
    <w:basedOn w:val="1"/>
    <w:qFormat/>
    <w:uiPriority w:val="0"/>
    <w:pPr>
      <w:adjustRightInd/>
      <w:snapToGrid/>
      <w:ind w:firstLine="567" w:firstLineChars="0"/>
      <w:jc w:val="both"/>
    </w:pPr>
    <w:rPr>
      <w:rFonts w:eastAsia="黑体" w:cs="宋体"/>
      <w:kern w:val="0"/>
      <w:sz w:val="24"/>
      <w:szCs w:val="20"/>
    </w:rPr>
  </w:style>
  <w:style w:type="paragraph" w:customStyle="1" w:styleId="2445">
    <w:name w:val="热电厂正文"/>
    <w:basedOn w:val="1"/>
    <w:qFormat/>
    <w:uiPriority w:val="0"/>
    <w:pPr>
      <w:adjustRightInd/>
      <w:snapToGrid/>
      <w:spacing w:line="440" w:lineRule="exact"/>
      <w:ind w:firstLine="480"/>
      <w:jc w:val="both"/>
    </w:pPr>
    <w:rPr>
      <w:sz w:val="24"/>
      <w:szCs w:val="24"/>
    </w:rPr>
  </w:style>
  <w:style w:type="paragraph" w:customStyle="1" w:styleId="2446">
    <w:name w:val="标题后正文"/>
    <w:basedOn w:val="1"/>
    <w:qFormat/>
    <w:uiPriority w:val="0"/>
    <w:pPr>
      <w:spacing w:line="360" w:lineRule="auto"/>
      <w:jc w:val="both"/>
    </w:pPr>
    <w:rPr>
      <w:rFonts w:ascii="Arial" w:hAnsi="Arial"/>
      <w:kern w:val="28"/>
      <w:sz w:val="24"/>
      <w:szCs w:val="20"/>
    </w:rPr>
  </w:style>
  <w:style w:type="paragraph" w:customStyle="1" w:styleId="2447">
    <w:name w:val="样式 小四 首行缩进:  0.74 厘米 行距: 固定值 20 磅"/>
    <w:basedOn w:val="1"/>
    <w:qFormat/>
    <w:uiPriority w:val="0"/>
    <w:pPr>
      <w:adjustRightInd/>
      <w:snapToGrid/>
      <w:spacing w:line="440" w:lineRule="exact"/>
      <w:ind w:firstLine="454" w:firstLineChars="0"/>
      <w:jc w:val="both"/>
    </w:pPr>
    <w:rPr>
      <w:sz w:val="24"/>
      <w:szCs w:val="20"/>
    </w:rPr>
  </w:style>
  <w:style w:type="character" w:customStyle="1" w:styleId="2448">
    <w:name w:val="标准 Char Char"/>
    <w:link w:val="2449"/>
    <w:qFormat/>
    <w:locked/>
    <w:uiPriority w:val="0"/>
    <w:rPr>
      <w:sz w:val="28"/>
    </w:rPr>
  </w:style>
  <w:style w:type="paragraph" w:customStyle="1" w:styleId="2449">
    <w:name w:val="标准 Char"/>
    <w:basedOn w:val="1"/>
    <w:link w:val="2448"/>
    <w:qFormat/>
    <w:uiPriority w:val="0"/>
    <w:pPr>
      <w:snapToGrid/>
      <w:ind w:firstLine="0" w:firstLineChars="0"/>
      <w:jc w:val="both"/>
    </w:pPr>
    <w:rPr>
      <w:rFonts w:ascii="Calibri" w:hAnsi="Calibri"/>
      <w:kern w:val="0"/>
      <w:sz w:val="28"/>
      <w:szCs w:val="20"/>
    </w:rPr>
  </w:style>
  <w:style w:type="paragraph" w:customStyle="1" w:styleId="2450">
    <w:name w:val="样式 小四 行距: 固定值 24 磅 首行缩进:  2 字符"/>
    <w:basedOn w:val="1"/>
    <w:qFormat/>
    <w:uiPriority w:val="0"/>
    <w:pPr>
      <w:adjustRightInd/>
      <w:snapToGrid/>
      <w:spacing w:line="440" w:lineRule="exact"/>
      <w:jc w:val="both"/>
    </w:pPr>
    <w:rPr>
      <w:sz w:val="24"/>
      <w:szCs w:val="24"/>
    </w:rPr>
  </w:style>
  <w:style w:type="paragraph" w:customStyle="1" w:styleId="2451">
    <w:name w:val="农业部一"/>
    <w:next w:val="34"/>
    <w:qFormat/>
    <w:uiPriority w:val="0"/>
    <w:pPr>
      <w:widowControl w:val="0"/>
      <w:topLinePunct/>
      <w:spacing w:line="360" w:lineRule="atLeast"/>
      <w:jc w:val="center"/>
    </w:pPr>
    <w:rPr>
      <w:rFonts w:ascii="Times New Roman" w:hAnsi="Times New Roman" w:eastAsia="宋体" w:cs="Times New Roman"/>
      <w:kern w:val="2"/>
      <w:sz w:val="24"/>
      <w:szCs w:val="24"/>
      <w:lang w:val="en-US" w:eastAsia="zh-CN" w:bidi="ar-SA"/>
    </w:rPr>
  </w:style>
  <w:style w:type="paragraph" w:customStyle="1" w:styleId="2452">
    <w:name w:val="5#表格"/>
    <w:basedOn w:val="1"/>
    <w:qFormat/>
    <w:uiPriority w:val="0"/>
    <w:pPr>
      <w:tabs>
        <w:tab w:val="left" w:pos="600"/>
      </w:tabs>
      <w:snapToGrid/>
      <w:spacing w:line="360" w:lineRule="exact"/>
      <w:ind w:firstLine="0" w:firstLineChars="0"/>
      <w:jc w:val="center"/>
    </w:pPr>
    <w:rPr>
      <w:kern w:val="0"/>
      <w:sz w:val="21"/>
      <w:szCs w:val="21"/>
    </w:rPr>
  </w:style>
  <w:style w:type="paragraph" w:customStyle="1" w:styleId="2453">
    <w:name w:val="国函"/>
    <w:next w:val="1"/>
    <w:qFormat/>
    <w:uiPriority w:val="0"/>
    <w:pPr>
      <w:adjustRightInd w:val="0"/>
      <w:spacing w:after="300"/>
      <w:jc w:val="center"/>
    </w:pPr>
    <w:rPr>
      <w:rFonts w:ascii="Times New Roman" w:hAnsi="Times New Roman" w:eastAsia="楷体_GB2312" w:cs="Times New Roman"/>
      <w:lang w:val="en-US" w:eastAsia="zh-CN" w:bidi="ar-SA"/>
    </w:rPr>
  </w:style>
  <w:style w:type="paragraph" w:customStyle="1" w:styleId="2454">
    <w:name w:val="样式 标题 1 + 浅蓝 首行缩进:  0 厘米"/>
    <w:basedOn w:val="3"/>
    <w:qFormat/>
    <w:uiPriority w:val="0"/>
    <w:pPr>
      <w:keepNext/>
      <w:keepLines/>
      <w:widowControl w:val="0"/>
      <w:numPr>
        <w:numId w:val="0"/>
      </w:numPr>
      <w:tabs>
        <w:tab w:val="left" w:pos="360"/>
        <w:tab w:val="clear" w:pos="0"/>
      </w:tabs>
      <w:spacing w:beforeLines="0" w:afterLines="0" w:line="360" w:lineRule="auto"/>
      <w:ind w:firstLine="567"/>
      <w:jc w:val="left"/>
    </w:pPr>
    <w:rPr>
      <w:bCs w:val="0"/>
      <w:snapToGrid/>
      <w:color w:val="3366FF"/>
      <w:sz w:val="32"/>
      <w:szCs w:val="20"/>
    </w:rPr>
  </w:style>
  <w:style w:type="paragraph" w:customStyle="1" w:styleId="2455">
    <w:name w:val="样式 左侧:  0.85 厘米 首行缩进:  2 字符"/>
    <w:basedOn w:val="1"/>
    <w:qFormat/>
    <w:uiPriority w:val="0"/>
    <w:pPr>
      <w:adjustRightInd/>
      <w:snapToGrid/>
      <w:jc w:val="both"/>
    </w:pPr>
    <w:rPr>
      <w:sz w:val="24"/>
      <w:szCs w:val="20"/>
    </w:rPr>
  </w:style>
  <w:style w:type="paragraph" w:customStyle="1" w:styleId="2456">
    <w:name w:val="样式 标题 3 + 首行缩进:  0 厘米"/>
    <w:basedOn w:val="5"/>
    <w:qFormat/>
    <w:uiPriority w:val="0"/>
    <w:pPr>
      <w:keepNext/>
      <w:keepLines/>
      <w:widowControl w:val="0"/>
      <w:tabs>
        <w:tab w:val="left" w:pos="1134"/>
        <w:tab w:val="left" w:pos="1256"/>
        <w:tab w:val="clear" w:pos="0"/>
      </w:tabs>
      <w:spacing w:before="240"/>
      <w:ind w:firstLine="567"/>
    </w:pPr>
    <w:rPr>
      <w:bCs/>
      <w:snapToGrid/>
      <w:kern w:val="0"/>
      <w:szCs w:val="20"/>
    </w:rPr>
  </w:style>
  <w:style w:type="paragraph" w:customStyle="1" w:styleId="2457">
    <w:name w:val="表格用字 +  六号"/>
    <w:basedOn w:val="1"/>
    <w:qFormat/>
    <w:uiPriority w:val="0"/>
    <w:pPr>
      <w:adjustRightInd/>
      <w:snapToGrid/>
      <w:spacing w:line="0" w:lineRule="atLeast"/>
      <w:ind w:firstLine="0" w:firstLineChars="0"/>
      <w:jc w:val="both"/>
    </w:pPr>
    <w:rPr>
      <w:rFonts w:ascii="宋体" w:eastAsia="仿宋_GB2312"/>
      <w:sz w:val="15"/>
      <w:szCs w:val="20"/>
    </w:rPr>
  </w:style>
  <w:style w:type="paragraph" w:customStyle="1" w:styleId="2458">
    <w:name w:val="说明-表格用字"/>
    <w:basedOn w:val="1"/>
    <w:qFormat/>
    <w:uiPriority w:val="0"/>
    <w:pPr>
      <w:adjustRightInd/>
      <w:snapToGrid/>
      <w:spacing w:line="240" w:lineRule="auto"/>
      <w:ind w:firstLine="0" w:firstLineChars="0"/>
      <w:jc w:val="center"/>
    </w:pPr>
    <w:rPr>
      <w:rFonts w:ascii="宋体" w:hAnsi="宋体"/>
      <w:kern w:val="0"/>
      <w:sz w:val="21"/>
      <w:szCs w:val="20"/>
    </w:rPr>
  </w:style>
  <w:style w:type="paragraph" w:customStyle="1" w:styleId="2459">
    <w:name w:val="样式 标题 1 + 加粗 首行缩进:  0 厘米"/>
    <w:basedOn w:val="3"/>
    <w:qFormat/>
    <w:uiPriority w:val="0"/>
    <w:pPr>
      <w:keepNext/>
      <w:keepLines/>
      <w:numPr>
        <w:numId w:val="0"/>
      </w:numPr>
      <w:tabs>
        <w:tab w:val="left" w:pos="360"/>
        <w:tab w:val="clear" w:pos="0"/>
      </w:tabs>
      <w:spacing w:beforeLines="0" w:afterLines="0" w:line="480" w:lineRule="atLeast"/>
      <w:jc w:val="left"/>
    </w:pPr>
    <w:rPr>
      <w:bCs w:val="0"/>
      <w:snapToGrid/>
      <w:sz w:val="32"/>
      <w:szCs w:val="20"/>
    </w:rPr>
  </w:style>
  <w:style w:type="paragraph" w:customStyle="1" w:styleId="2460">
    <w:name w:val="样式 小五 居中 首行缩进:  2 字符"/>
    <w:basedOn w:val="1"/>
    <w:qFormat/>
    <w:uiPriority w:val="0"/>
    <w:pPr>
      <w:adjustRightInd/>
      <w:snapToGrid/>
      <w:spacing w:line="240" w:lineRule="auto"/>
      <w:ind w:firstLine="0" w:firstLineChars="0"/>
      <w:jc w:val="center"/>
    </w:pPr>
    <w:rPr>
      <w:sz w:val="18"/>
      <w:szCs w:val="20"/>
    </w:rPr>
  </w:style>
  <w:style w:type="paragraph" w:customStyle="1" w:styleId="2461">
    <w:name w:val="说明-表格-注"/>
    <w:basedOn w:val="1"/>
    <w:qFormat/>
    <w:uiPriority w:val="0"/>
    <w:pPr>
      <w:adjustRightInd/>
      <w:snapToGrid/>
      <w:spacing w:line="0" w:lineRule="atLeast"/>
      <w:ind w:left="189" w:leftChars="189" w:right="374" w:firstLine="13" w:firstLineChars="7"/>
      <w:jc w:val="both"/>
    </w:pPr>
    <w:rPr>
      <w:rFonts w:hAnsi="宋体"/>
      <w:sz w:val="18"/>
      <w:szCs w:val="20"/>
    </w:rPr>
  </w:style>
  <w:style w:type="paragraph" w:customStyle="1" w:styleId="2462">
    <w:name w:val="样式 标题 2 + 段前: 1 行"/>
    <w:basedOn w:val="4"/>
    <w:qFormat/>
    <w:uiPriority w:val="0"/>
    <w:pPr>
      <w:keepNext/>
      <w:keepLines/>
      <w:widowControl w:val="0"/>
      <w:tabs>
        <w:tab w:val="left" w:pos="927"/>
        <w:tab w:val="left" w:pos="1134"/>
        <w:tab w:val="clear" w:pos="0"/>
      </w:tabs>
      <w:spacing w:beforeLines="0" w:afterLines="0" w:line="360" w:lineRule="auto"/>
      <w:ind w:firstLine="567"/>
    </w:pPr>
    <w:rPr>
      <w:rFonts w:ascii="宋体"/>
      <w:bCs w:val="0"/>
      <w:snapToGrid/>
      <w:kern w:val="0"/>
      <w:szCs w:val="20"/>
    </w:rPr>
  </w:style>
  <w:style w:type="paragraph" w:customStyle="1" w:styleId="2463">
    <w:name w:val="说明-标题3"/>
    <w:basedOn w:val="5"/>
    <w:qFormat/>
    <w:uiPriority w:val="0"/>
    <w:pPr>
      <w:keepNext/>
      <w:keepLines/>
      <w:widowControl w:val="0"/>
      <w:tabs>
        <w:tab w:val="left" w:pos="1134"/>
        <w:tab w:val="left" w:pos="1256"/>
        <w:tab w:val="clear" w:pos="0"/>
      </w:tabs>
      <w:adjustRightInd/>
      <w:snapToGrid/>
      <w:spacing w:before="240" w:afterLines="50" w:line="416" w:lineRule="atLeast"/>
    </w:pPr>
    <w:rPr>
      <w:rFonts w:ascii="黑体" w:eastAsia="黑体"/>
      <w:b w:val="0"/>
      <w:bCs/>
      <w:snapToGrid/>
      <w:kern w:val="0"/>
      <w:sz w:val="30"/>
      <w:szCs w:val="20"/>
    </w:rPr>
  </w:style>
  <w:style w:type="paragraph" w:customStyle="1" w:styleId="2464">
    <w:name w:val="样式 样式 标题 3 + 宋体 小四 加粗 + 首行缩进:  0 厘米"/>
    <w:basedOn w:val="1"/>
    <w:qFormat/>
    <w:uiPriority w:val="0"/>
    <w:pPr>
      <w:keepNext/>
      <w:keepLines/>
      <w:spacing w:before="240" w:after="120" w:line="240" w:lineRule="auto"/>
      <w:ind w:firstLine="567" w:firstLineChars="0"/>
      <w:jc w:val="both"/>
    </w:pPr>
    <w:rPr>
      <w:rFonts w:ascii="宋体" w:hAnsi="宋体"/>
      <w:b/>
      <w:kern w:val="0"/>
      <w:sz w:val="24"/>
      <w:szCs w:val="20"/>
    </w:rPr>
  </w:style>
  <w:style w:type="paragraph" w:customStyle="1" w:styleId="2465">
    <w:name w:val="说明-正文"/>
    <w:basedOn w:val="1"/>
    <w:qFormat/>
    <w:uiPriority w:val="0"/>
    <w:pPr>
      <w:spacing w:line="360" w:lineRule="auto"/>
      <w:ind w:firstLine="480"/>
      <w:jc w:val="both"/>
    </w:pPr>
    <w:rPr>
      <w:kern w:val="0"/>
      <w:sz w:val="24"/>
      <w:szCs w:val="20"/>
    </w:rPr>
  </w:style>
  <w:style w:type="paragraph" w:customStyle="1" w:styleId="2466">
    <w:name w:val="说明-标题2"/>
    <w:basedOn w:val="4"/>
    <w:qFormat/>
    <w:uiPriority w:val="0"/>
    <w:pPr>
      <w:keepNext/>
      <w:keepLines/>
      <w:pageBreakBefore/>
      <w:widowControl w:val="0"/>
      <w:tabs>
        <w:tab w:val="left" w:pos="927"/>
        <w:tab w:val="left" w:pos="1134"/>
        <w:tab w:val="clear" w:pos="0"/>
      </w:tabs>
      <w:adjustRightInd/>
      <w:snapToGrid/>
      <w:spacing w:beforeLines="0" w:afterLines="0" w:line="416" w:lineRule="atLeast"/>
      <w:jc w:val="both"/>
    </w:pPr>
    <w:rPr>
      <w:rFonts w:ascii="Arial" w:hAnsi="Arial"/>
      <w:bCs w:val="0"/>
      <w:snapToGrid/>
      <w:kern w:val="0"/>
      <w:sz w:val="36"/>
      <w:szCs w:val="20"/>
    </w:rPr>
  </w:style>
  <w:style w:type="paragraph" w:customStyle="1" w:styleId="2467">
    <w:name w:val="表格用字"/>
    <w:basedOn w:val="76"/>
    <w:qFormat/>
    <w:uiPriority w:val="0"/>
    <w:pPr>
      <w:spacing w:beforeLines="0" w:afterLines="0" w:line="0" w:lineRule="atLeast"/>
      <w:ind w:firstLine="0" w:firstLineChars="0"/>
    </w:pPr>
    <w:rPr>
      <w:rFonts w:ascii="宋体" w:eastAsia="仿宋_GB2312"/>
      <w:szCs w:val="20"/>
    </w:rPr>
  </w:style>
  <w:style w:type="paragraph" w:customStyle="1" w:styleId="2468">
    <w:name w:val="样式 小四 首行缩进:  2 字符"/>
    <w:basedOn w:val="1"/>
    <w:qFormat/>
    <w:uiPriority w:val="0"/>
    <w:pPr>
      <w:snapToGrid/>
      <w:spacing w:line="480" w:lineRule="atLeast"/>
      <w:ind w:firstLine="180" w:firstLineChars="180"/>
      <w:jc w:val="both"/>
    </w:pPr>
    <w:rPr>
      <w:kern w:val="0"/>
      <w:sz w:val="24"/>
      <w:szCs w:val="20"/>
    </w:rPr>
  </w:style>
  <w:style w:type="paragraph" w:customStyle="1" w:styleId="2469">
    <w:name w:val="说明-标题4"/>
    <w:basedOn w:val="6"/>
    <w:qFormat/>
    <w:uiPriority w:val="0"/>
    <w:pPr>
      <w:keepNext/>
      <w:keepLines/>
      <w:widowControl w:val="0"/>
      <w:numPr>
        <w:ilvl w:val="0"/>
        <w:numId w:val="0"/>
      </w:numPr>
      <w:tabs>
        <w:tab w:val="left" w:pos="1134"/>
        <w:tab w:val="left" w:pos="1630"/>
        <w:tab w:val="clear" w:pos="0"/>
      </w:tabs>
      <w:adjustRightInd/>
      <w:snapToGrid/>
      <w:spacing w:before="240" w:after="288" w:line="376" w:lineRule="atLeast"/>
      <w:ind w:left="100" w:leftChars="100"/>
      <w:jc w:val="both"/>
    </w:pPr>
    <w:rPr>
      <w:rFonts w:ascii="Arial" w:hAnsi="Arial"/>
      <w:bCs w:val="0"/>
      <w:snapToGrid/>
      <w:kern w:val="0"/>
      <w:sz w:val="24"/>
      <w:szCs w:val="20"/>
    </w:rPr>
  </w:style>
  <w:style w:type="paragraph" w:customStyle="1" w:styleId="2470">
    <w:name w:val="样式 正文文本缩进 2正文文字缩进 2 + 自动设置 首行缩进:  2 字符"/>
    <w:basedOn w:val="51"/>
    <w:qFormat/>
    <w:uiPriority w:val="0"/>
    <w:pPr>
      <w:tabs>
        <w:tab w:val="left" w:pos="4500"/>
      </w:tabs>
      <w:snapToGrid w:val="0"/>
      <w:spacing w:beforeLines="0" w:afterLines="0" w:line="440" w:lineRule="exact"/>
      <w:ind w:left="0" w:leftChars="0"/>
    </w:pPr>
    <w:rPr>
      <w:rFonts w:ascii="宋体" w:hAnsi="宋体" w:eastAsia="Times New Roman"/>
      <w:kern w:val="0"/>
      <w:szCs w:val="20"/>
    </w:rPr>
  </w:style>
  <w:style w:type="paragraph" w:customStyle="1" w:styleId="2471">
    <w:name w:val="样式 样式 标题 2 + 加粗 段前: 1 行 + 四号 首行缩进:  0 厘米"/>
    <w:basedOn w:val="1"/>
    <w:qFormat/>
    <w:uiPriority w:val="0"/>
    <w:pPr>
      <w:keepNext/>
      <w:keepLines/>
      <w:snapToGrid/>
      <w:spacing w:before="320" w:after="200" w:line="240" w:lineRule="auto"/>
      <w:ind w:firstLine="567" w:firstLineChars="0"/>
    </w:pPr>
    <w:rPr>
      <w:rFonts w:ascii="宋体"/>
      <w:b/>
      <w:kern w:val="0"/>
      <w:sz w:val="28"/>
      <w:szCs w:val="20"/>
    </w:rPr>
  </w:style>
  <w:style w:type="paragraph" w:customStyle="1" w:styleId="2472">
    <w:name w:val="样式 小五 首行缩进:  2 字符"/>
    <w:basedOn w:val="1"/>
    <w:qFormat/>
    <w:uiPriority w:val="0"/>
    <w:pPr>
      <w:adjustRightInd/>
      <w:snapToGrid/>
      <w:spacing w:line="240" w:lineRule="auto"/>
      <w:ind w:firstLine="0" w:firstLineChars="0"/>
      <w:jc w:val="both"/>
    </w:pPr>
    <w:rPr>
      <w:sz w:val="18"/>
      <w:szCs w:val="20"/>
    </w:rPr>
  </w:style>
  <w:style w:type="paragraph" w:customStyle="1" w:styleId="2473">
    <w:name w:val="样式 标题 1 + 首行缩进:  0 厘米"/>
    <w:basedOn w:val="3"/>
    <w:qFormat/>
    <w:uiPriority w:val="0"/>
    <w:pPr>
      <w:keepNext/>
      <w:keepLines/>
      <w:widowControl w:val="0"/>
      <w:numPr>
        <w:numId w:val="0"/>
      </w:numPr>
      <w:tabs>
        <w:tab w:val="left" w:pos="360"/>
        <w:tab w:val="clear" w:pos="0"/>
      </w:tabs>
      <w:spacing w:beforeLines="0" w:afterLines="0" w:line="360" w:lineRule="auto"/>
      <w:ind w:firstLine="567"/>
      <w:jc w:val="left"/>
    </w:pPr>
    <w:rPr>
      <w:bCs w:val="0"/>
      <w:snapToGrid/>
      <w:sz w:val="32"/>
      <w:szCs w:val="20"/>
    </w:rPr>
  </w:style>
  <w:style w:type="paragraph" w:customStyle="1" w:styleId="2474">
    <w:name w:val="表格用字 Char Char"/>
    <w:basedOn w:val="76"/>
    <w:qFormat/>
    <w:uiPriority w:val="0"/>
    <w:pPr>
      <w:spacing w:beforeLines="0" w:afterLines="0" w:line="0" w:lineRule="atLeast"/>
      <w:ind w:firstLine="0" w:firstLineChars="0"/>
    </w:pPr>
    <w:rPr>
      <w:rFonts w:ascii="宋体" w:eastAsia="仿宋_GB2312"/>
      <w:szCs w:val="20"/>
    </w:rPr>
  </w:style>
  <w:style w:type="paragraph" w:customStyle="1" w:styleId="2475">
    <w:name w:val="样式 标题 3标题 3 Char标题 3 Char Char Char Char Char标题 3 Char Char C..."/>
    <w:basedOn w:val="5"/>
    <w:qFormat/>
    <w:uiPriority w:val="0"/>
    <w:pPr>
      <w:keepNext/>
      <w:keepLines/>
      <w:widowControl w:val="0"/>
      <w:tabs>
        <w:tab w:val="left" w:pos="636"/>
        <w:tab w:val="clear" w:pos="0"/>
      </w:tabs>
      <w:snapToGrid/>
      <w:spacing w:before="240"/>
    </w:pPr>
    <w:rPr>
      <w:rFonts w:ascii="宋体" w:hAnsi="宋体"/>
      <w:bCs/>
      <w:snapToGrid/>
      <w:kern w:val="0"/>
      <w:szCs w:val="20"/>
    </w:rPr>
  </w:style>
  <w:style w:type="paragraph" w:customStyle="1" w:styleId="2476">
    <w:name w:val="样式 标题 2 + Times New Roman 段前: 0.5 行 段后: 0.5 行"/>
    <w:basedOn w:val="4"/>
    <w:qFormat/>
    <w:uiPriority w:val="0"/>
    <w:pPr>
      <w:keepNext/>
      <w:keepLines/>
      <w:widowControl w:val="0"/>
      <w:tabs>
        <w:tab w:val="left" w:pos="4500"/>
        <w:tab w:val="clear" w:pos="0"/>
      </w:tabs>
      <w:spacing w:beforeLines="0" w:afterLines="0" w:line="460" w:lineRule="exact"/>
      <w:jc w:val="both"/>
    </w:pPr>
    <w:rPr>
      <w:bCs w:val="0"/>
      <w:snapToGrid/>
      <w:kern w:val="0"/>
      <w:szCs w:val="20"/>
    </w:rPr>
  </w:style>
  <w:style w:type="paragraph" w:customStyle="1" w:styleId="2477">
    <w:name w:val="说明-正文-公式"/>
    <w:basedOn w:val="2465"/>
    <w:qFormat/>
    <w:uiPriority w:val="0"/>
    <w:pPr>
      <w:ind w:firstLine="200"/>
    </w:pPr>
  </w:style>
  <w:style w:type="paragraph" w:customStyle="1" w:styleId="2478">
    <w:name w:val="样式 标题 2 + 浅蓝 段前: 1 行"/>
    <w:basedOn w:val="4"/>
    <w:qFormat/>
    <w:uiPriority w:val="0"/>
    <w:pPr>
      <w:keepNext/>
      <w:keepLines/>
      <w:widowControl w:val="0"/>
      <w:tabs>
        <w:tab w:val="left" w:pos="927"/>
        <w:tab w:val="left" w:pos="1134"/>
        <w:tab w:val="clear" w:pos="0"/>
      </w:tabs>
      <w:spacing w:beforeLines="0" w:afterLines="0" w:line="360" w:lineRule="auto"/>
      <w:ind w:firstLine="567"/>
      <w:jc w:val="both"/>
    </w:pPr>
    <w:rPr>
      <w:rFonts w:ascii="宋体"/>
      <w:bCs w:val="0"/>
      <w:snapToGrid/>
      <w:color w:val="3366FF"/>
      <w:kern w:val="0"/>
      <w:szCs w:val="20"/>
    </w:rPr>
  </w:style>
  <w:style w:type="paragraph" w:customStyle="1" w:styleId="2479">
    <w:name w:val="样式 样式7 + 小四"/>
    <w:basedOn w:val="336"/>
    <w:qFormat/>
    <w:uiPriority w:val="0"/>
    <w:pPr>
      <w:keepNext/>
      <w:keepLines/>
      <w:tabs>
        <w:tab w:val="left" w:pos="560"/>
      </w:tabs>
      <w:spacing w:before="240"/>
      <w:ind w:firstLine="0" w:firstLineChars="0"/>
      <w:jc w:val="left"/>
      <w:outlineLvl w:val="2"/>
    </w:pPr>
    <w:rPr>
      <w:rFonts w:ascii="宋体" w:hAnsi="宋体"/>
      <w:b/>
      <w:kern w:val="0"/>
      <w:sz w:val="24"/>
      <w:szCs w:val="20"/>
    </w:rPr>
  </w:style>
  <w:style w:type="paragraph" w:customStyle="1" w:styleId="2480">
    <w:name w:val="样式 样式 标题 2 + 左侧:  2 字符 + 首行缩进:  2 字符1"/>
    <w:basedOn w:val="1"/>
    <w:qFormat/>
    <w:uiPriority w:val="0"/>
    <w:pPr>
      <w:keepNext/>
      <w:keepLines/>
      <w:spacing w:before="260" w:after="260" w:line="416" w:lineRule="atLeast"/>
      <w:ind w:firstLine="640"/>
    </w:pPr>
    <w:rPr>
      <w:rFonts w:ascii="Arial" w:hAnsi="Arial" w:eastAsia="黑体"/>
      <w:b/>
      <w:kern w:val="0"/>
      <w:sz w:val="28"/>
      <w:szCs w:val="20"/>
    </w:rPr>
  </w:style>
  <w:style w:type="paragraph" w:customStyle="1" w:styleId="2481">
    <w:name w:val="表格用字 Char1"/>
    <w:basedOn w:val="76"/>
    <w:qFormat/>
    <w:uiPriority w:val="0"/>
    <w:pPr>
      <w:spacing w:beforeLines="0" w:afterLines="0" w:line="0" w:lineRule="atLeast"/>
      <w:ind w:firstLine="0" w:firstLineChars="0"/>
    </w:pPr>
    <w:rPr>
      <w:rFonts w:ascii="宋体" w:eastAsia="仿宋_GB2312"/>
      <w:szCs w:val="20"/>
    </w:rPr>
  </w:style>
  <w:style w:type="paragraph" w:customStyle="1" w:styleId="2482">
    <w:name w:val="插图1"/>
    <w:basedOn w:val="1"/>
    <w:qFormat/>
    <w:uiPriority w:val="0"/>
    <w:pPr>
      <w:snapToGrid/>
      <w:spacing w:before="120" w:after="120" w:line="240" w:lineRule="auto"/>
      <w:ind w:firstLine="0" w:firstLineChars="0"/>
      <w:jc w:val="both"/>
    </w:pPr>
    <w:rPr>
      <w:kern w:val="0"/>
      <w:sz w:val="24"/>
      <w:szCs w:val="20"/>
    </w:rPr>
  </w:style>
  <w:style w:type="paragraph" w:customStyle="1" w:styleId="2483">
    <w:name w:val="样式 小二 加粗 黑色 居中 段后: 12 磅"/>
    <w:basedOn w:val="84"/>
    <w:qFormat/>
    <w:uiPriority w:val="0"/>
    <w:pPr>
      <w:spacing w:before="240" w:after="240"/>
    </w:pPr>
    <w:rPr>
      <w:rFonts w:ascii="Arial" w:hAnsi="Arial" w:eastAsia="Times New Roman"/>
      <w:bCs w:val="0"/>
      <w:snapToGrid/>
      <w:color w:val="000000"/>
      <w:kern w:val="2"/>
      <w:sz w:val="36"/>
      <w:szCs w:val="20"/>
    </w:rPr>
  </w:style>
  <w:style w:type="paragraph" w:customStyle="1" w:styleId="2484">
    <w:name w:val="样式 节 + 段前: 0.5 行 段后: 0.5 行"/>
    <w:basedOn w:val="4"/>
    <w:qFormat/>
    <w:uiPriority w:val="0"/>
    <w:pPr>
      <w:keepNext/>
      <w:keepLines/>
      <w:widowControl w:val="0"/>
      <w:tabs>
        <w:tab w:val="left" w:pos="840"/>
        <w:tab w:val="clear" w:pos="0"/>
      </w:tabs>
      <w:adjustRightInd/>
      <w:snapToGrid/>
      <w:spacing w:beforeLines="0" w:line="240" w:lineRule="auto"/>
      <w:ind w:left="839" w:hanging="839"/>
      <w:jc w:val="both"/>
      <w:outlineLvl w:val="2"/>
    </w:pPr>
    <w:rPr>
      <w:rFonts w:ascii="宋体" w:hAnsi="宋体"/>
      <w:b w:val="0"/>
      <w:bCs w:val="0"/>
      <w:snapToGrid/>
      <w:kern w:val="0"/>
      <w:szCs w:val="20"/>
    </w:rPr>
  </w:style>
  <w:style w:type="paragraph" w:customStyle="1" w:styleId="2485">
    <w:name w:val="条-成果 Char"/>
    <w:basedOn w:val="5"/>
    <w:qFormat/>
    <w:uiPriority w:val="0"/>
    <w:pPr>
      <w:keepNext/>
      <w:keepLines/>
      <w:widowControl w:val="0"/>
      <w:tabs>
        <w:tab w:val="left" w:pos="1440"/>
        <w:tab w:val="clear" w:pos="0"/>
      </w:tabs>
      <w:adjustRightInd/>
      <w:snapToGrid/>
      <w:spacing w:before="156" w:after="156" w:line="400" w:lineRule="exact"/>
      <w:ind w:left="1440" w:hanging="720"/>
      <w:outlineLvl w:val="9"/>
    </w:pPr>
    <w:rPr>
      <w:rFonts w:ascii="宋体" w:hAnsi="宋体"/>
      <w:b w:val="0"/>
      <w:bCs/>
      <w:snapToGrid/>
      <w:kern w:val="0"/>
      <w:szCs w:val="20"/>
    </w:rPr>
  </w:style>
  <w:style w:type="paragraph" w:customStyle="1" w:styleId="2486">
    <w:name w:val="样式 标题 2 + Times New Roman 小三 行距: 最小值 24 磅"/>
    <w:basedOn w:val="4"/>
    <w:qFormat/>
    <w:uiPriority w:val="0"/>
    <w:pPr>
      <w:keepNext/>
      <w:keepLines/>
      <w:widowControl w:val="0"/>
      <w:tabs>
        <w:tab w:val="left" w:pos="2242"/>
        <w:tab w:val="clear" w:pos="0"/>
      </w:tabs>
      <w:adjustRightInd/>
      <w:snapToGrid/>
      <w:spacing w:beforeLines="0" w:afterLines="0" w:line="480" w:lineRule="atLeast"/>
      <w:ind w:left="680" w:hanging="680" w:firstLineChars="200"/>
      <w:jc w:val="both"/>
    </w:pPr>
    <w:rPr>
      <w:rFonts w:cs="宋体"/>
      <w:b w:val="0"/>
      <w:bCs w:val="0"/>
      <w:snapToGrid/>
      <w:kern w:val="0"/>
      <w:szCs w:val="20"/>
    </w:rPr>
  </w:style>
  <w:style w:type="character" w:customStyle="1" w:styleId="2487">
    <w:name w:val="样式 小四 Char Char"/>
    <w:link w:val="2488"/>
    <w:qFormat/>
    <w:locked/>
    <w:uiPriority w:val="0"/>
    <w:rPr>
      <w:b/>
      <w:color w:val="000000"/>
      <w:szCs w:val="21"/>
    </w:rPr>
  </w:style>
  <w:style w:type="paragraph" w:customStyle="1" w:styleId="2488">
    <w:name w:val="样式 小四 Char"/>
    <w:basedOn w:val="1"/>
    <w:link w:val="2487"/>
    <w:qFormat/>
    <w:uiPriority w:val="0"/>
    <w:pPr>
      <w:snapToGrid/>
      <w:spacing w:line="400" w:lineRule="atLeast"/>
      <w:ind w:firstLine="510" w:firstLineChars="0"/>
      <w:jc w:val="both"/>
    </w:pPr>
    <w:rPr>
      <w:rFonts w:ascii="Calibri" w:hAnsi="Calibri"/>
      <w:b/>
      <w:color w:val="000000"/>
      <w:kern w:val="0"/>
      <w:sz w:val="20"/>
      <w:szCs w:val="21"/>
    </w:rPr>
  </w:style>
  <w:style w:type="paragraph" w:customStyle="1" w:styleId="2489">
    <w:name w:val="样式 首行缩进:  2 字符 行距: 1.5 倍行距"/>
    <w:basedOn w:val="1"/>
    <w:qFormat/>
    <w:uiPriority w:val="0"/>
    <w:pPr>
      <w:adjustRightInd/>
      <w:snapToGrid/>
      <w:spacing w:line="440" w:lineRule="exact"/>
      <w:jc w:val="both"/>
    </w:pPr>
    <w:rPr>
      <w:rFonts w:cs="宋体"/>
      <w:sz w:val="24"/>
      <w:szCs w:val="20"/>
    </w:rPr>
  </w:style>
  <w:style w:type="paragraph" w:customStyle="1" w:styleId="2490">
    <w:name w:val="样式 首行缩进:  2 字符 行距: 固定值 30 磅"/>
    <w:basedOn w:val="1"/>
    <w:qFormat/>
    <w:uiPriority w:val="0"/>
    <w:pPr>
      <w:adjustRightInd/>
      <w:snapToGrid/>
      <w:spacing w:line="440" w:lineRule="exact"/>
      <w:jc w:val="both"/>
    </w:pPr>
    <w:rPr>
      <w:rFonts w:cs="宋体"/>
      <w:sz w:val="24"/>
      <w:szCs w:val="20"/>
    </w:rPr>
  </w:style>
  <w:style w:type="paragraph" w:customStyle="1" w:styleId="2491">
    <w:name w:val="样式 样式 首行缩进:  2 字符 行距: 固定值 30 磅 + 首行缩进:  2 字符"/>
    <w:basedOn w:val="2490"/>
    <w:qFormat/>
    <w:uiPriority w:val="0"/>
    <w:pPr>
      <w:spacing w:line="480" w:lineRule="exact"/>
    </w:pPr>
  </w:style>
  <w:style w:type="paragraph" w:customStyle="1" w:styleId="2492">
    <w:name w:val="样式 行距: 最小值 18 磅"/>
    <w:basedOn w:val="1"/>
    <w:qFormat/>
    <w:uiPriority w:val="0"/>
    <w:pPr>
      <w:adjustRightInd/>
      <w:snapToGrid/>
      <w:ind w:firstLine="567" w:firstLineChars="0"/>
      <w:jc w:val="both"/>
    </w:pPr>
    <w:rPr>
      <w:rFonts w:cs="宋体"/>
      <w:kern w:val="0"/>
      <w:sz w:val="24"/>
      <w:szCs w:val="20"/>
    </w:rPr>
  </w:style>
  <w:style w:type="paragraph" w:customStyle="1" w:styleId="2493">
    <w:name w:val="样式 首行缩进:  2 字符 右侧:  -0.04 厘米"/>
    <w:basedOn w:val="1"/>
    <w:qFormat/>
    <w:uiPriority w:val="0"/>
    <w:pPr>
      <w:adjustRightInd/>
      <w:snapToGrid/>
      <w:ind w:right="-23"/>
      <w:jc w:val="both"/>
    </w:pPr>
    <w:rPr>
      <w:rFonts w:cs="宋体"/>
      <w:sz w:val="24"/>
      <w:szCs w:val="20"/>
    </w:rPr>
  </w:style>
  <w:style w:type="paragraph" w:customStyle="1" w:styleId="2494">
    <w:name w:val="样式 行距: 最小值 24 磅 首行缩进:  0 字符"/>
    <w:basedOn w:val="1"/>
    <w:qFormat/>
    <w:uiPriority w:val="0"/>
    <w:pPr>
      <w:adjustRightInd/>
      <w:snapToGrid/>
      <w:spacing w:line="460" w:lineRule="exact"/>
      <w:ind w:firstLine="567" w:firstLineChars="0"/>
      <w:jc w:val="both"/>
    </w:pPr>
    <w:rPr>
      <w:rFonts w:cs="宋体"/>
      <w:sz w:val="24"/>
      <w:szCs w:val="20"/>
    </w:rPr>
  </w:style>
  <w:style w:type="paragraph" w:customStyle="1" w:styleId="2495">
    <w:name w:val="样式 首行缩进:  2 字符 右侧:  0.5 厘米"/>
    <w:basedOn w:val="1"/>
    <w:qFormat/>
    <w:uiPriority w:val="0"/>
    <w:pPr>
      <w:adjustRightInd/>
      <w:snapToGrid/>
      <w:ind w:right="284"/>
      <w:jc w:val="both"/>
    </w:pPr>
    <w:rPr>
      <w:rFonts w:cs="宋体"/>
      <w:sz w:val="24"/>
      <w:szCs w:val="20"/>
    </w:rPr>
  </w:style>
  <w:style w:type="paragraph" w:customStyle="1" w:styleId="2496">
    <w:name w:val="样式 行距: 最小值 24 磅"/>
    <w:basedOn w:val="1"/>
    <w:qFormat/>
    <w:uiPriority w:val="0"/>
    <w:pPr>
      <w:adjustRightInd/>
      <w:snapToGrid/>
      <w:ind w:firstLine="567" w:firstLineChars="0"/>
      <w:jc w:val="both"/>
    </w:pPr>
    <w:rPr>
      <w:rFonts w:cs="宋体"/>
      <w:kern w:val="0"/>
      <w:sz w:val="24"/>
      <w:szCs w:val="20"/>
    </w:rPr>
  </w:style>
  <w:style w:type="paragraph" w:customStyle="1" w:styleId="2497">
    <w:name w:val="样式 样式 首行缩进:  2 字符 行距: 1.5 倍行距 + 首行缩进:  2 字符"/>
    <w:basedOn w:val="2489"/>
    <w:qFormat/>
    <w:uiPriority w:val="0"/>
    <w:pPr>
      <w:spacing w:line="480" w:lineRule="exact"/>
    </w:pPr>
  </w:style>
  <w:style w:type="paragraph" w:customStyle="1" w:styleId="2498">
    <w:name w:val="样式 首行缩进:  2 字符 行距: 固定值 29 磅"/>
    <w:basedOn w:val="1"/>
    <w:qFormat/>
    <w:uiPriority w:val="0"/>
    <w:pPr>
      <w:adjustRightInd/>
      <w:snapToGrid/>
      <w:jc w:val="both"/>
    </w:pPr>
    <w:rPr>
      <w:rFonts w:cs="宋体"/>
      <w:sz w:val="24"/>
      <w:szCs w:val="20"/>
    </w:rPr>
  </w:style>
  <w:style w:type="paragraph" w:customStyle="1" w:styleId="2499">
    <w:name w:val="样式 日期 + 首行缩进:  2 字符"/>
    <w:basedOn w:val="50"/>
    <w:qFormat/>
    <w:uiPriority w:val="0"/>
    <w:pPr>
      <w:spacing w:line="480" w:lineRule="exact"/>
      <w:ind w:left="0" w:leftChars="0" w:firstLine="200" w:firstLineChars="200"/>
    </w:pPr>
    <w:rPr>
      <w:rFonts w:ascii="Times New Roman" w:hAnsi="Times New Roman" w:eastAsia="Times New Roman" w:cs="宋体"/>
      <w:color w:val="auto"/>
      <w:szCs w:val="20"/>
      <w:lang w:val="en-US"/>
    </w:rPr>
  </w:style>
  <w:style w:type="paragraph" w:customStyle="1" w:styleId="2500">
    <w:name w:val="样式 首行缩进:  2 字符 行距: 最小值 19 磅"/>
    <w:basedOn w:val="1"/>
    <w:qFormat/>
    <w:uiPriority w:val="0"/>
    <w:pPr>
      <w:adjustRightInd/>
      <w:snapToGrid/>
      <w:jc w:val="both"/>
    </w:pPr>
    <w:rPr>
      <w:rFonts w:cs="宋体"/>
      <w:sz w:val="24"/>
      <w:szCs w:val="20"/>
    </w:rPr>
  </w:style>
  <w:style w:type="paragraph" w:customStyle="1" w:styleId="2501">
    <w:name w:val="样式 行距: 最小值 18 磅 首行缩进:  0 字符"/>
    <w:basedOn w:val="1"/>
    <w:qFormat/>
    <w:uiPriority w:val="0"/>
    <w:pPr>
      <w:adjustRightInd/>
      <w:snapToGrid/>
      <w:ind w:firstLine="567" w:firstLineChars="0"/>
      <w:jc w:val="both"/>
    </w:pPr>
    <w:rPr>
      <w:rFonts w:cs="宋体"/>
      <w:sz w:val="24"/>
      <w:szCs w:val="20"/>
    </w:rPr>
  </w:style>
  <w:style w:type="paragraph" w:customStyle="1" w:styleId="2502">
    <w:name w:val="样式 左 首行缩进:  2 字符"/>
    <w:basedOn w:val="1"/>
    <w:qFormat/>
    <w:uiPriority w:val="0"/>
    <w:pPr>
      <w:adjustRightInd/>
      <w:snapToGrid/>
    </w:pPr>
    <w:rPr>
      <w:rFonts w:cs="宋体"/>
      <w:sz w:val="24"/>
      <w:szCs w:val="20"/>
    </w:rPr>
  </w:style>
  <w:style w:type="paragraph" w:customStyle="1" w:styleId="2503">
    <w:name w:val="样式 宋体 左 首行缩进:  2 字符 行距: 固定值 28 磅"/>
    <w:basedOn w:val="1"/>
    <w:qFormat/>
    <w:uiPriority w:val="0"/>
    <w:pPr>
      <w:adjustRightInd/>
      <w:snapToGrid/>
    </w:pPr>
    <w:rPr>
      <w:rFonts w:ascii="宋体" w:cs="宋体"/>
      <w:sz w:val="24"/>
      <w:szCs w:val="20"/>
    </w:rPr>
  </w:style>
  <w:style w:type="paragraph" w:customStyle="1" w:styleId="2504">
    <w:name w:val="样式 标题 1 + 段前: 17 磅 段后: 16.5 磅"/>
    <w:basedOn w:val="3"/>
    <w:qFormat/>
    <w:uiPriority w:val="0"/>
    <w:pPr>
      <w:keepNext/>
      <w:keepLines/>
      <w:widowControl w:val="0"/>
      <w:numPr>
        <w:numId w:val="0"/>
      </w:numPr>
      <w:tabs>
        <w:tab w:val="left" w:pos="1134"/>
        <w:tab w:val="clear" w:pos="0"/>
      </w:tabs>
      <w:snapToGrid/>
      <w:spacing w:beforeLines="0" w:afterLines="0" w:line="480" w:lineRule="atLeast"/>
      <w:ind w:firstLine="723" w:firstLineChars="200"/>
      <w:jc w:val="both"/>
    </w:pPr>
    <w:rPr>
      <w:snapToGrid/>
      <w:sz w:val="36"/>
      <w:szCs w:val="20"/>
    </w:rPr>
  </w:style>
  <w:style w:type="paragraph" w:customStyle="1" w:styleId="2505">
    <w:name w:val="图片"/>
    <w:basedOn w:val="1"/>
    <w:qFormat/>
    <w:uiPriority w:val="0"/>
    <w:pPr>
      <w:spacing w:line="400" w:lineRule="atLeast"/>
      <w:ind w:firstLine="0" w:firstLineChars="0"/>
      <w:jc w:val="center"/>
    </w:pPr>
    <w:rPr>
      <w:kern w:val="0"/>
      <w:sz w:val="28"/>
      <w:szCs w:val="20"/>
    </w:rPr>
  </w:style>
  <w:style w:type="paragraph" w:customStyle="1" w:styleId="2506">
    <w:name w:val="南郊正文"/>
    <w:basedOn w:val="1"/>
    <w:next w:val="1"/>
    <w:qFormat/>
    <w:uiPriority w:val="0"/>
    <w:pPr>
      <w:adjustRightInd/>
      <w:snapToGrid/>
      <w:spacing w:line="240" w:lineRule="auto"/>
      <w:ind w:firstLine="0" w:firstLineChars="0"/>
      <w:jc w:val="both"/>
    </w:pPr>
    <w:rPr>
      <w:sz w:val="24"/>
      <w:szCs w:val="24"/>
    </w:rPr>
  </w:style>
  <w:style w:type="paragraph" w:customStyle="1" w:styleId="2507">
    <w:name w:val="样式 区划正文+小4 24 + 首行缩进:  2 字符1"/>
    <w:basedOn w:val="1"/>
    <w:qFormat/>
    <w:uiPriority w:val="0"/>
    <w:pPr>
      <w:spacing w:line="460" w:lineRule="exact"/>
      <w:jc w:val="both"/>
    </w:pPr>
    <w:rPr>
      <w:sz w:val="24"/>
      <w:szCs w:val="20"/>
    </w:rPr>
  </w:style>
  <w:style w:type="character" w:customStyle="1" w:styleId="2508">
    <w:name w:val="正文（首行缩进） Char1"/>
    <w:qFormat/>
    <w:locked/>
    <w:uiPriority w:val="0"/>
    <w:rPr>
      <w:rFonts w:ascii="宋体" w:hAnsi="宋体" w:eastAsia="宋体" w:cs="Calibri"/>
      <w:snapToGrid w:val="0"/>
      <w:color w:val="000000"/>
      <w:sz w:val="24"/>
      <w:szCs w:val="20"/>
    </w:rPr>
  </w:style>
  <w:style w:type="paragraph" w:customStyle="1" w:styleId="2509">
    <w:name w:val="样式 居中"/>
    <w:basedOn w:val="1"/>
    <w:qFormat/>
    <w:uiPriority w:val="0"/>
    <w:pPr>
      <w:spacing w:line="440" w:lineRule="atLeast"/>
      <w:jc w:val="center"/>
    </w:pPr>
    <w:rPr>
      <w:sz w:val="24"/>
      <w:szCs w:val="20"/>
    </w:rPr>
  </w:style>
  <w:style w:type="paragraph" w:customStyle="1" w:styleId="2510">
    <w:name w:val="样式 小四 居中 行距: 单倍行距"/>
    <w:basedOn w:val="1"/>
    <w:qFormat/>
    <w:uiPriority w:val="0"/>
    <w:pPr>
      <w:snapToGrid/>
      <w:spacing w:line="440" w:lineRule="exact"/>
      <w:ind w:firstLine="0" w:firstLineChars="0"/>
      <w:jc w:val="center"/>
    </w:pPr>
    <w:rPr>
      <w:color w:val="FF0000"/>
      <w:kern w:val="0"/>
      <w:sz w:val="24"/>
      <w:szCs w:val="20"/>
    </w:rPr>
  </w:style>
  <w:style w:type="paragraph" w:customStyle="1" w:styleId="2511">
    <w:name w:val="分标题"/>
    <w:basedOn w:val="1"/>
    <w:next w:val="1"/>
    <w:qFormat/>
    <w:uiPriority w:val="0"/>
    <w:pPr>
      <w:widowControl/>
      <w:adjustRightInd/>
      <w:snapToGrid/>
      <w:spacing w:before="60" w:after="60" w:line="360" w:lineRule="auto"/>
      <w:ind w:firstLine="0" w:firstLineChars="0"/>
    </w:pPr>
    <w:rPr>
      <w:rFonts w:ascii="宋体"/>
      <w:b/>
      <w:kern w:val="0"/>
      <w:sz w:val="24"/>
      <w:szCs w:val="24"/>
    </w:rPr>
  </w:style>
  <w:style w:type="paragraph" w:customStyle="1" w:styleId="2512">
    <w:name w:val="样式 标题 3 + Times New Roman 四号 加粗"/>
    <w:basedOn w:val="5"/>
    <w:qFormat/>
    <w:uiPriority w:val="0"/>
    <w:pPr>
      <w:keepNext/>
      <w:keepLines/>
      <w:widowControl w:val="0"/>
      <w:tabs>
        <w:tab w:val="left" w:pos="1134"/>
        <w:tab w:val="left" w:pos="1256"/>
        <w:tab w:val="clear" w:pos="0"/>
      </w:tabs>
      <w:spacing w:line="320" w:lineRule="atLeast"/>
    </w:pPr>
    <w:rPr>
      <w:rFonts w:ascii="宋体" w:hAnsi="宋体" w:eastAsia="楷体_GB2312"/>
      <w:snapToGrid/>
      <w:kern w:val="0"/>
      <w:szCs w:val="28"/>
    </w:rPr>
  </w:style>
  <w:style w:type="paragraph" w:customStyle="1" w:styleId="2513">
    <w:name w:val="正文样式一"/>
    <w:basedOn w:val="1"/>
    <w:qFormat/>
    <w:uiPriority w:val="0"/>
    <w:pPr>
      <w:snapToGrid/>
      <w:spacing w:line="400" w:lineRule="atLeast"/>
      <w:ind w:firstLine="510" w:firstLineChars="0"/>
      <w:jc w:val="both"/>
    </w:pPr>
    <w:rPr>
      <w:kern w:val="0"/>
      <w:sz w:val="24"/>
      <w:szCs w:val="20"/>
    </w:rPr>
  </w:style>
  <w:style w:type="paragraph" w:customStyle="1" w:styleId="2514">
    <w:name w:val="标题样式1"/>
    <w:basedOn w:val="34"/>
    <w:qFormat/>
    <w:uiPriority w:val="0"/>
    <w:pPr>
      <w:snapToGrid/>
      <w:spacing w:beforeLines="0" w:line="400" w:lineRule="atLeast"/>
      <w:ind w:firstLine="540"/>
    </w:pPr>
    <w:rPr>
      <w:rFonts w:ascii="黑体" w:eastAsia="黑体"/>
      <w:b/>
      <w:snapToGrid/>
      <w:sz w:val="28"/>
      <w:szCs w:val="20"/>
    </w:rPr>
  </w:style>
  <w:style w:type="paragraph" w:customStyle="1" w:styleId="2515">
    <w:name w:val="标题样式2"/>
    <w:basedOn w:val="4"/>
    <w:qFormat/>
    <w:uiPriority w:val="0"/>
    <w:pPr>
      <w:keepNext/>
      <w:keepLines/>
      <w:widowControl w:val="0"/>
      <w:tabs>
        <w:tab w:val="left" w:pos="927"/>
        <w:tab w:val="left" w:pos="1134"/>
        <w:tab w:val="clear" w:pos="0"/>
      </w:tabs>
      <w:spacing w:line="300" w:lineRule="atLeast"/>
      <w:jc w:val="center"/>
    </w:pPr>
    <w:rPr>
      <w:rFonts w:ascii="宋体" w:hAnsi="宋体"/>
      <w:b w:val="0"/>
      <w:bCs w:val="0"/>
      <w:snapToGrid/>
      <w:kern w:val="0"/>
      <w:sz w:val="21"/>
      <w:szCs w:val="20"/>
    </w:rPr>
  </w:style>
  <w:style w:type="paragraph" w:customStyle="1" w:styleId="2516">
    <w:name w:val="标题样式3"/>
    <w:basedOn w:val="5"/>
    <w:qFormat/>
    <w:uiPriority w:val="0"/>
    <w:pPr>
      <w:keepNext/>
      <w:keepLines/>
      <w:widowControl w:val="0"/>
      <w:tabs>
        <w:tab w:val="left" w:pos="1134"/>
        <w:tab w:val="left" w:pos="1256"/>
        <w:tab w:val="clear" w:pos="0"/>
      </w:tabs>
      <w:adjustRightInd/>
      <w:snapToGrid/>
      <w:spacing w:line="400" w:lineRule="atLeast"/>
      <w:ind w:firstLine="510"/>
    </w:pPr>
    <w:rPr>
      <w:rFonts w:ascii="宋体" w:hAnsi="宋体" w:eastAsia="黑体"/>
      <w:b w:val="0"/>
      <w:bCs/>
      <w:snapToGrid/>
      <w:kern w:val="0"/>
      <w:szCs w:val="20"/>
    </w:rPr>
  </w:style>
  <w:style w:type="paragraph" w:customStyle="1" w:styleId="2517">
    <w:name w:val="正文样式2"/>
    <w:basedOn w:val="1"/>
    <w:next w:val="807"/>
    <w:qFormat/>
    <w:uiPriority w:val="0"/>
    <w:pPr>
      <w:keepNext/>
      <w:snapToGrid/>
      <w:spacing w:line="480" w:lineRule="atLeast"/>
      <w:ind w:firstLine="567" w:firstLineChars="0"/>
      <w:jc w:val="both"/>
    </w:pPr>
    <w:rPr>
      <w:rFonts w:ascii="黑体" w:eastAsia="黑体"/>
      <w:kern w:val="0"/>
      <w:sz w:val="28"/>
      <w:szCs w:val="20"/>
    </w:rPr>
  </w:style>
  <w:style w:type="paragraph" w:customStyle="1" w:styleId="2518">
    <w:name w:val="样式 首行缩进:  2 字符 行距: 最小值 22 磅"/>
    <w:basedOn w:val="1"/>
    <w:qFormat/>
    <w:uiPriority w:val="0"/>
    <w:pPr>
      <w:spacing w:line="420" w:lineRule="atLeast"/>
      <w:jc w:val="both"/>
    </w:pPr>
    <w:rPr>
      <w:rFonts w:cs="宋体"/>
      <w:kern w:val="0"/>
      <w:sz w:val="24"/>
      <w:szCs w:val="24"/>
    </w:rPr>
  </w:style>
  <w:style w:type="paragraph" w:customStyle="1" w:styleId="2519">
    <w:name w:val="样式 首行缩进:  2 字符 行距: 最小值 22 磅1"/>
    <w:basedOn w:val="1"/>
    <w:qFormat/>
    <w:uiPriority w:val="0"/>
    <w:pPr>
      <w:spacing w:line="420" w:lineRule="atLeast"/>
      <w:jc w:val="both"/>
    </w:pPr>
    <w:rPr>
      <w:rFonts w:cs="宋体"/>
      <w:kern w:val="0"/>
      <w:sz w:val="24"/>
      <w:szCs w:val="24"/>
    </w:rPr>
  </w:style>
  <w:style w:type="paragraph" w:customStyle="1" w:styleId="2520">
    <w:name w:val="样式 正文文字缩进 3 + 自动设置 图案: 清除 行距: 最小值 23 磅"/>
    <w:basedOn w:val="70"/>
    <w:qFormat/>
    <w:uiPriority w:val="0"/>
    <w:pPr>
      <w:adjustRightInd w:val="0"/>
      <w:snapToGrid w:val="0"/>
      <w:spacing w:beforeLines="0" w:afterLines="0" w:line="420" w:lineRule="atLeast"/>
      <w:ind w:left="0" w:leftChars="0"/>
    </w:pPr>
    <w:rPr>
      <w:rFonts w:eastAsia="Times New Roman" w:cs="宋体"/>
      <w:kern w:val="0"/>
      <w:sz w:val="24"/>
      <w:szCs w:val="24"/>
    </w:rPr>
  </w:style>
  <w:style w:type="paragraph" w:customStyle="1" w:styleId="2521">
    <w:name w:val="样式 首行缩进:  1.82 字符"/>
    <w:basedOn w:val="1"/>
    <w:qFormat/>
    <w:uiPriority w:val="0"/>
    <w:pPr>
      <w:spacing w:line="420" w:lineRule="atLeast"/>
      <w:jc w:val="both"/>
    </w:pPr>
    <w:rPr>
      <w:rFonts w:cs="宋体"/>
      <w:kern w:val="0"/>
      <w:sz w:val="24"/>
      <w:szCs w:val="24"/>
    </w:rPr>
  </w:style>
  <w:style w:type="paragraph" w:customStyle="1" w:styleId="2522">
    <w:name w:val="样式 首行缩进:  2 字符 行距: 最小值 22 磅2"/>
    <w:basedOn w:val="1"/>
    <w:qFormat/>
    <w:uiPriority w:val="0"/>
    <w:pPr>
      <w:spacing w:line="420" w:lineRule="atLeast"/>
      <w:jc w:val="both"/>
    </w:pPr>
    <w:rPr>
      <w:rFonts w:cs="宋体"/>
      <w:kern w:val="0"/>
      <w:sz w:val="24"/>
      <w:szCs w:val="24"/>
    </w:rPr>
  </w:style>
  <w:style w:type="paragraph" w:customStyle="1" w:styleId="2523">
    <w:name w:val="样式 行距: 最小值 22 磅 首行缩进:  0 字符"/>
    <w:basedOn w:val="1"/>
    <w:qFormat/>
    <w:uiPriority w:val="0"/>
    <w:pPr>
      <w:spacing w:line="420" w:lineRule="atLeast"/>
      <w:ind w:firstLine="0" w:firstLineChars="0"/>
      <w:jc w:val="both"/>
    </w:pPr>
    <w:rPr>
      <w:rFonts w:cs="宋体"/>
      <w:kern w:val="0"/>
      <w:sz w:val="24"/>
      <w:szCs w:val="24"/>
    </w:rPr>
  </w:style>
  <w:style w:type="paragraph" w:customStyle="1" w:styleId="2524">
    <w:name w:val="样式 首行缩进:  0 字符"/>
    <w:basedOn w:val="1"/>
    <w:qFormat/>
    <w:uiPriority w:val="0"/>
    <w:pPr>
      <w:spacing w:line="420" w:lineRule="atLeast"/>
      <w:ind w:firstLine="0" w:firstLineChars="0"/>
      <w:jc w:val="both"/>
    </w:pPr>
    <w:rPr>
      <w:rFonts w:cs="宋体"/>
      <w:kern w:val="0"/>
      <w:sz w:val="24"/>
      <w:szCs w:val="24"/>
    </w:rPr>
  </w:style>
  <w:style w:type="paragraph" w:customStyle="1" w:styleId="2525">
    <w:name w:val="样式 首行缩进:  2 字符2"/>
    <w:basedOn w:val="1"/>
    <w:qFormat/>
    <w:uiPriority w:val="0"/>
    <w:pPr>
      <w:spacing w:line="420" w:lineRule="atLeast"/>
      <w:jc w:val="both"/>
    </w:pPr>
    <w:rPr>
      <w:rFonts w:cs="宋体"/>
      <w:kern w:val="0"/>
      <w:sz w:val="24"/>
      <w:szCs w:val="24"/>
    </w:rPr>
  </w:style>
  <w:style w:type="paragraph" w:customStyle="1" w:styleId="2526">
    <w:name w:val="样式 首行缩进:  2 字符 行距: 固定值 24 磅"/>
    <w:basedOn w:val="1"/>
    <w:qFormat/>
    <w:uiPriority w:val="0"/>
    <w:pPr>
      <w:spacing w:line="420" w:lineRule="atLeast"/>
      <w:jc w:val="both"/>
    </w:pPr>
    <w:rPr>
      <w:rFonts w:cs="宋体"/>
      <w:kern w:val="0"/>
      <w:sz w:val="24"/>
      <w:szCs w:val="24"/>
    </w:rPr>
  </w:style>
  <w:style w:type="paragraph" w:customStyle="1" w:styleId="2527">
    <w:name w:val="样式 首行缩进:  2 字符 行距: 固定值 22 磅"/>
    <w:basedOn w:val="1"/>
    <w:qFormat/>
    <w:uiPriority w:val="0"/>
    <w:pPr>
      <w:spacing w:line="420" w:lineRule="atLeast"/>
      <w:jc w:val="both"/>
    </w:pPr>
    <w:rPr>
      <w:rFonts w:cs="宋体"/>
      <w:kern w:val="0"/>
      <w:sz w:val="24"/>
      <w:szCs w:val="24"/>
    </w:rPr>
  </w:style>
  <w:style w:type="paragraph" w:customStyle="1" w:styleId="2528">
    <w:name w:val="样式 左侧:  0.19 厘米 首行缩进:  2 字符 加宽量  0.2 磅 行距: 固定值 24 磅"/>
    <w:basedOn w:val="1"/>
    <w:qFormat/>
    <w:uiPriority w:val="0"/>
    <w:pPr>
      <w:spacing w:line="420" w:lineRule="atLeast"/>
      <w:ind w:left="108"/>
      <w:jc w:val="both"/>
    </w:pPr>
    <w:rPr>
      <w:rFonts w:cs="宋体"/>
      <w:spacing w:val="4"/>
      <w:kern w:val="0"/>
      <w:sz w:val="24"/>
      <w:szCs w:val="24"/>
    </w:rPr>
  </w:style>
  <w:style w:type="paragraph" w:customStyle="1" w:styleId="2529">
    <w:name w:val="样式 首行缩进:  2 字符 行距: 固定值 25 磅"/>
    <w:basedOn w:val="1"/>
    <w:qFormat/>
    <w:uiPriority w:val="0"/>
    <w:pPr>
      <w:spacing w:line="420" w:lineRule="atLeast"/>
      <w:jc w:val="both"/>
    </w:pPr>
    <w:rPr>
      <w:rFonts w:cs="宋体"/>
      <w:kern w:val="0"/>
      <w:sz w:val="24"/>
      <w:szCs w:val="24"/>
    </w:rPr>
  </w:style>
  <w:style w:type="paragraph" w:customStyle="1" w:styleId="2530">
    <w:name w:val="样式 首行缩进:  1.7 字符"/>
    <w:basedOn w:val="1"/>
    <w:qFormat/>
    <w:uiPriority w:val="0"/>
    <w:pPr>
      <w:spacing w:line="420" w:lineRule="atLeast"/>
      <w:jc w:val="both"/>
    </w:pPr>
    <w:rPr>
      <w:rFonts w:cs="宋体"/>
      <w:kern w:val="0"/>
      <w:sz w:val="24"/>
      <w:szCs w:val="24"/>
    </w:rPr>
  </w:style>
  <w:style w:type="paragraph" w:customStyle="1" w:styleId="2531">
    <w:name w:val="样式 (西文) 宋体 首行缩进:  2 字符"/>
    <w:basedOn w:val="1"/>
    <w:qFormat/>
    <w:uiPriority w:val="0"/>
    <w:pPr>
      <w:spacing w:line="420" w:lineRule="atLeast"/>
      <w:jc w:val="both"/>
    </w:pPr>
    <w:rPr>
      <w:rFonts w:ascii="宋体" w:hAnsi="宋体" w:cs="宋体"/>
      <w:kern w:val="0"/>
      <w:sz w:val="24"/>
      <w:szCs w:val="24"/>
    </w:rPr>
  </w:style>
  <w:style w:type="paragraph" w:customStyle="1" w:styleId="2532">
    <w:name w:val="样式 样式 (西文) 宋体 首行缩进:  2 字符 + 首行缩进:  2 字符"/>
    <w:basedOn w:val="2531"/>
    <w:qFormat/>
    <w:uiPriority w:val="0"/>
  </w:style>
  <w:style w:type="paragraph" w:customStyle="1" w:styleId="2533">
    <w:name w:val="xl389"/>
    <w:basedOn w:val="1"/>
    <w:qFormat/>
    <w:uiPriority w:val="0"/>
    <w:pPr>
      <w:widowControl/>
      <w:pBdr>
        <w:left w:val="single" w:color="auto" w:sz="4" w:space="0"/>
        <w:bottom w:val="single" w:color="auto" w:sz="4" w:space="0"/>
      </w:pBdr>
      <w:adjustRightInd/>
      <w:snapToGrid/>
      <w:spacing w:before="100" w:beforeAutospacing="1" w:after="100" w:afterAutospacing="1" w:line="240" w:lineRule="auto"/>
      <w:ind w:firstLine="0" w:firstLineChars="0"/>
      <w:jc w:val="center"/>
    </w:pPr>
    <w:rPr>
      <w:rFonts w:ascii="宋体" w:hAnsi="宋体"/>
      <w:kern w:val="0"/>
      <w:sz w:val="24"/>
      <w:szCs w:val="24"/>
    </w:rPr>
  </w:style>
  <w:style w:type="paragraph" w:customStyle="1" w:styleId="2534">
    <w:name w:val="样式 正文宋体小四 + 首行缩进:  2 字符"/>
    <w:basedOn w:val="1"/>
    <w:qFormat/>
    <w:uiPriority w:val="0"/>
    <w:pPr>
      <w:adjustRightInd/>
      <w:snapToGrid/>
      <w:spacing w:line="240" w:lineRule="auto"/>
      <w:ind w:firstLine="480" w:firstLineChars="0"/>
      <w:jc w:val="both"/>
    </w:pPr>
    <w:rPr>
      <w:rFonts w:cs="宋体"/>
      <w:sz w:val="21"/>
      <w:szCs w:val="24"/>
    </w:rPr>
  </w:style>
  <w:style w:type="paragraph" w:customStyle="1" w:styleId="2535">
    <w:name w:val="样式 样式 表格1 + 首行缩进:  2 字符 + 首行缩进:  2 字符"/>
    <w:basedOn w:val="1"/>
    <w:qFormat/>
    <w:uiPriority w:val="0"/>
    <w:pPr>
      <w:adjustRightInd/>
      <w:snapToGrid/>
      <w:spacing w:line="400" w:lineRule="exact"/>
      <w:ind w:firstLine="0" w:firstLineChars="0"/>
    </w:pPr>
    <w:rPr>
      <w:rFonts w:cs="宋体"/>
      <w:sz w:val="21"/>
      <w:szCs w:val="20"/>
    </w:rPr>
  </w:style>
  <w:style w:type="paragraph" w:customStyle="1" w:styleId="2536">
    <w:name w:val="样式 表格1 + 首行缩进:  2 字符1"/>
    <w:basedOn w:val="384"/>
    <w:qFormat/>
    <w:uiPriority w:val="0"/>
    <w:pPr>
      <w:spacing w:line="400" w:lineRule="exact"/>
      <w:jc w:val="left"/>
    </w:pPr>
    <w:rPr>
      <w:rFonts w:eastAsia="Times New Roman" w:cs="宋体"/>
      <w:bCs w:val="0"/>
      <w:color w:val="auto"/>
      <w:kern w:val="2"/>
      <w:szCs w:val="20"/>
    </w:rPr>
  </w:style>
  <w:style w:type="character" w:customStyle="1" w:styleId="2537">
    <w:name w:val="珠江啤酒正文 Char"/>
    <w:link w:val="2538"/>
    <w:qFormat/>
    <w:locked/>
    <w:uiPriority w:val="0"/>
  </w:style>
  <w:style w:type="paragraph" w:customStyle="1" w:styleId="2538">
    <w:name w:val="珠江啤酒正文"/>
    <w:basedOn w:val="1"/>
    <w:link w:val="2537"/>
    <w:qFormat/>
    <w:uiPriority w:val="0"/>
    <w:pPr>
      <w:adjustRightInd/>
      <w:snapToGrid/>
      <w:spacing w:line="240" w:lineRule="auto"/>
      <w:ind w:firstLine="0" w:firstLineChars="0"/>
      <w:jc w:val="both"/>
    </w:pPr>
    <w:rPr>
      <w:rFonts w:ascii="Calibri" w:hAnsi="Calibri"/>
      <w:kern w:val="0"/>
      <w:sz w:val="20"/>
      <w:szCs w:val="20"/>
    </w:rPr>
  </w:style>
  <w:style w:type="paragraph" w:customStyle="1" w:styleId="2539">
    <w:name w:val="样式 表格 + 五号1"/>
    <w:basedOn w:val="1"/>
    <w:qFormat/>
    <w:uiPriority w:val="0"/>
    <w:pPr>
      <w:adjustRightInd/>
      <w:snapToGrid/>
      <w:spacing w:line="400" w:lineRule="exact"/>
      <w:ind w:firstLine="0" w:firstLineChars="0"/>
      <w:jc w:val="center"/>
    </w:pPr>
    <w:rPr>
      <w:sz w:val="21"/>
      <w:szCs w:val="21"/>
    </w:rPr>
  </w:style>
  <w:style w:type="paragraph" w:customStyle="1" w:styleId="2540">
    <w:name w:val="区划正文"/>
    <w:basedOn w:val="1"/>
    <w:qFormat/>
    <w:uiPriority w:val="0"/>
    <w:pPr>
      <w:adjustRightInd/>
      <w:spacing w:line="240" w:lineRule="auto"/>
      <w:ind w:firstLine="0" w:firstLineChars="0"/>
      <w:jc w:val="both"/>
    </w:pPr>
    <w:rPr>
      <w:rFonts w:cs="宋体"/>
      <w:sz w:val="21"/>
      <w:szCs w:val="20"/>
    </w:rPr>
  </w:style>
  <w:style w:type="paragraph" w:customStyle="1" w:styleId="2541">
    <w:name w:val="正文111"/>
    <w:basedOn w:val="21"/>
    <w:qFormat/>
    <w:uiPriority w:val="0"/>
    <w:pPr>
      <w:spacing w:line="360" w:lineRule="auto"/>
      <w:ind w:firstLine="200" w:firstLineChars="200"/>
      <w:jc w:val="both"/>
    </w:pPr>
    <w:rPr>
      <w:b w:val="0"/>
      <w:color w:val="auto"/>
    </w:rPr>
  </w:style>
  <w:style w:type="paragraph" w:customStyle="1" w:styleId="2542">
    <w:name w:val="标题3-3"/>
    <w:basedOn w:val="5"/>
    <w:qFormat/>
    <w:uiPriority w:val="0"/>
    <w:pPr>
      <w:keepNext/>
      <w:keepLines/>
      <w:widowControl w:val="0"/>
      <w:tabs>
        <w:tab w:val="left" w:pos="720"/>
        <w:tab w:val="clear" w:pos="0"/>
      </w:tabs>
      <w:snapToGrid/>
      <w:spacing w:beforeLines="50" w:afterLines="25"/>
      <w:ind w:left="720" w:hanging="720"/>
    </w:pPr>
    <w:rPr>
      <w:rFonts w:ascii="Arial" w:hAnsi="Arial" w:eastAsia="黑体"/>
      <w:b w:val="0"/>
      <w:bCs/>
      <w:snapToGrid/>
      <w:kern w:val="0"/>
      <w:szCs w:val="24"/>
    </w:rPr>
  </w:style>
  <w:style w:type="character" w:customStyle="1" w:styleId="2543">
    <w:name w:val="表中文字 Char1"/>
    <w:qFormat/>
    <w:locked/>
    <w:uiPriority w:val="0"/>
    <w:rPr>
      <w:rFonts w:ascii="Times New Roman" w:hAnsi="Times New Roman"/>
      <w:snapToGrid w:val="0"/>
      <w:sz w:val="21"/>
    </w:rPr>
  </w:style>
  <w:style w:type="character" w:customStyle="1" w:styleId="2544">
    <w:name w:val="样式 正文缩进正文（首行缩进两字）s4 + Arial Char"/>
    <w:link w:val="2545"/>
    <w:semiHidden/>
    <w:qFormat/>
    <w:locked/>
    <w:uiPriority w:val="0"/>
    <w:rPr>
      <w:sz w:val="24"/>
      <w:szCs w:val="24"/>
    </w:rPr>
  </w:style>
  <w:style w:type="paragraph" w:customStyle="1" w:styleId="2545">
    <w:name w:val="样式 正文缩进正文（首行缩进两字）s4 + Arial"/>
    <w:basedOn w:val="21"/>
    <w:link w:val="2544"/>
    <w:semiHidden/>
    <w:qFormat/>
    <w:uiPriority w:val="0"/>
    <w:pPr>
      <w:spacing w:after="60" w:line="400" w:lineRule="exact"/>
      <w:jc w:val="both"/>
    </w:pPr>
    <w:rPr>
      <w:rFonts w:ascii="Calibri" w:hAnsi="Calibri"/>
      <w:b w:val="0"/>
      <w:color w:val="auto"/>
    </w:rPr>
  </w:style>
  <w:style w:type="character" w:customStyle="1" w:styleId="2546">
    <w:name w:val="样式 题注 + (西文) Times New Roman (中文) 宋体 小四 加粗 黑色 Char Char"/>
    <w:link w:val="2547"/>
    <w:qFormat/>
    <w:locked/>
    <w:uiPriority w:val="0"/>
    <w:rPr>
      <w:rFonts w:ascii="Arial" w:hAnsi="Arial"/>
      <w:b/>
      <w:bCs/>
      <w:color w:val="000000"/>
      <w:sz w:val="24"/>
      <w:szCs w:val="24"/>
    </w:rPr>
  </w:style>
  <w:style w:type="paragraph" w:customStyle="1" w:styleId="2547">
    <w:name w:val="样式 题注 + (西文) Times New Roman (中文) 宋体 小四 加粗 黑色 Char"/>
    <w:basedOn w:val="22"/>
    <w:link w:val="2546"/>
    <w:qFormat/>
    <w:uiPriority w:val="0"/>
    <w:pPr>
      <w:snapToGrid/>
      <w:spacing w:beforeLines="100" w:line="360" w:lineRule="auto"/>
    </w:pPr>
    <w:rPr>
      <w:rFonts w:ascii="Arial" w:hAnsi="Arial" w:eastAsia="宋体"/>
      <w:b/>
      <w:bCs/>
      <w:color w:val="000000"/>
      <w:kern w:val="0"/>
      <w:szCs w:val="24"/>
    </w:rPr>
  </w:style>
  <w:style w:type="paragraph" w:customStyle="1" w:styleId="2548">
    <w:name w:val="标题4-4"/>
    <w:basedOn w:val="6"/>
    <w:qFormat/>
    <w:uiPriority w:val="0"/>
    <w:pPr>
      <w:keepNext/>
      <w:keepLines/>
      <w:widowControl w:val="0"/>
      <w:numPr>
        <w:ilvl w:val="0"/>
        <w:numId w:val="0"/>
      </w:numPr>
      <w:tabs>
        <w:tab w:val="left" w:pos="1134"/>
        <w:tab w:val="left" w:pos="1630"/>
        <w:tab w:val="clear" w:pos="0"/>
      </w:tabs>
      <w:adjustRightInd/>
      <w:snapToGrid/>
      <w:spacing w:before="240" w:after="120" w:line="360" w:lineRule="auto"/>
      <w:jc w:val="both"/>
    </w:pPr>
    <w:rPr>
      <w:b w:val="0"/>
      <w:snapToGrid/>
      <w:kern w:val="0"/>
      <w:sz w:val="24"/>
      <w:szCs w:val="24"/>
    </w:rPr>
  </w:style>
  <w:style w:type="paragraph" w:customStyle="1" w:styleId="2549">
    <w:name w:val="新标题2"/>
    <w:basedOn w:val="4"/>
    <w:qFormat/>
    <w:uiPriority w:val="0"/>
    <w:pPr>
      <w:keepNext/>
      <w:keepLines/>
      <w:tabs>
        <w:tab w:val="left" w:pos="645"/>
        <w:tab w:val="clear" w:pos="0"/>
      </w:tabs>
      <w:overflowPunct w:val="0"/>
      <w:topLinePunct/>
      <w:autoSpaceDE w:val="0"/>
      <w:autoSpaceDN w:val="0"/>
      <w:spacing w:line="520" w:lineRule="exact"/>
      <w:ind w:left="645" w:hanging="567"/>
    </w:pPr>
    <w:rPr>
      <w:rFonts w:ascii="Arial" w:hAnsi="Arial" w:cs="宋体"/>
      <w:b w:val="0"/>
      <w:bCs w:val="0"/>
      <w:snapToGrid/>
      <w:kern w:val="0"/>
      <w:sz w:val="32"/>
      <w:szCs w:val="20"/>
    </w:rPr>
  </w:style>
  <w:style w:type="paragraph" w:customStyle="1" w:styleId="2550">
    <w:name w:val="新标题1"/>
    <w:basedOn w:val="3"/>
    <w:qFormat/>
    <w:uiPriority w:val="0"/>
    <w:pPr>
      <w:keepNext/>
      <w:keepLines/>
      <w:widowControl w:val="0"/>
      <w:numPr>
        <w:numId w:val="0"/>
      </w:numPr>
      <w:tabs>
        <w:tab w:val="left" w:pos="503"/>
        <w:tab w:val="clear" w:pos="0"/>
      </w:tabs>
      <w:overflowPunct w:val="0"/>
      <w:topLinePunct/>
      <w:autoSpaceDE w:val="0"/>
      <w:autoSpaceDN w:val="0"/>
      <w:spacing w:beforeLines="0" w:afterLines="0" w:line="520" w:lineRule="exact"/>
      <w:ind w:left="503" w:hanging="425"/>
      <w:jc w:val="both"/>
    </w:pPr>
    <w:rPr>
      <w:rFonts w:ascii="Arial" w:hAnsi="Arial" w:cs="宋体"/>
      <w:snapToGrid/>
      <w:kern w:val="2"/>
      <w:sz w:val="36"/>
      <w:szCs w:val="20"/>
    </w:rPr>
  </w:style>
  <w:style w:type="paragraph" w:customStyle="1" w:styleId="2551">
    <w:name w:val="新标题3"/>
    <w:basedOn w:val="5"/>
    <w:qFormat/>
    <w:uiPriority w:val="0"/>
    <w:pPr>
      <w:keepNext/>
      <w:keepLines/>
      <w:widowControl w:val="0"/>
      <w:tabs>
        <w:tab w:val="left" w:pos="1229"/>
        <w:tab w:val="clear" w:pos="0"/>
      </w:tabs>
      <w:overflowPunct w:val="0"/>
      <w:topLinePunct/>
      <w:autoSpaceDE w:val="0"/>
      <w:autoSpaceDN w:val="0"/>
      <w:spacing w:line="520" w:lineRule="exact"/>
      <w:ind w:left="1229" w:hanging="709"/>
    </w:pPr>
    <w:rPr>
      <w:rFonts w:ascii="黑体" w:eastAsia="黑体" w:cs="宋体"/>
      <w:b w:val="0"/>
      <w:bCs/>
      <w:snapToGrid/>
      <w:kern w:val="0"/>
      <w:sz w:val="30"/>
      <w:szCs w:val="20"/>
    </w:rPr>
  </w:style>
  <w:style w:type="character" w:customStyle="1" w:styleId="2552">
    <w:name w:val="新标题4 Char"/>
    <w:link w:val="2553"/>
    <w:qFormat/>
    <w:locked/>
    <w:uiPriority w:val="0"/>
    <w:rPr>
      <w:rFonts w:ascii="Arial" w:hAnsi="Arial"/>
      <w:b/>
      <w:bCs/>
      <w:spacing w:val="8"/>
      <w:sz w:val="24"/>
    </w:rPr>
  </w:style>
  <w:style w:type="paragraph" w:customStyle="1" w:styleId="2553">
    <w:name w:val="新标题4"/>
    <w:basedOn w:val="6"/>
    <w:link w:val="2552"/>
    <w:qFormat/>
    <w:uiPriority w:val="0"/>
    <w:pPr>
      <w:keepNext/>
      <w:keepLines/>
      <w:widowControl w:val="0"/>
      <w:numPr>
        <w:ilvl w:val="0"/>
        <w:numId w:val="0"/>
      </w:numPr>
      <w:tabs>
        <w:tab w:val="left" w:pos="1024"/>
        <w:tab w:val="left" w:pos="1241"/>
        <w:tab w:val="clear" w:pos="0"/>
      </w:tabs>
      <w:overflowPunct w:val="0"/>
      <w:topLinePunct/>
      <w:autoSpaceDE w:val="0"/>
      <w:autoSpaceDN w:val="0"/>
      <w:spacing w:line="440" w:lineRule="exact"/>
      <w:ind w:left="1241" w:hanging="851"/>
    </w:pPr>
    <w:rPr>
      <w:rFonts w:ascii="Arial" w:hAnsi="Arial"/>
      <w:b w:val="0"/>
      <w:snapToGrid/>
      <w:spacing w:val="8"/>
      <w:kern w:val="0"/>
      <w:sz w:val="24"/>
      <w:szCs w:val="20"/>
    </w:rPr>
  </w:style>
  <w:style w:type="paragraph" w:customStyle="1" w:styleId="2554">
    <w:name w:val="样式 首行缩进:  2 字符20"/>
    <w:basedOn w:val="1"/>
    <w:qFormat/>
    <w:uiPriority w:val="0"/>
    <w:pPr>
      <w:adjustRightInd/>
      <w:snapToGrid/>
      <w:spacing w:line="520" w:lineRule="exact"/>
      <w:ind w:firstLine="560"/>
      <w:jc w:val="both"/>
    </w:pPr>
    <w:rPr>
      <w:rFonts w:cs="宋体"/>
      <w:sz w:val="24"/>
      <w:szCs w:val="20"/>
    </w:rPr>
  </w:style>
  <w:style w:type="paragraph" w:customStyle="1" w:styleId="2555">
    <w:name w:val="neirong"/>
    <w:basedOn w:val="1"/>
    <w:qFormat/>
    <w:uiPriority w:val="0"/>
    <w:pPr>
      <w:widowControl/>
      <w:adjustRightInd/>
      <w:snapToGrid/>
      <w:spacing w:before="100" w:beforeAutospacing="1" w:after="100" w:afterAutospacing="1" w:line="240" w:lineRule="auto"/>
      <w:ind w:firstLine="0" w:firstLineChars="0"/>
    </w:pPr>
    <w:rPr>
      <w:rFonts w:ascii="宋体" w:hAnsi="宋体"/>
      <w:kern w:val="0"/>
      <w:sz w:val="24"/>
      <w:szCs w:val="24"/>
    </w:rPr>
  </w:style>
  <w:style w:type="character" w:customStyle="1" w:styleId="2556">
    <w:name w:val="段落 Char Char"/>
    <w:link w:val="1285"/>
    <w:qFormat/>
    <w:locked/>
    <w:uiPriority w:val="0"/>
    <w:rPr>
      <w:rFonts w:ascii="Times New Roman" w:hAnsi="Times New Roman"/>
      <w:kern w:val="24"/>
      <w:sz w:val="24"/>
      <w:szCs w:val="24"/>
    </w:rPr>
  </w:style>
  <w:style w:type="paragraph" w:customStyle="1" w:styleId="2557">
    <w:name w:val="91"/>
    <w:basedOn w:val="1"/>
    <w:qFormat/>
    <w:uiPriority w:val="0"/>
    <w:pPr>
      <w:keepNext/>
      <w:adjustRightInd/>
      <w:snapToGrid/>
      <w:spacing w:beforeLines="30" w:line="360" w:lineRule="auto"/>
      <w:ind w:firstLine="0" w:firstLineChars="0"/>
      <w:jc w:val="both"/>
    </w:pPr>
    <w:rPr>
      <w:sz w:val="24"/>
      <w:szCs w:val="24"/>
    </w:rPr>
  </w:style>
  <w:style w:type="paragraph" w:customStyle="1" w:styleId="2558">
    <w:name w:val="段落2"/>
    <w:basedOn w:val="1285"/>
    <w:qFormat/>
    <w:uiPriority w:val="0"/>
    <w:pPr>
      <w:tabs>
        <w:tab w:val="clear" w:pos="1021"/>
      </w:tabs>
      <w:spacing w:line="400" w:lineRule="atLeast"/>
      <w:ind w:firstLine="454" w:firstLineChars="0"/>
      <w:jc w:val="left"/>
    </w:pPr>
    <w:rPr>
      <w:rFonts w:ascii="Calibri" w:hAnsi="Calibri"/>
      <w:kern w:val="0"/>
      <w:sz w:val="28"/>
      <w:szCs w:val="20"/>
    </w:rPr>
  </w:style>
  <w:style w:type="paragraph" w:customStyle="1" w:styleId="2559">
    <w:name w:val="样式 首行缩进:  2 字符16"/>
    <w:basedOn w:val="1"/>
    <w:qFormat/>
    <w:uiPriority w:val="0"/>
    <w:pPr>
      <w:adjustRightInd/>
      <w:snapToGrid/>
      <w:spacing w:line="520" w:lineRule="exact"/>
      <w:ind w:firstLine="560"/>
      <w:jc w:val="both"/>
    </w:pPr>
    <w:rPr>
      <w:sz w:val="24"/>
      <w:szCs w:val="20"/>
    </w:rPr>
  </w:style>
  <w:style w:type="paragraph" w:customStyle="1" w:styleId="2560">
    <w:name w:val="样式 首行缩进:  2 字符17"/>
    <w:basedOn w:val="1"/>
    <w:qFormat/>
    <w:uiPriority w:val="0"/>
    <w:pPr>
      <w:adjustRightInd/>
      <w:snapToGrid/>
      <w:spacing w:line="520" w:lineRule="exact"/>
      <w:ind w:firstLine="560"/>
      <w:jc w:val="both"/>
    </w:pPr>
    <w:rPr>
      <w:sz w:val="24"/>
      <w:szCs w:val="20"/>
    </w:rPr>
  </w:style>
  <w:style w:type="paragraph" w:customStyle="1" w:styleId="2561">
    <w:name w:val="样式 标题 2节标题 1.1b2H2BSH-2节标题 1.1 Charb2 CharH2 Char条标题1.1..."/>
    <w:basedOn w:val="4"/>
    <w:qFormat/>
    <w:uiPriority w:val="0"/>
    <w:pPr>
      <w:keepNext/>
      <w:keepLines/>
      <w:widowControl w:val="0"/>
      <w:tabs>
        <w:tab w:val="left" w:pos="927"/>
        <w:tab w:val="left" w:pos="1134"/>
        <w:tab w:val="clear" w:pos="0"/>
      </w:tabs>
      <w:spacing w:beforeLines="0" w:line="412" w:lineRule="auto"/>
    </w:pPr>
    <w:rPr>
      <w:rFonts w:cs="宋体"/>
      <w:snapToGrid/>
      <w:kern w:val="0"/>
      <w:szCs w:val="20"/>
    </w:rPr>
  </w:style>
  <w:style w:type="character" w:customStyle="1" w:styleId="2562">
    <w:name w:val="正文qrz Char Char Char"/>
    <w:link w:val="2563"/>
    <w:qFormat/>
    <w:locked/>
    <w:uiPriority w:val="0"/>
    <w:rPr>
      <w:rFonts w:ascii="宋体" w:hAnsi="宋体"/>
      <w:color w:val="FF00FF"/>
      <w:sz w:val="24"/>
      <w:szCs w:val="28"/>
    </w:rPr>
  </w:style>
  <w:style w:type="paragraph" w:customStyle="1" w:styleId="2563">
    <w:name w:val="正文qrz Char Char"/>
    <w:basedOn w:val="1"/>
    <w:link w:val="2562"/>
    <w:qFormat/>
    <w:uiPriority w:val="0"/>
    <w:pPr>
      <w:adjustRightInd/>
      <w:spacing w:line="360" w:lineRule="auto"/>
      <w:ind w:firstLine="480"/>
      <w:jc w:val="both"/>
    </w:pPr>
    <w:rPr>
      <w:rFonts w:ascii="宋体" w:hAnsi="宋体"/>
      <w:color w:val="FF00FF"/>
      <w:kern w:val="0"/>
      <w:sz w:val="24"/>
      <w:szCs w:val="28"/>
    </w:rPr>
  </w:style>
  <w:style w:type="character" w:customStyle="1" w:styleId="2564">
    <w:name w:val="正文qrz Char"/>
    <w:link w:val="2565"/>
    <w:qFormat/>
    <w:locked/>
    <w:uiPriority w:val="0"/>
    <w:rPr>
      <w:color w:val="FF00FF"/>
      <w:sz w:val="24"/>
      <w:szCs w:val="24"/>
    </w:rPr>
  </w:style>
  <w:style w:type="paragraph" w:customStyle="1" w:styleId="2565">
    <w:name w:val="正文qrz"/>
    <w:basedOn w:val="1"/>
    <w:link w:val="2564"/>
    <w:qFormat/>
    <w:uiPriority w:val="0"/>
    <w:pPr>
      <w:adjustRightInd/>
      <w:spacing w:line="440" w:lineRule="exact"/>
      <w:ind w:firstLine="480"/>
    </w:pPr>
    <w:rPr>
      <w:rFonts w:ascii="Calibri" w:hAnsi="Calibri"/>
      <w:color w:val="FF00FF"/>
      <w:kern w:val="0"/>
      <w:sz w:val="24"/>
      <w:szCs w:val="24"/>
    </w:rPr>
  </w:style>
  <w:style w:type="paragraph" w:customStyle="1" w:styleId="2566">
    <w:name w:val="表格 + 五号"/>
    <w:basedOn w:val="181"/>
    <w:qFormat/>
    <w:uiPriority w:val="0"/>
    <w:pPr>
      <w:keepNext/>
      <w:keepLines/>
      <w:widowControl w:val="0"/>
      <w:snapToGrid/>
      <w:spacing w:before="60" w:line="400" w:lineRule="exact"/>
      <w:jc w:val="center"/>
    </w:pPr>
    <w:rPr>
      <w:rFonts w:eastAsia="Times New Roman"/>
      <w:kern w:val="0"/>
      <w:sz w:val="21"/>
      <w:szCs w:val="21"/>
    </w:rPr>
  </w:style>
  <w:style w:type="paragraph" w:customStyle="1" w:styleId="2567">
    <w:name w:val="样式 正文文字 + 首行缩进:  2 字符 行距: 最小值 24 磅"/>
    <w:basedOn w:val="1"/>
    <w:qFormat/>
    <w:uiPriority w:val="0"/>
    <w:pPr>
      <w:spacing w:line="480" w:lineRule="atLeast"/>
      <w:ind w:firstLine="480"/>
      <w:jc w:val="both"/>
    </w:pPr>
    <w:rPr>
      <w:rFonts w:cs="宋体"/>
      <w:sz w:val="24"/>
      <w:szCs w:val="20"/>
    </w:rPr>
  </w:style>
  <w:style w:type="character" w:customStyle="1" w:styleId="2568">
    <w:name w:val="正文宋体小四 Char"/>
    <w:link w:val="2569"/>
    <w:qFormat/>
    <w:locked/>
    <w:uiPriority w:val="0"/>
    <w:rPr>
      <w:sz w:val="24"/>
      <w:szCs w:val="24"/>
    </w:rPr>
  </w:style>
  <w:style w:type="paragraph" w:customStyle="1" w:styleId="2569">
    <w:name w:val="正文宋体小四"/>
    <w:basedOn w:val="21"/>
    <w:link w:val="2568"/>
    <w:qFormat/>
    <w:uiPriority w:val="0"/>
    <w:pPr>
      <w:adjustRightInd w:val="0"/>
      <w:ind w:firstLine="480" w:firstLineChars="200"/>
      <w:jc w:val="both"/>
    </w:pPr>
    <w:rPr>
      <w:rFonts w:ascii="Calibri" w:hAnsi="Calibri"/>
      <w:b w:val="0"/>
      <w:color w:val="auto"/>
    </w:rPr>
  </w:style>
  <w:style w:type="character" w:customStyle="1" w:styleId="2570">
    <w:name w:val="样式 正文（首行缩进两字） + 小三 首行缩进:  1 厘米 行距: 固定值 24 磅 Char Char"/>
    <w:link w:val="2571"/>
    <w:qFormat/>
    <w:locked/>
    <w:uiPriority w:val="0"/>
    <w:rPr>
      <w:sz w:val="28"/>
      <w:szCs w:val="30"/>
    </w:rPr>
  </w:style>
  <w:style w:type="paragraph" w:customStyle="1" w:styleId="2571">
    <w:name w:val="样式 正文（首行缩进两字） + 小三 首行缩进:  1 厘米 行距: 固定值 24 磅 Char"/>
    <w:basedOn w:val="21"/>
    <w:link w:val="2570"/>
    <w:qFormat/>
    <w:uiPriority w:val="0"/>
    <w:pPr>
      <w:adjustRightInd w:val="0"/>
      <w:ind w:firstLine="567"/>
      <w:jc w:val="both"/>
    </w:pPr>
    <w:rPr>
      <w:rFonts w:ascii="Calibri" w:hAnsi="Calibri"/>
      <w:b w:val="0"/>
      <w:color w:val="auto"/>
      <w:sz w:val="28"/>
      <w:szCs w:val="30"/>
    </w:rPr>
  </w:style>
  <w:style w:type="character" w:customStyle="1" w:styleId="2572">
    <w:name w:val="样式 样式 正文（首行缩进两字） + 小三 首行缩进:  1 厘米 行距: 固定值 24 磅 + 宋体 黑色 Char"/>
    <w:link w:val="2573"/>
    <w:qFormat/>
    <w:locked/>
    <w:uiPriority w:val="0"/>
    <w:rPr>
      <w:color w:val="000000"/>
      <w:sz w:val="28"/>
      <w:szCs w:val="28"/>
    </w:rPr>
  </w:style>
  <w:style w:type="paragraph" w:customStyle="1" w:styleId="2573">
    <w:name w:val="样式 样式 正文（首行缩进两字） + 小三 首行缩进:  1 厘米 行距: 固定值 24 磅 + 宋体 黑色"/>
    <w:basedOn w:val="2571"/>
    <w:link w:val="2572"/>
    <w:qFormat/>
    <w:uiPriority w:val="0"/>
    <w:rPr>
      <w:color w:val="000000"/>
      <w:szCs w:val="28"/>
    </w:rPr>
  </w:style>
  <w:style w:type="paragraph" w:customStyle="1" w:styleId="2574">
    <w:name w:val="样式 表格 + 五号"/>
    <w:basedOn w:val="181"/>
    <w:qFormat/>
    <w:uiPriority w:val="0"/>
    <w:pPr>
      <w:keepNext/>
      <w:keepLines/>
      <w:widowControl w:val="0"/>
      <w:snapToGrid/>
      <w:spacing w:before="60" w:line="400" w:lineRule="exact"/>
      <w:ind w:firstLine="546" w:firstLineChars="260"/>
      <w:jc w:val="both"/>
    </w:pPr>
    <w:rPr>
      <w:rFonts w:eastAsia="Times New Roman"/>
      <w:kern w:val="0"/>
      <w:sz w:val="21"/>
      <w:szCs w:val="21"/>
    </w:rPr>
  </w:style>
  <w:style w:type="paragraph" w:customStyle="1" w:styleId="2575">
    <w:name w:val="集团要求内容格式"/>
    <w:basedOn w:val="1"/>
    <w:qFormat/>
    <w:uiPriority w:val="0"/>
    <w:pPr>
      <w:adjustRightInd/>
      <w:snapToGrid/>
      <w:spacing w:line="240" w:lineRule="auto"/>
      <w:ind w:firstLine="560"/>
      <w:jc w:val="both"/>
    </w:pPr>
    <w:rPr>
      <w:rFonts w:ascii="仿宋_GB2312" w:eastAsia="仿宋_GB2312"/>
      <w:sz w:val="28"/>
      <w:szCs w:val="28"/>
    </w:rPr>
  </w:style>
  <w:style w:type="paragraph" w:customStyle="1" w:styleId="2576">
    <w:name w:val="样式 桔黄 首行缩进:  1 厘米 行距: 固定值 25 磅"/>
    <w:basedOn w:val="1"/>
    <w:qFormat/>
    <w:uiPriority w:val="0"/>
    <w:pPr>
      <w:snapToGrid/>
      <w:spacing w:line="500" w:lineRule="exact"/>
      <w:ind w:firstLine="560"/>
      <w:jc w:val="both"/>
    </w:pPr>
    <w:rPr>
      <w:rFonts w:ascii="宋体" w:hAnsi="宋体" w:cs="宋体"/>
      <w:kern w:val="0"/>
      <w:sz w:val="28"/>
      <w:szCs w:val="20"/>
    </w:rPr>
  </w:style>
  <w:style w:type="paragraph" w:customStyle="1" w:styleId="2577">
    <w:name w:val="样式 纯文本 + (符号) 宋体 四号"/>
    <w:basedOn w:val="45"/>
    <w:qFormat/>
    <w:uiPriority w:val="0"/>
    <w:pPr>
      <w:spacing w:line="500" w:lineRule="exact"/>
      <w:ind w:firstLine="560" w:firstLineChars="200"/>
    </w:pPr>
    <w:rPr>
      <w:rFonts w:cs="Century"/>
      <w:kern w:val="0"/>
      <w:sz w:val="28"/>
    </w:rPr>
  </w:style>
  <w:style w:type="paragraph" w:customStyle="1" w:styleId="2578">
    <w:name w:val="样式 四号 行距: 多倍行距 1.25 字行1"/>
    <w:basedOn w:val="1"/>
    <w:qFormat/>
    <w:uiPriority w:val="0"/>
    <w:pPr>
      <w:overflowPunct w:val="0"/>
      <w:autoSpaceDE w:val="0"/>
      <w:autoSpaceDN w:val="0"/>
      <w:spacing w:line="500" w:lineRule="exact"/>
      <w:ind w:firstLine="560"/>
      <w:jc w:val="both"/>
    </w:pPr>
    <w:rPr>
      <w:rFonts w:ascii="宋体" w:hAnsi="宋体" w:cs="宋体"/>
      <w:kern w:val="24"/>
      <w:sz w:val="28"/>
      <w:szCs w:val="20"/>
    </w:rPr>
  </w:style>
  <w:style w:type="paragraph" w:customStyle="1" w:styleId="2579">
    <w:name w:val="样式 标题 2 +"/>
    <w:basedOn w:val="4"/>
    <w:qFormat/>
    <w:uiPriority w:val="0"/>
    <w:pPr>
      <w:keepNext/>
      <w:keepLines/>
      <w:widowControl w:val="0"/>
      <w:tabs>
        <w:tab w:val="left" w:pos="927"/>
        <w:tab w:val="left" w:pos="1134"/>
        <w:tab w:val="clear" w:pos="0"/>
      </w:tabs>
      <w:spacing w:beforeLines="0" w:line="520" w:lineRule="exact"/>
    </w:pPr>
    <w:rPr>
      <w:rFonts w:ascii="Arial" w:hAnsi="Arial"/>
      <w:snapToGrid/>
      <w:kern w:val="0"/>
    </w:rPr>
  </w:style>
  <w:style w:type="paragraph" w:customStyle="1" w:styleId="2580">
    <w:name w:val="样式 热电厂正文 + 首行缩进:  2 字符"/>
    <w:basedOn w:val="2445"/>
    <w:qFormat/>
    <w:uiPriority w:val="0"/>
    <w:pPr>
      <w:spacing w:line="480" w:lineRule="exact"/>
    </w:pPr>
    <w:rPr>
      <w:rFonts w:cs="宋体"/>
      <w:szCs w:val="20"/>
    </w:rPr>
  </w:style>
  <w:style w:type="paragraph" w:customStyle="1" w:styleId="2581">
    <w:name w:val="样式 首行缩进:  2 字符6"/>
    <w:basedOn w:val="1"/>
    <w:qFormat/>
    <w:uiPriority w:val="0"/>
    <w:pPr>
      <w:adjustRightInd/>
      <w:snapToGrid/>
      <w:spacing w:line="520" w:lineRule="exact"/>
      <w:ind w:firstLine="560"/>
      <w:jc w:val="both"/>
    </w:pPr>
    <w:rPr>
      <w:rFonts w:cs="宋体"/>
      <w:sz w:val="24"/>
      <w:szCs w:val="20"/>
    </w:rPr>
  </w:style>
  <w:style w:type="paragraph" w:customStyle="1" w:styleId="2582">
    <w:name w:val="样式 首行缩进:  2 字符8"/>
    <w:basedOn w:val="1"/>
    <w:qFormat/>
    <w:uiPriority w:val="0"/>
    <w:pPr>
      <w:adjustRightInd/>
      <w:snapToGrid/>
      <w:spacing w:line="520" w:lineRule="exact"/>
      <w:ind w:firstLine="560"/>
      <w:jc w:val="both"/>
    </w:pPr>
    <w:rPr>
      <w:rFonts w:cs="宋体"/>
      <w:sz w:val="24"/>
      <w:szCs w:val="20"/>
    </w:rPr>
  </w:style>
  <w:style w:type="paragraph" w:customStyle="1" w:styleId="2583">
    <w:name w:val="样式 五号 居中 行距: 固定值 20 磅"/>
    <w:basedOn w:val="1"/>
    <w:qFormat/>
    <w:uiPriority w:val="0"/>
    <w:pPr>
      <w:adjustRightInd/>
      <w:snapToGrid/>
      <w:spacing w:line="400" w:lineRule="exact"/>
      <w:ind w:firstLine="2" w:firstLineChars="0"/>
      <w:jc w:val="center"/>
    </w:pPr>
    <w:rPr>
      <w:rFonts w:cs="宋体"/>
      <w:sz w:val="21"/>
      <w:szCs w:val="20"/>
    </w:rPr>
  </w:style>
  <w:style w:type="paragraph" w:customStyle="1" w:styleId="2584">
    <w:name w:val="样式 样式 首行缩进:  2 字符 行距: 最小值 24 磅 + 首行缩进:  2 字符"/>
    <w:basedOn w:val="1"/>
    <w:qFormat/>
    <w:uiPriority w:val="0"/>
    <w:pPr>
      <w:adjustRightInd/>
      <w:snapToGrid/>
      <w:spacing w:line="480" w:lineRule="atLeast"/>
      <w:ind w:firstLine="480"/>
      <w:jc w:val="both"/>
    </w:pPr>
    <w:rPr>
      <w:rFonts w:cs="宋体"/>
      <w:sz w:val="24"/>
      <w:szCs w:val="24"/>
    </w:rPr>
  </w:style>
  <w:style w:type="paragraph" w:customStyle="1" w:styleId="2585">
    <w:name w:val="样式 样式 四号 黑色 首行缩进:  2 字符 + 自动设置 首行缩进:  2 字符 行距: 固定值 24 磅"/>
    <w:basedOn w:val="803"/>
    <w:qFormat/>
    <w:uiPriority w:val="0"/>
    <w:pPr>
      <w:spacing w:line="480" w:lineRule="exact"/>
      <w:ind w:firstLine="480"/>
    </w:pPr>
    <w:rPr>
      <w:rFonts w:cs="宋体"/>
      <w:color w:val="auto"/>
      <w:szCs w:val="20"/>
    </w:rPr>
  </w:style>
  <w:style w:type="paragraph" w:customStyle="1" w:styleId="2586">
    <w:name w:val="正文 Char Char Char"/>
    <w:basedOn w:val="1"/>
    <w:qFormat/>
    <w:uiPriority w:val="0"/>
    <w:pPr>
      <w:adjustRightInd/>
      <w:snapToGrid/>
      <w:spacing w:line="240" w:lineRule="auto"/>
      <w:ind w:firstLine="0" w:firstLineChars="0"/>
      <w:jc w:val="both"/>
    </w:pPr>
    <w:rPr>
      <w:rFonts w:cs="宋体"/>
      <w:sz w:val="24"/>
      <w:szCs w:val="20"/>
    </w:rPr>
  </w:style>
  <w:style w:type="paragraph" w:customStyle="1" w:styleId="2587">
    <w:name w:val="样式 首行缩进:  2 字符13"/>
    <w:basedOn w:val="1"/>
    <w:qFormat/>
    <w:uiPriority w:val="0"/>
    <w:pPr>
      <w:adjustRightInd/>
      <w:snapToGrid/>
      <w:spacing w:line="520" w:lineRule="exact"/>
      <w:ind w:firstLine="560"/>
      <w:jc w:val="both"/>
    </w:pPr>
    <w:rPr>
      <w:sz w:val="24"/>
      <w:szCs w:val="24"/>
    </w:rPr>
  </w:style>
  <w:style w:type="paragraph" w:customStyle="1" w:styleId="2588">
    <w:name w:val="表内五号两端对齐"/>
    <w:basedOn w:val="1"/>
    <w:qFormat/>
    <w:uiPriority w:val="0"/>
    <w:pPr>
      <w:adjustRightInd/>
      <w:snapToGrid/>
      <w:spacing w:line="360" w:lineRule="auto"/>
      <w:ind w:firstLine="720" w:firstLineChars="300"/>
      <w:jc w:val="both"/>
    </w:pPr>
    <w:rPr>
      <w:rFonts w:ascii="Arial" w:hAnsi="Arial" w:cs="Arial"/>
      <w:sz w:val="24"/>
      <w:szCs w:val="24"/>
    </w:rPr>
  </w:style>
  <w:style w:type="paragraph" w:customStyle="1" w:styleId="2589">
    <w:name w:val="款，1."/>
    <w:basedOn w:val="1"/>
    <w:qFormat/>
    <w:uiPriority w:val="0"/>
    <w:pPr>
      <w:adjustRightInd/>
      <w:snapToGrid/>
      <w:spacing w:line="460" w:lineRule="exact"/>
      <w:ind w:firstLine="567" w:firstLineChars="0"/>
      <w:jc w:val="both"/>
      <w:outlineLvl w:val="2"/>
    </w:pPr>
    <w:rPr>
      <w:rFonts w:eastAsia="仿宋_GB2312"/>
      <w:sz w:val="28"/>
      <w:szCs w:val="20"/>
    </w:rPr>
  </w:style>
  <w:style w:type="paragraph" w:customStyle="1" w:styleId="2590">
    <w:name w:val="style2"/>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36"/>
      <w:szCs w:val="36"/>
    </w:rPr>
  </w:style>
  <w:style w:type="paragraph" w:customStyle="1" w:styleId="2591">
    <w:name w:val="7.2.2"/>
    <w:basedOn w:val="4"/>
    <w:qFormat/>
    <w:uiPriority w:val="0"/>
    <w:pPr>
      <w:keepNext/>
      <w:keepLines/>
      <w:widowControl w:val="0"/>
      <w:tabs>
        <w:tab w:val="left" w:pos="927"/>
        <w:tab w:val="left" w:pos="1134"/>
        <w:tab w:val="clear" w:pos="0"/>
      </w:tabs>
      <w:adjustRightInd/>
      <w:spacing w:line="400" w:lineRule="exact"/>
      <w:jc w:val="both"/>
    </w:pPr>
    <w:rPr>
      <w:rFonts w:ascii="Arial" w:hAnsi="Arial"/>
      <w:snapToGrid/>
      <w:color w:val="000000"/>
      <w:kern w:val="0"/>
      <w:sz w:val="24"/>
      <w:szCs w:val="24"/>
    </w:rPr>
  </w:style>
  <w:style w:type="paragraph" w:customStyle="1" w:styleId="2592">
    <w:name w:val="表内小四居中"/>
    <w:qFormat/>
    <w:uiPriority w:val="0"/>
    <w:pPr>
      <w:adjustRightInd w:val="0"/>
      <w:snapToGrid w:val="0"/>
      <w:spacing w:line="360" w:lineRule="auto"/>
      <w:ind w:left="-57" w:right="-57"/>
      <w:jc w:val="center"/>
    </w:pPr>
    <w:rPr>
      <w:rFonts w:ascii="仿宋_GB2312" w:hAnsi="Times New Roman" w:eastAsia="仿宋_GB2312" w:cs="Times New Roman"/>
      <w:sz w:val="28"/>
      <w:lang w:val="en-US" w:eastAsia="zh-CN" w:bidi="ar-SA"/>
    </w:rPr>
  </w:style>
  <w:style w:type="paragraph" w:customStyle="1" w:styleId="2593">
    <w:name w:val="?y??"/>
    <w:qFormat/>
    <w:uiPriority w:val="0"/>
    <w:pPr>
      <w:widowControl w:val="0"/>
      <w:snapToGrid w:val="0"/>
      <w:jc w:val="both"/>
    </w:pPr>
    <w:rPr>
      <w:rFonts w:ascii="宋体" w:hAnsi="Times New Roman" w:eastAsia="宋体" w:cs="Times New Roman"/>
      <w:kern w:val="2"/>
      <w:sz w:val="21"/>
      <w:lang w:val="en-US" w:eastAsia="en-US" w:bidi="ar-SA"/>
    </w:rPr>
  </w:style>
  <w:style w:type="paragraph" w:customStyle="1" w:styleId="2594">
    <w:name w:val="Char1 Char Char Char1"/>
    <w:basedOn w:val="1"/>
    <w:qFormat/>
    <w:uiPriority w:val="0"/>
    <w:pPr>
      <w:adjustRightInd/>
      <w:snapToGrid/>
      <w:spacing w:line="240" w:lineRule="auto"/>
      <w:ind w:firstLine="0" w:firstLineChars="0"/>
      <w:jc w:val="both"/>
    </w:pPr>
    <w:rPr>
      <w:sz w:val="21"/>
      <w:szCs w:val="24"/>
    </w:rPr>
  </w:style>
  <w:style w:type="character" w:customStyle="1" w:styleId="2595">
    <w:name w:val="c正文 Char"/>
    <w:link w:val="2596"/>
    <w:qFormat/>
    <w:locked/>
    <w:uiPriority w:val="0"/>
    <w:rPr>
      <w:rFonts w:ascii="仿宋_GB2312" w:eastAsia="仿宋_GB2312"/>
      <w:sz w:val="28"/>
      <w:szCs w:val="28"/>
    </w:rPr>
  </w:style>
  <w:style w:type="paragraph" w:customStyle="1" w:styleId="2596">
    <w:name w:val="c正文"/>
    <w:basedOn w:val="1"/>
    <w:link w:val="2595"/>
    <w:qFormat/>
    <w:uiPriority w:val="0"/>
    <w:pPr>
      <w:spacing w:line="360" w:lineRule="auto"/>
      <w:jc w:val="both"/>
    </w:pPr>
    <w:rPr>
      <w:rFonts w:ascii="仿宋_GB2312" w:hAnsi="Calibri" w:eastAsia="仿宋_GB2312"/>
      <w:kern w:val="0"/>
      <w:sz w:val="28"/>
      <w:szCs w:val="28"/>
    </w:rPr>
  </w:style>
  <w:style w:type="paragraph" w:customStyle="1" w:styleId="2597">
    <w:name w:val="标题40"/>
    <w:basedOn w:val="1"/>
    <w:qFormat/>
    <w:uiPriority w:val="0"/>
    <w:pPr>
      <w:adjustRightInd/>
      <w:spacing w:beforeLines="50" w:line="360" w:lineRule="auto"/>
      <w:ind w:firstLine="0" w:firstLineChars="0"/>
      <w:jc w:val="both"/>
      <w:outlineLvl w:val="3"/>
    </w:pPr>
    <w:rPr>
      <w:rFonts w:ascii="宋体" w:hAnsi="宋体"/>
      <w:b/>
      <w:bCs/>
      <w:kern w:val="0"/>
      <w:sz w:val="24"/>
      <w:szCs w:val="20"/>
    </w:rPr>
  </w:style>
  <w:style w:type="paragraph" w:customStyle="1" w:styleId="2598">
    <w:name w:val="样式 标题 3 + 小三 段前: 6 磅 段后: 6 磅 行距: 多倍行距 1.25 字行"/>
    <w:basedOn w:val="5"/>
    <w:qFormat/>
    <w:uiPriority w:val="0"/>
    <w:pPr>
      <w:keepNext/>
      <w:keepLines/>
      <w:widowControl w:val="0"/>
      <w:tabs>
        <w:tab w:val="left" w:pos="1134"/>
        <w:tab w:val="left" w:pos="1256"/>
        <w:tab w:val="clear" w:pos="0"/>
      </w:tabs>
      <w:adjustRightInd/>
      <w:snapToGrid/>
    </w:pPr>
    <w:rPr>
      <w:rFonts w:ascii="宋体" w:hAnsi="宋体" w:eastAsia="黑体" w:cs="宋体"/>
      <w:snapToGrid/>
      <w:kern w:val="0"/>
      <w:szCs w:val="28"/>
    </w:rPr>
  </w:style>
  <w:style w:type="paragraph" w:customStyle="1" w:styleId="2599">
    <w:name w:val="样式 标题 3 + 四号 段前: 6 磅 段后: 6 磅 行距: 多倍行距 1.25 字行"/>
    <w:basedOn w:val="5"/>
    <w:qFormat/>
    <w:uiPriority w:val="0"/>
    <w:pPr>
      <w:keepNext/>
      <w:keepLines/>
      <w:widowControl w:val="0"/>
      <w:tabs>
        <w:tab w:val="left" w:pos="1134"/>
        <w:tab w:val="left" w:pos="1256"/>
        <w:tab w:val="clear" w:pos="0"/>
      </w:tabs>
      <w:adjustRightInd/>
      <w:spacing w:line="300" w:lineRule="auto"/>
    </w:pPr>
    <w:rPr>
      <w:rFonts w:ascii="黑体" w:eastAsia="黑体" w:cs="宋体"/>
      <w:snapToGrid/>
      <w:kern w:val="0"/>
      <w:szCs w:val="20"/>
    </w:rPr>
  </w:style>
  <w:style w:type="character" w:customStyle="1" w:styleId="2600">
    <w:name w:val="样式 标题 2 + (西文) Times New Roman (中文) 宋体 段前: 12 磅 段后: 6 磅 行距: ... Char"/>
    <w:link w:val="2601"/>
    <w:qFormat/>
    <w:locked/>
    <w:uiPriority w:val="0"/>
    <w:rPr>
      <w:rFonts w:ascii="宋体" w:hAnsi="宋体"/>
      <w:b/>
      <w:bCs/>
      <w:sz w:val="32"/>
    </w:rPr>
  </w:style>
  <w:style w:type="paragraph" w:customStyle="1" w:styleId="2601">
    <w:name w:val="样式 标题 2 + (西文) Times New Roman (中文) 宋体 段前: 12 磅 段后: 6 磅 行距: ..."/>
    <w:basedOn w:val="4"/>
    <w:link w:val="2600"/>
    <w:qFormat/>
    <w:uiPriority w:val="0"/>
    <w:pPr>
      <w:keepNext/>
      <w:keepLines/>
      <w:widowControl w:val="0"/>
      <w:tabs>
        <w:tab w:val="left" w:pos="927"/>
        <w:tab w:val="left" w:pos="1134"/>
        <w:tab w:val="clear" w:pos="0"/>
      </w:tabs>
      <w:adjustRightInd/>
      <w:snapToGrid/>
      <w:spacing w:line="300" w:lineRule="auto"/>
      <w:jc w:val="both"/>
    </w:pPr>
    <w:rPr>
      <w:rFonts w:ascii="宋体" w:hAnsi="宋体"/>
      <w:snapToGrid/>
      <w:kern w:val="0"/>
      <w:sz w:val="32"/>
      <w:szCs w:val="20"/>
    </w:rPr>
  </w:style>
  <w:style w:type="paragraph" w:customStyle="1" w:styleId="2602">
    <w:name w:val="样式 标题 2 + (西文) Times New Roman (中文) 宋体 段前: 12 磅 段后: 6 磅 行距: ...1"/>
    <w:basedOn w:val="4"/>
    <w:qFormat/>
    <w:uiPriority w:val="0"/>
    <w:pPr>
      <w:keepNext/>
      <w:keepLines/>
      <w:widowControl w:val="0"/>
      <w:tabs>
        <w:tab w:val="left" w:pos="2700"/>
        <w:tab w:val="clear" w:pos="0"/>
      </w:tabs>
      <w:adjustRightInd/>
      <w:spacing w:line="360" w:lineRule="auto"/>
      <w:jc w:val="both"/>
    </w:pPr>
    <w:rPr>
      <w:rFonts w:ascii="黑体" w:cs="宋体"/>
      <w:snapToGrid/>
      <w:kern w:val="0"/>
      <w:sz w:val="32"/>
    </w:rPr>
  </w:style>
  <w:style w:type="paragraph" w:customStyle="1" w:styleId="2603">
    <w:name w:val="样式 标题 3 + 小三 段前: 7.8 磅 段后: 7.8 磅 行距: 1.5 倍行距"/>
    <w:basedOn w:val="5"/>
    <w:qFormat/>
    <w:uiPriority w:val="0"/>
    <w:pPr>
      <w:keepNext/>
      <w:keepLines/>
      <w:widowControl w:val="0"/>
      <w:tabs>
        <w:tab w:val="left" w:pos="1134"/>
        <w:tab w:val="left" w:pos="1256"/>
        <w:tab w:val="clear" w:pos="0"/>
      </w:tabs>
      <w:adjustRightInd/>
      <w:snapToGrid/>
    </w:pPr>
    <w:rPr>
      <w:rFonts w:ascii="黑体" w:eastAsia="黑体" w:cs="宋体"/>
      <w:snapToGrid/>
      <w:kern w:val="0"/>
      <w:sz w:val="30"/>
      <w:szCs w:val="20"/>
    </w:rPr>
  </w:style>
  <w:style w:type="paragraph" w:customStyle="1" w:styleId="2604">
    <w:name w:val="样式 标题 4 + 行距: 1.5 倍行距"/>
    <w:basedOn w:val="6"/>
    <w:qFormat/>
    <w:uiPriority w:val="0"/>
    <w:pPr>
      <w:keepNext/>
      <w:keepLines/>
      <w:widowControl w:val="0"/>
      <w:numPr>
        <w:ilvl w:val="0"/>
        <w:numId w:val="0"/>
      </w:numPr>
      <w:tabs>
        <w:tab w:val="left" w:pos="1134"/>
        <w:tab w:val="left" w:pos="1630"/>
        <w:tab w:val="clear" w:pos="0"/>
      </w:tabs>
      <w:snapToGrid/>
      <w:spacing w:line="360" w:lineRule="auto"/>
      <w:jc w:val="both"/>
    </w:pPr>
    <w:rPr>
      <w:rFonts w:cs="宋体"/>
      <w:b w:val="0"/>
      <w:snapToGrid/>
      <w:kern w:val="0"/>
      <w:sz w:val="28"/>
      <w:szCs w:val="20"/>
    </w:rPr>
  </w:style>
  <w:style w:type="paragraph" w:customStyle="1" w:styleId="2605">
    <w:name w:val="样式 宋体 小四 行距: 1.5 倍行距"/>
    <w:basedOn w:val="1"/>
    <w:qFormat/>
    <w:uiPriority w:val="0"/>
    <w:pPr>
      <w:adjustRightInd/>
      <w:snapToGrid/>
      <w:spacing w:line="500" w:lineRule="exact"/>
      <w:ind w:firstLine="0" w:firstLineChars="0"/>
      <w:jc w:val="both"/>
    </w:pPr>
    <w:rPr>
      <w:rFonts w:ascii="宋体"/>
      <w:sz w:val="24"/>
      <w:szCs w:val="20"/>
    </w:rPr>
  </w:style>
  <w:style w:type="paragraph" w:customStyle="1" w:styleId="2606">
    <w:name w:val="样式 标题 2节标题 1.1 + Times New Roman 首行缩进:  0 厘米"/>
    <w:basedOn w:val="4"/>
    <w:qFormat/>
    <w:uiPriority w:val="0"/>
    <w:pPr>
      <w:keepNext/>
      <w:keepLines/>
      <w:widowControl w:val="0"/>
      <w:tabs>
        <w:tab w:val="left" w:pos="927"/>
        <w:tab w:val="left" w:pos="1134"/>
        <w:tab w:val="clear" w:pos="0"/>
      </w:tabs>
      <w:snapToGrid/>
      <w:spacing w:beforeLines="0" w:afterLines="0" w:line="416" w:lineRule="atLeast"/>
      <w:jc w:val="both"/>
    </w:pPr>
    <w:rPr>
      <w:rFonts w:cs="宋体"/>
      <w:snapToGrid/>
      <w:kern w:val="0"/>
      <w:sz w:val="32"/>
      <w:szCs w:val="20"/>
    </w:rPr>
  </w:style>
  <w:style w:type="paragraph" w:customStyle="1" w:styleId="2607">
    <w:name w:val="Char Char Char Char Char Char Char Char Char Char Char Char Char Char Char Char Char Char Char Char Char Char"/>
    <w:basedOn w:val="1"/>
    <w:qFormat/>
    <w:uiPriority w:val="0"/>
    <w:pPr>
      <w:adjustRightInd/>
      <w:snapToGrid/>
      <w:spacing w:line="240" w:lineRule="exact"/>
      <w:jc w:val="both"/>
    </w:pPr>
    <w:rPr>
      <w:rFonts w:ascii="宋体" w:hAnsi="宋体" w:cs="宋体"/>
      <w:sz w:val="24"/>
      <w:szCs w:val="24"/>
    </w:rPr>
  </w:style>
  <w:style w:type="character" w:customStyle="1" w:styleId="2608">
    <w:name w:val="陈正文 Char"/>
    <w:link w:val="2609"/>
    <w:qFormat/>
    <w:locked/>
    <w:uiPriority w:val="0"/>
    <w:rPr>
      <w:b/>
      <w:sz w:val="24"/>
      <w:szCs w:val="24"/>
    </w:rPr>
  </w:style>
  <w:style w:type="paragraph" w:customStyle="1" w:styleId="2609">
    <w:name w:val="陈正文"/>
    <w:basedOn w:val="1"/>
    <w:next w:val="1"/>
    <w:link w:val="2608"/>
    <w:qFormat/>
    <w:uiPriority w:val="0"/>
    <w:pPr>
      <w:adjustRightInd/>
      <w:snapToGrid/>
      <w:spacing w:line="360" w:lineRule="auto"/>
      <w:ind w:firstLine="0" w:firstLineChars="0"/>
      <w:jc w:val="center"/>
    </w:pPr>
    <w:rPr>
      <w:rFonts w:ascii="Calibri" w:hAnsi="Calibri"/>
      <w:b/>
      <w:kern w:val="0"/>
      <w:sz w:val="24"/>
      <w:szCs w:val="24"/>
    </w:rPr>
  </w:style>
  <w:style w:type="character" w:customStyle="1" w:styleId="2610">
    <w:name w:val="陈表格中内容 Char"/>
    <w:link w:val="2611"/>
    <w:qFormat/>
    <w:locked/>
    <w:uiPriority w:val="0"/>
    <w:rPr>
      <w:rFonts w:ascii="仿宋_GB2312" w:eastAsia="仿宋_GB2312"/>
      <w:szCs w:val="21"/>
    </w:rPr>
  </w:style>
  <w:style w:type="paragraph" w:customStyle="1" w:styleId="2611">
    <w:name w:val="陈表格中内容"/>
    <w:basedOn w:val="1"/>
    <w:next w:val="1"/>
    <w:link w:val="2610"/>
    <w:qFormat/>
    <w:uiPriority w:val="0"/>
    <w:pPr>
      <w:adjustRightInd/>
      <w:snapToGrid/>
      <w:spacing w:line="240" w:lineRule="auto"/>
      <w:ind w:left="-66" w:leftChars="-66" w:firstLine="105" w:firstLineChars="50"/>
      <w:jc w:val="both"/>
    </w:pPr>
    <w:rPr>
      <w:rFonts w:ascii="仿宋_GB2312" w:hAnsi="Calibri" w:eastAsia="仿宋_GB2312"/>
      <w:kern w:val="0"/>
      <w:sz w:val="20"/>
      <w:szCs w:val="21"/>
    </w:rPr>
  </w:style>
  <w:style w:type="character" w:customStyle="1" w:styleId="2612">
    <w:name w:val="1-正文 Char"/>
    <w:link w:val="2613"/>
    <w:qFormat/>
    <w:locked/>
    <w:uiPriority w:val="0"/>
    <w:rPr>
      <w:rFonts w:ascii="宋体" w:hAnsi="宋体"/>
      <w:sz w:val="24"/>
      <w:szCs w:val="24"/>
    </w:rPr>
  </w:style>
  <w:style w:type="paragraph" w:customStyle="1" w:styleId="2613">
    <w:name w:val="1-正文"/>
    <w:basedOn w:val="1"/>
    <w:link w:val="2612"/>
    <w:qFormat/>
    <w:uiPriority w:val="0"/>
    <w:pPr>
      <w:adjustRightInd/>
      <w:snapToGrid/>
      <w:spacing w:line="360" w:lineRule="auto"/>
      <w:ind w:firstLine="480"/>
      <w:jc w:val="both"/>
    </w:pPr>
    <w:rPr>
      <w:rFonts w:ascii="宋体" w:hAnsi="宋体"/>
      <w:kern w:val="0"/>
      <w:sz w:val="24"/>
      <w:szCs w:val="24"/>
    </w:rPr>
  </w:style>
  <w:style w:type="paragraph" w:customStyle="1" w:styleId="2614">
    <w:name w:val="标题1（新）"/>
    <w:basedOn w:val="1"/>
    <w:next w:val="1"/>
    <w:qFormat/>
    <w:uiPriority w:val="0"/>
    <w:pPr>
      <w:widowControl/>
      <w:adjustRightInd/>
      <w:snapToGrid/>
      <w:spacing w:beforeLines="50" w:line="240" w:lineRule="auto"/>
      <w:ind w:firstLine="0" w:firstLineChars="0"/>
    </w:pPr>
    <w:rPr>
      <w:rFonts w:eastAsia="黑体"/>
      <w:kern w:val="0"/>
      <w:sz w:val="24"/>
      <w:szCs w:val="28"/>
    </w:rPr>
  </w:style>
  <w:style w:type="character" w:customStyle="1" w:styleId="2615">
    <w:name w:val="热电厂正文 Char Char Char"/>
    <w:link w:val="2616"/>
    <w:qFormat/>
    <w:locked/>
    <w:uiPriority w:val="0"/>
    <w:rPr>
      <w:sz w:val="24"/>
      <w:szCs w:val="24"/>
    </w:rPr>
  </w:style>
  <w:style w:type="paragraph" w:customStyle="1" w:styleId="2616">
    <w:name w:val="热电厂正文 Char Char"/>
    <w:basedOn w:val="1"/>
    <w:link w:val="2615"/>
    <w:qFormat/>
    <w:uiPriority w:val="0"/>
    <w:pPr>
      <w:adjustRightInd/>
      <w:snapToGrid/>
      <w:spacing w:line="440" w:lineRule="exact"/>
      <w:ind w:firstLine="480"/>
      <w:jc w:val="both"/>
    </w:pPr>
    <w:rPr>
      <w:rFonts w:ascii="Calibri" w:hAnsi="Calibri"/>
      <w:kern w:val="0"/>
      <w:sz w:val="24"/>
      <w:szCs w:val="24"/>
    </w:rPr>
  </w:style>
  <w:style w:type="paragraph" w:customStyle="1" w:styleId="2617">
    <w:name w:val="表格02"/>
    <w:basedOn w:val="1"/>
    <w:qFormat/>
    <w:uiPriority w:val="0"/>
    <w:pPr>
      <w:adjustRightInd/>
      <w:spacing w:line="400" w:lineRule="exact"/>
      <w:ind w:firstLine="0" w:firstLineChars="0"/>
      <w:jc w:val="center"/>
    </w:pPr>
    <w:rPr>
      <w:kern w:val="0"/>
      <w:sz w:val="24"/>
      <w:szCs w:val="24"/>
    </w:rPr>
  </w:style>
  <w:style w:type="paragraph" w:customStyle="1" w:styleId="2618">
    <w:name w:val="表格02左"/>
    <w:basedOn w:val="2617"/>
    <w:qFormat/>
    <w:uiPriority w:val="0"/>
    <w:pPr>
      <w:jc w:val="left"/>
    </w:pPr>
  </w:style>
  <w:style w:type="paragraph" w:customStyle="1" w:styleId="2619">
    <w:name w:val="正文表标题"/>
    <w:next w:val="1"/>
    <w:qFormat/>
    <w:uiPriority w:val="0"/>
    <w:pPr>
      <w:tabs>
        <w:tab w:val="left" w:pos="1134"/>
      </w:tabs>
      <w:ind w:left="1134" w:hanging="567"/>
      <w:jc w:val="center"/>
    </w:pPr>
    <w:rPr>
      <w:rFonts w:ascii="黑体" w:hAnsi="Times New Roman" w:eastAsia="黑体" w:cs="Times New Roman"/>
      <w:sz w:val="21"/>
      <w:lang w:val="en-US" w:eastAsia="zh-CN" w:bidi="ar-SA"/>
    </w:rPr>
  </w:style>
  <w:style w:type="character" w:customStyle="1" w:styleId="2620">
    <w:name w:val="正文正式格式 Char"/>
    <w:link w:val="2621"/>
    <w:qFormat/>
    <w:locked/>
    <w:uiPriority w:val="0"/>
    <w:rPr>
      <w:szCs w:val="24"/>
    </w:rPr>
  </w:style>
  <w:style w:type="paragraph" w:customStyle="1" w:styleId="2621">
    <w:name w:val="正文正式格式"/>
    <w:basedOn w:val="1"/>
    <w:link w:val="2620"/>
    <w:qFormat/>
    <w:uiPriority w:val="0"/>
    <w:pPr>
      <w:adjustRightInd/>
      <w:snapToGrid/>
      <w:spacing w:line="360" w:lineRule="auto"/>
    </w:pPr>
    <w:rPr>
      <w:rFonts w:ascii="Calibri" w:hAnsi="Calibri"/>
      <w:kern w:val="0"/>
      <w:sz w:val="20"/>
      <w:szCs w:val="24"/>
    </w:rPr>
  </w:style>
  <w:style w:type="paragraph" w:customStyle="1" w:styleId="2622">
    <w:name w:val="样式33"/>
    <w:basedOn w:val="1"/>
    <w:qFormat/>
    <w:uiPriority w:val="0"/>
    <w:pPr>
      <w:adjustRightInd/>
      <w:snapToGrid/>
      <w:spacing w:beforeLines="50" w:line="300" w:lineRule="auto"/>
      <w:ind w:firstLine="0" w:firstLineChars="0"/>
      <w:jc w:val="both"/>
      <w:outlineLvl w:val="2"/>
    </w:pPr>
    <w:rPr>
      <w:b/>
      <w:sz w:val="28"/>
      <w:szCs w:val="28"/>
    </w:rPr>
  </w:style>
  <w:style w:type="paragraph" w:customStyle="1" w:styleId="2623">
    <w:name w:val="标题4，正式三级标题"/>
    <w:basedOn w:val="6"/>
    <w:qFormat/>
    <w:uiPriority w:val="0"/>
    <w:pPr>
      <w:keepNext/>
      <w:keepLines/>
      <w:widowControl w:val="0"/>
      <w:numPr>
        <w:ilvl w:val="0"/>
        <w:numId w:val="0"/>
      </w:numPr>
      <w:tabs>
        <w:tab w:val="left" w:pos="1134"/>
        <w:tab w:val="left" w:pos="1630"/>
        <w:tab w:val="clear" w:pos="0"/>
      </w:tabs>
      <w:autoSpaceDE w:val="0"/>
      <w:autoSpaceDN w:val="0"/>
      <w:snapToGrid/>
      <w:spacing w:line="360" w:lineRule="auto"/>
    </w:pPr>
    <w:rPr>
      <w:rFonts w:ascii="Arial" w:hAnsi="Arial"/>
      <w:b w:val="0"/>
      <w:snapToGrid/>
      <w:kern w:val="0"/>
      <w:sz w:val="21"/>
    </w:rPr>
  </w:style>
  <w:style w:type="paragraph" w:customStyle="1" w:styleId="2624">
    <w:name w:val="table_description"/>
    <w:basedOn w:val="1"/>
    <w:qFormat/>
    <w:uiPriority w:val="0"/>
    <w:pPr>
      <w:widowControl/>
      <w:adjustRightInd/>
      <w:snapToGrid/>
      <w:spacing w:before="100" w:beforeAutospacing="1" w:after="100" w:afterAutospacing="1" w:line="240" w:lineRule="auto"/>
      <w:ind w:firstLine="0" w:firstLineChars="0"/>
      <w:jc w:val="center"/>
    </w:pPr>
    <w:rPr>
      <w:rFonts w:ascii="宋体" w:hAnsi="宋体"/>
      <w:kern w:val="0"/>
      <w:sz w:val="24"/>
      <w:szCs w:val="24"/>
    </w:rPr>
  </w:style>
  <w:style w:type="paragraph" w:customStyle="1" w:styleId="2625">
    <w:name w:val="table_title"/>
    <w:basedOn w:val="1"/>
    <w:qFormat/>
    <w:uiPriority w:val="0"/>
    <w:pPr>
      <w:widowControl/>
      <w:adjustRightInd/>
      <w:snapToGrid/>
      <w:spacing w:before="100" w:beforeAutospacing="1" w:after="100" w:afterAutospacing="1" w:line="240" w:lineRule="auto"/>
      <w:ind w:firstLine="0" w:firstLineChars="0"/>
      <w:jc w:val="center"/>
    </w:pPr>
    <w:rPr>
      <w:rFonts w:ascii="宋体" w:hAnsi="宋体"/>
      <w:b/>
      <w:bCs/>
      <w:kern w:val="0"/>
      <w:sz w:val="24"/>
      <w:szCs w:val="24"/>
    </w:rPr>
  </w:style>
  <w:style w:type="paragraph" w:customStyle="1" w:styleId="2626">
    <w:name w:val="封面标准号1"/>
    <w:qFormat/>
    <w:uiPriority w:val="0"/>
    <w:pPr>
      <w:widowControl w:val="0"/>
      <w:kinsoku w:val="0"/>
      <w:overflowPunct w:val="0"/>
      <w:autoSpaceDE w:val="0"/>
      <w:autoSpaceDN w:val="0"/>
      <w:spacing w:before="308"/>
      <w:jc w:val="right"/>
    </w:pPr>
    <w:rPr>
      <w:rFonts w:ascii="Times New Roman" w:hAnsi="Times New Roman" w:eastAsia="宋体" w:cs="Times New Roman"/>
      <w:sz w:val="28"/>
      <w:lang w:val="en-US" w:eastAsia="zh-CN" w:bidi="ar-SA"/>
    </w:rPr>
  </w:style>
  <w:style w:type="paragraph" w:customStyle="1" w:styleId="2627">
    <w:name w:val="注×："/>
    <w:qFormat/>
    <w:uiPriority w:val="0"/>
    <w:pPr>
      <w:widowControl w:val="0"/>
      <w:tabs>
        <w:tab w:val="left" w:pos="630"/>
        <w:tab w:val="left" w:pos="1470"/>
      </w:tabs>
      <w:autoSpaceDE w:val="0"/>
      <w:autoSpaceDN w:val="0"/>
      <w:ind w:left="1470" w:hanging="720"/>
      <w:jc w:val="both"/>
    </w:pPr>
    <w:rPr>
      <w:rFonts w:ascii="宋体" w:hAnsi="Times New Roman" w:eastAsia="宋体" w:cs="Times New Roman"/>
      <w:sz w:val="18"/>
      <w:lang w:val="en-US" w:eastAsia="zh-CN" w:bidi="ar-SA"/>
    </w:rPr>
  </w:style>
  <w:style w:type="paragraph" w:customStyle="1" w:styleId="2628">
    <w:name w:val="标准书眉_偶数页"/>
    <w:basedOn w:val="1"/>
    <w:next w:val="1"/>
    <w:qFormat/>
    <w:uiPriority w:val="0"/>
    <w:pPr>
      <w:widowControl/>
      <w:tabs>
        <w:tab w:val="center" w:pos="4154"/>
        <w:tab w:val="right" w:pos="8306"/>
      </w:tabs>
      <w:adjustRightInd/>
      <w:snapToGrid/>
      <w:spacing w:after="120" w:line="240" w:lineRule="auto"/>
      <w:ind w:firstLine="0" w:firstLineChars="0"/>
    </w:pPr>
    <w:rPr>
      <w:kern w:val="0"/>
      <w:sz w:val="21"/>
      <w:szCs w:val="20"/>
    </w:rPr>
  </w:style>
  <w:style w:type="paragraph" w:customStyle="1" w:styleId="2629">
    <w:name w:val="标准书眉一"/>
    <w:qFormat/>
    <w:uiPriority w:val="0"/>
    <w:pPr>
      <w:jc w:val="both"/>
    </w:pPr>
    <w:rPr>
      <w:rFonts w:ascii="Times New Roman" w:hAnsi="Times New Roman" w:eastAsia="宋体" w:cs="Times New Roman"/>
      <w:lang w:val="en-US" w:eastAsia="zh-CN" w:bidi="ar-SA"/>
    </w:rPr>
  </w:style>
  <w:style w:type="paragraph" w:customStyle="1" w:styleId="2630">
    <w:name w:val="样式 Times New Roman :  2 字符"/>
    <w:basedOn w:val="1"/>
    <w:qFormat/>
    <w:uiPriority w:val="0"/>
    <w:pPr>
      <w:adjustRightInd/>
      <w:snapToGrid/>
      <w:spacing w:line="360" w:lineRule="auto"/>
      <w:ind w:firstLine="480"/>
      <w:jc w:val="both"/>
    </w:pPr>
    <w:rPr>
      <w:sz w:val="24"/>
      <w:szCs w:val="20"/>
    </w:rPr>
  </w:style>
  <w:style w:type="paragraph" w:customStyle="1" w:styleId="2631">
    <w:name w:val="f14"/>
    <w:basedOn w:val="1"/>
    <w:qFormat/>
    <w:uiPriority w:val="0"/>
    <w:pPr>
      <w:widowControl/>
      <w:wordWrap w:val="0"/>
      <w:adjustRightInd/>
      <w:snapToGrid/>
      <w:spacing w:line="240" w:lineRule="auto"/>
      <w:ind w:firstLine="0" w:firstLineChars="0"/>
    </w:pPr>
    <w:rPr>
      <w:rFonts w:ascii="宋体" w:hAnsi="宋体"/>
      <w:kern w:val="0"/>
      <w:sz w:val="21"/>
      <w:szCs w:val="21"/>
    </w:rPr>
  </w:style>
  <w:style w:type="paragraph" w:customStyle="1" w:styleId="2632">
    <w:name w:val="table_note"/>
    <w:basedOn w:val="1"/>
    <w:qFormat/>
    <w:uiPriority w:val="0"/>
    <w:pPr>
      <w:widowControl/>
      <w:adjustRightInd/>
      <w:snapToGrid/>
      <w:spacing w:before="100" w:beforeAutospacing="1" w:after="100" w:afterAutospacing="1" w:line="240" w:lineRule="auto"/>
      <w:ind w:firstLine="0" w:firstLineChars="0"/>
    </w:pPr>
    <w:rPr>
      <w:rFonts w:ascii="宋体" w:hAnsi="宋体"/>
      <w:kern w:val="0"/>
      <w:sz w:val="24"/>
      <w:szCs w:val="24"/>
    </w:rPr>
  </w:style>
  <w:style w:type="paragraph" w:customStyle="1" w:styleId="2633">
    <w:name w:val="tr"/>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4"/>
      <w:szCs w:val="14"/>
    </w:rPr>
  </w:style>
  <w:style w:type="paragraph" w:customStyle="1" w:styleId="2634">
    <w:name w:val="题注1"/>
    <w:basedOn w:val="1"/>
    <w:qFormat/>
    <w:uiPriority w:val="0"/>
    <w:pPr>
      <w:widowControl/>
      <w:adjustRightInd/>
      <w:snapToGrid/>
      <w:spacing w:before="100" w:beforeAutospacing="1" w:line="240" w:lineRule="auto"/>
      <w:ind w:firstLine="0" w:firstLineChars="0"/>
    </w:pPr>
    <w:rPr>
      <w:rFonts w:ascii="Arial" w:hAnsi="Arial" w:cs="Arial"/>
      <w:b/>
      <w:bCs/>
      <w:kern w:val="0"/>
      <w:sz w:val="14"/>
      <w:szCs w:val="14"/>
    </w:rPr>
  </w:style>
  <w:style w:type="paragraph" w:customStyle="1" w:styleId="2635">
    <w:name w:val="top"/>
    <w:basedOn w:val="1"/>
    <w:qFormat/>
    <w:uiPriority w:val="0"/>
    <w:pPr>
      <w:widowControl/>
      <w:adjustRightInd/>
      <w:snapToGrid/>
      <w:spacing w:before="100" w:beforeAutospacing="1" w:after="100" w:afterAutospacing="1" w:line="240" w:lineRule="auto"/>
      <w:ind w:firstLine="0" w:firstLineChars="0"/>
      <w:jc w:val="right"/>
    </w:pPr>
    <w:rPr>
      <w:rFonts w:ascii="Arial" w:hAnsi="Arial" w:cs="Arial"/>
      <w:kern w:val="0"/>
      <w:sz w:val="12"/>
      <w:szCs w:val="12"/>
    </w:rPr>
  </w:style>
  <w:style w:type="paragraph" w:customStyle="1" w:styleId="2636">
    <w:name w:val="tablespacing"/>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637">
    <w:name w:val="fontsmall"/>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3"/>
      <w:szCs w:val="13"/>
    </w:rPr>
  </w:style>
  <w:style w:type="paragraph" w:customStyle="1" w:styleId="2638">
    <w:name w:val="navigation"/>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2"/>
      <w:szCs w:val="12"/>
    </w:rPr>
  </w:style>
  <w:style w:type="paragraph" w:customStyle="1" w:styleId="2639">
    <w:name w:val="invisiblelink"/>
    <w:basedOn w:val="1"/>
    <w:qFormat/>
    <w:uiPriority w:val="0"/>
    <w:pPr>
      <w:widowControl/>
      <w:adjustRightInd/>
      <w:snapToGrid/>
      <w:spacing w:before="100" w:beforeAutospacing="1" w:after="100" w:afterAutospacing="1" w:line="240" w:lineRule="auto"/>
      <w:ind w:firstLine="0" w:firstLineChars="0"/>
    </w:pPr>
    <w:rPr>
      <w:rFonts w:ascii="Arial" w:hAnsi="Arial" w:cs="Arial"/>
      <w:color w:val="FFFFFF"/>
      <w:kern w:val="0"/>
      <w:sz w:val="12"/>
      <w:szCs w:val="12"/>
    </w:rPr>
  </w:style>
  <w:style w:type="paragraph" w:customStyle="1" w:styleId="2640">
    <w:name w:val="toplogo"/>
    <w:basedOn w:val="1"/>
    <w:qFormat/>
    <w:uiPriority w:val="0"/>
    <w:pPr>
      <w:widowControl/>
      <w:adjustRightInd/>
      <w:snapToGrid/>
      <w:spacing w:before="100" w:beforeAutospacing="1" w:line="240" w:lineRule="auto"/>
      <w:ind w:firstLine="0" w:firstLineChars="0"/>
    </w:pPr>
    <w:rPr>
      <w:rFonts w:ascii="Arial" w:hAnsi="Arial" w:cs="Arial"/>
      <w:b/>
      <w:bCs/>
      <w:kern w:val="0"/>
      <w:sz w:val="17"/>
      <w:szCs w:val="17"/>
    </w:rPr>
  </w:style>
  <w:style w:type="paragraph" w:customStyle="1" w:styleId="2641">
    <w:name w:val="search"/>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2"/>
      <w:szCs w:val="12"/>
    </w:rPr>
  </w:style>
  <w:style w:type="paragraph" w:customStyle="1" w:styleId="2642">
    <w:name w:val="side"/>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4"/>
      <w:szCs w:val="14"/>
    </w:rPr>
  </w:style>
  <w:style w:type="paragraph" w:customStyle="1" w:styleId="2643">
    <w:name w:val="subparagraph"/>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4"/>
      <w:szCs w:val="14"/>
    </w:rPr>
  </w:style>
  <w:style w:type="paragraph" w:customStyle="1" w:styleId="2644">
    <w:name w:val="head"/>
    <w:basedOn w:val="1"/>
    <w:qFormat/>
    <w:uiPriority w:val="0"/>
    <w:pPr>
      <w:widowControl/>
      <w:adjustRightInd/>
      <w:snapToGrid/>
      <w:spacing w:before="100" w:beforeAutospacing="1" w:after="100" w:afterAutospacing="1" w:line="240" w:lineRule="auto"/>
      <w:ind w:firstLine="0" w:firstLineChars="0"/>
    </w:pPr>
    <w:rPr>
      <w:rFonts w:ascii="Arial" w:hAnsi="Arial" w:cs="Arial"/>
      <w:b/>
      <w:bCs/>
      <w:kern w:val="0"/>
      <w:sz w:val="21"/>
      <w:szCs w:val="21"/>
    </w:rPr>
  </w:style>
  <w:style w:type="paragraph" w:customStyle="1" w:styleId="2645">
    <w:name w:val="recentupdateslink"/>
    <w:basedOn w:val="1"/>
    <w:qFormat/>
    <w:uiPriority w:val="0"/>
    <w:pPr>
      <w:widowControl/>
      <w:adjustRightInd/>
      <w:snapToGrid/>
      <w:spacing w:before="100" w:beforeAutospacing="1" w:after="100" w:afterAutospacing="1" w:line="240" w:lineRule="auto"/>
      <w:ind w:firstLine="0" w:firstLineChars="0"/>
    </w:pPr>
    <w:rPr>
      <w:rFonts w:ascii="Arial" w:hAnsi="Arial" w:cs="Arial"/>
      <w:b/>
      <w:bCs/>
      <w:kern w:val="0"/>
      <w:sz w:val="14"/>
      <w:szCs w:val="14"/>
    </w:rPr>
  </w:style>
  <w:style w:type="paragraph" w:customStyle="1" w:styleId="2646">
    <w:name w:val="updatetitle"/>
    <w:basedOn w:val="1"/>
    <w:qFormat/>
    <w:uiPriority w:val="0"/>
    <w:pPr>
      <w:widowControl/>
      <w:adjustRightInd/>
      <w:snapToGrid/>
      <w:spacing w:before="100" w:beforeAutospacing="1" w:after="100" w:afterAutospacing="1" w:line="240" w:lineRule="auto"/>
      <w:ind w:firstLine="100" w:firstLineChars="0"/>
    </w:pPr>
    <w:rPr>
      <w:rFonts w:ascii="Arial" w:hAnsi="Arial" w:cs="Arial"/>
      <w:b/>
      <w:bCs/>
      <w:color w:val="FF0000"/>
      <w:kern w:val="0"/>
      <w:sz w:val="17"/>
      <w:szCs w:val="17"/>
    </w:rPr>
  </w:style>
  <w:style w:type="paragraph" w:customStyle="1" w:styleId="2647">
    <w:name w:val="updatebodytest"/>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4"/>
      <w:szCs w:val="14"/>
    </w:rPr>
  </w:style>
  <w:style w:type="paragraph" w:customStyle="1" w:styleId="2648">
    <w:name w:val="updatebold"/>
    <w:basedOn w:val="1"/>
    <w:qFormat/>
    <w:uiPriority w:val="0"/>
    <w:pPr>
      <w:widowControl/>
      <w:adjustRightInd/>
      <w:snapToGrid/>
      <w:spacing w:before="100" w:beforeAutospacing="1" w:after="100" w:afterAutospacing="1" w:line="240" w:lineRule="auto"/>
      <w:ind w:firstLine="0" w:firstLineChars="0"/>
    </w:pPr>
    <w:rPr>
      <w:rFonts w:ascii="Arial" w:hAnsi="Arial" w:cs="Arial"/>
      <w:b/>
      <w:bCs/>
      <w:kern w:val="0"/>
      <w:sz w:val="14"/>
      <w:szCs w:val="14"/>
    </w:rPr>
  </w:style>
  <w:style w:type="paragraph" w:customStyle="1" w:styleId="2649">
    <w:name w:val="body"/>
    <w:basedOn w:val="1"/>
    <w:qFormat/>
    <w:uiPriority w:val="0"/>
    <w:pPr>
      <w:widowControl/>
      <w:shd w:val="clear" w:color="auto" w:fill="FFFFFF"/>
      <w:adjustRightInd/>
      <w:snapToGrid/>
      <w:spacing w:before="100" w:beforeAutospacing="1" w:after="100" w:afterAutospacing="1" w:line="240" w:lineRule="auto"/>
      <w:ind w:firstLine="0" w:firstLineChars="0"/>
    </w:pPr>
    <w:rPr>
      <w:rFonts w:ascii="Arial" w:hAnsi="Arial" w:cs="Arial"/>
      <w:color w:val="000000"/>
      <w:kern w:val="0"/>
      <w:sz w:val="24"/>
      <w:szCs w:val="24"/>
    </w:rPr>
  </w:style>
  <w:style w:type="paragraph" w:customStyle="1" w:styleId="2650">
    <w:name w:val="p"/>
    <w:basedOn w:val="1"/>
    <w:qFormat/>
    <w:uiPriority w:val="0"/>
    <w:pPr>
      <w:widowControl/>
      <w:adjustRightInd/>
      <w:snapToGrid/>
      <w:spacing w:before="100" w:beforeAutospacing="1" w:after="100" w:afterAutospacing="1" w:line="240" w:lineRule="auto"/>
      <w:ind w:firstLine="0" w:firstLineChars="0"/>
      <w:jc w:val="center"/>
    </w:pPr>
    <w:rPr>
      <w:rFonts w:ascii="Arial" w:hAnsi="Arial" w:cs="Arial"/>
      <w:kern w:val="0"/>
      <w:sz w:val="24"/>
      <w:szCs w:val="24"/>
    </w:rPr>
  </w:style>
  <w:style w:type="paragraph" w:customStyle="1" w:styleId="2651">
    <w:name w:val="副标题1"/>
    <w:basedOn w:val="1"/>
    <w:qFormat/>
    <w:uiPriority w:val="0"/>
    <w:pPr>
      <w:widowControl/>
      <w:adjustRightInd/>
      <w:snapToGrid/>
      <w:spacing w:before="100" w:beforeAutospacing="1" w:after="100" w:afterAutospacing="1" w:line="240" w:lineRule="auto"/>
      <w:ind w:firstLine="0" w:firstLineChars="0"/>
    </w:pPr>
    <w:rPr>
      <w:rFonts w:ascii="Arial" w:hAnsi="Arial" w:cs="Arial"/>
      <w:b/>
      <w:bCs/>
      <w:kern w:val="0"/>
      <w:sz w:val="17"/>
      <w:szCs w:val="17"/>
    </w:rPr>
  </w:style>
  <w:style w:type="paragraph" w:customStyle="1" w:styleId="2652">
    <w:name w:val="mainheader"/>
    <w:basedOn w:val="1"/>
    <w:qFormat/>
    <w:uiPriority w:val="0"/>
    <w:pPr>
      <w:widowControl/>
      <w:adjustRightInd/>
      <w:snapToGrid/>
      <w:spacing w:before="100" w:beforeAutospacing="1" w:after="100" w:afterAutospacing="1" w:line="240" w:lineRule="auto"/>
      <w:ind w:firstLine="0" w:firstLineChars="0"/>
    </w:pPr>
    <w:rPr>
      <w:rFonts w:ascii="宋体" w:hAnsi="宋体" w:cs="宋体"/>
      <w:b/>
      <w:bCs/>
      <w:kern w:val="0"/>
      <w:sz w:val="31"/>
      <w:szCs w:val="31"/>
    </w:rPr>
  </w:style>
  <w:style w:type="paragraph" w:customStyle="1" w:styleId="2653">
    <w:name w:val="chapter"/>
    <w:basedOn w:val="1"/>
    <w:qFormat/>
    <w:uiPriority w:val="0"/>
    <w:pPr>
      <w:widowControl/>
      <w:adjustRightInd/>
      <w:snapToGrid/>
      <w:spacing w:before="100" w:beforeAutospacing="1" w:after="100" w:afterAutospacing="1" w:line="240" w:lineRule="auto"/>
      <w:ind w:firstLine="0" w:firstLineChars="0"/>
    </w:pPr>
    <w:rPr>
      <w:rFonts w:ascii="Arial" w:hAnsi="Arial" w:cs="Arial"/>
      <w:b/>
      <w:bCs/>
      <w:kern w:val="0"/>
      <w:sz w:val="19"/>
      <w:szCs w:val="19"/>
    </w:rPr>
  </w:style>
  <w:style w:type="paragraph" w:customStyle="1" w:styleId="2654">
    <w:name w:val="subchapter"/>
    <w:basedOn w:val="1"/>
    <w:qFormat/>
    <w:uiPriority w:val="0"/>
    <w:pPr>
      <w:widowControl/>
      <w:adjustRightInd/>
      <w:snapToGrid/>
      <w:spacing w:before="100" w:beforeAutospacing="1" w:after="100" w:afterAutospacing="1" w:line="240" w:lineRule="auto"/>
      <w:ind w:firstLine="0" w:firstLineChars="0"/>
    </w:pPr>
    <w:rPr>
      <w:rFonts w:ascii="Arial" w:hAnsi="Arial" w:cs="Arial"/>
      <w:b/>
      <w:bCs/>
      <w:kern w:val="0"/>
      <w:sz w:val="17"/>
      <w:szCs w:val="17"/>
    </w:rPr>
  </w:style>
  <w:style w:type="paragraph" w:customStyle="1" w:styleId="2655">
    <w:name w:val="part"/>
    <w:basedOn w:val="1"/>
    <w:qFormat/>
    <w:uiPriority w:val="0"/>
    <w:pPr>
      <w:widowControl/>
      <w:adjustRightInd/>
      <w:snapToGrid/>
      <w:spacing w:before="100" w:beforeAutospacing="1" w:after="100" w:afterAutospacing="1" w:line="240" w:lineRule="auto"/>
      <w:ind w:firstLine="0" w:firstLineChars="0"/>
    </w:pPr>
    <w:rPr>
      <w:rFonts w:ascii="宋体" w:hAnsi="宋体" w:cs="宋体"/>
      <w:b/>
      <w:bCs/>
      <w:kern w:val="0"/>
      <w:sz w:val="24"/>
      <w:szCs w:val="24"/>
    </w:rPr>
  </w:style>
  <w:style w:type="paragraph" w:customStyle="1" w:styleId="2656">
    <w:name w:val="subpart"/>
    <w:basedOn w:val="1"/>
    <w:qFormat/>
    <w:uiPriority w:val="0"/>
    <w:pPr>
      <w:widowControl/>
      <w:shd w:val="clear" w:color="auto" w:fill="FFFFFF"/>
      <w:adjustRightInd/>
      <w:snapToGrid/>
      <w:spacing w:before="100" w:beforeAutospacing="1" w:after="100" w:afterAutospacing="1" w:line="240" w:lineRule="auto"/>
      <w:ind w:firstLine="0" w:firstLineChars="0"/>
    </w:pPr>
    <w:rPr>
      <w:rFonts w:ascii="宋体" w:hAnsi="宋体" w:cs="宋体"/>
      <w:color w:val="0000FF"/>
      <w:kern w:val="0"/>
      <w:sz w:val="22"/>
    </w:rPr>
  </w:style>
  <w:style w:type="paragraph" w:customStyle="1" w:styleId="2657">
    <w:name w:val="nopart"/>
    <w:basedOn w:val="1"/>
    <w:qFormat/>
    <w:uiPriority w:val="0"/>
    <w:pPr>
      <w:widowControl/>
      <w:shd w:val="clear" w:color="auto" w:fill="FFFFFF"/>
      <w:adjustRightInd/>
      <w:snapToGrid/>
      <w:spacing w:before="100" w:beforeAutospacing="1" w:after="100" w:afterAutospacing="1" w:line="240" w:lineRule="auto"/>
      <w:ind w:firstLine="0" w:firstLineChars="0"/>
    </w:pPr>
    <w:rPr>
      <w:rFonts w:ascii="宋体" w:hAnsi="宋体" w:cs="宋体"/>
      <w:color w:val="008000"/>
      <w:kern w:val="0"/>
      <w:sz w:val="24"/>
      <w:szCs w:val="24"/>
    </w:rPr>
  </w:style>
  <w:style w:type="paragraph" w:customStyle="1" w:styleId="2658">
    <w:name w:val="reserved"/>
    <w:basedOn w:val="1"/>
    <w:qFormat/>
    <w:uiPriority w:val="0"/>
    <w:pPr>
      <w:widowControl/>
      <w:shd w:val="clear" w:color="auto" w:fill="FFFFFF"/>
      <w:adjustRightInd/>
      <w:snapToGrid/>
      <w:spacing w:before="100" w:beforeAutospacing="1" w:after="100" w:afterAutospacing="1" w:line="240" w:lineRule="auto"/>
      <w:ind w:firstLine="0" w:firstLineChars="0"/>
    </w:pPr>
    <w:rPr>
      <w:rFonts w:ascii="宋体" w:hAnsi="宋体" w:cs="宋体"/>
      <w:color w:val="FF0000"/>
      <w:kern w:val="0"/>
      <w:sz w:val="24"/>
      <w:szCs w:val="24"/>
    </w:rPr>
  </w:style>
  <w:style w:type="paragraph" w:customStyle="1" w:styleId="2659">
    <w:name w:val="menu"/>
    <w:basedOn w:val="1"/>
    <w:qFormat/>
    <w:uiPriority w:val="0"/>
    <w:pPr>
      <w:widowControl/>
      <w:adjustRightInd/>
      <w:snapToGrid/>
      <w:spacing w:before="100" w:beforeAutospacing="1" w:after="100" w:afterAutospacing="1" w:line="240" w:lineRule="auto"/>
      <w:ind w:firstLine="0" w:firstLineChars="0"/>
    </w:pPr>
    <w:rPr>
      <w:rFonts w:ascii="Arial" w:hAnsi="Arial" w:cs="Arial"/>
      <w:kern w:val="0"/>
      <w:sz w:val="14"/>
      <w:szCs w:val="14"/>
    </w:rPr>
  </w:style>
  <w:style w:type="paragraph" w:customStyle="1" w:styleId="2660">
    <w:name w:val="hilite"/>
    <w:basedOn w:val="1"/>
    <w:qFormat/>
    <w:uiPriority w:val="0"/>
    <w:pPr>
      <w:widowControl/>
      <w:adjustRightInd/>
      <w:snapToGrid/>
      <w:spacing w:before="100" w:beforeAutospacing="1" w:after="100" w:afterAutospacing="1" w:line="240" w:lineRule="auto"/>
      <w:ind w:firstLine="0" w:firstLineChars="0"/>
    </w:pPr>
    <w:rPr>
      <w:rFonts w:ascii="宋体" w:hAnsi="宋体" w:cs="宋体"/>
      <w:b/>
      <w:bCs/>
      <w:color w:val="CC0000"/>
      <w:kern w:val="0"/>
      <w:sz w:val="24"/>
      <w:szCs w:val="24"/>
    </w:rPr>
  </w:style>
  <w:style w:type="paragraph" w:customStyle="1" w:styleId="2661">
    <w:name w:val="hang"/>
    <w:basedOn w:val="1"/>
    <w:qFormat/>
    <w:uiPriority w:val="0"/>
    <w:pPr>
      <w:widowControl/>
      <w:adjustRightInd/>
      <w:snapToGrid/>
      <w:spacing w:before="100" w:beforeAutospacing="1" w:after="100" w:afterAutospacing="1" w:line="240" w:lineRule="auto"/>
      <w:ind w:hanging="480" w:firstLineChars="0"/>
    </w:pPr>
    <w:rPr>
      <w:rFonts w:ascii="宋体" w:hAnsi="宋体" w:cs="宋体"/>
      <w:kern w:val="0"/>
      <w:sz w:val="24"/>
      <w:szCs w:val="24"/>
    </w:rPr>
  </w:style>
  <w:style w:type="paragraph" w:customStyle="1" w:styleId="2662">
    <w:name w:val="table_div"/>
    <w:basedOn w:val="1"/>
    <w:qFormat/>
    <w:uiPriority w:val="0"/>
    <w:pPr>
      <w:widowControl/>
      <w:pBdr>
        <w:top w:val="single" w:color="000000" w:sz="12" w:space="0"/>
        <w:left w:val="single" w:color="000000" w:sz="12" w:space="0"/>
        <w:bottom w:val="single" w:color="000000" w:sz="12" w:space="0"/>
        <w:right w:val="single" w:color="000000" w:sz="12" w:space="0"/>
      </w:pBdr>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663">
    <w:name w:val="table_cell"/>
    <w:basedOn w:val="1"/>
    <w:qFormat/>
    <w:uiPriority w:val="0"/>
    <w:pPr>
      <w:widowControl/>
      <w:pBdr>
        <w:top w:val="single" w:color="000000" w:sz="4" w:space="0"/>
        <w:left w:val="single" w:color="000000" w:sz="4" w:space="0"/>
        <w:bottom w:val="single" w:color="000000" w:sz="4" w:space="0"/>
        <w:right w:val="single" w:color="000000" w:sz="4" w:space="0"/>
      </w:pBdr>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664">
    <w:name w:val="table_colhed"/>
    <w:basedOn w:val="1"/>
    <w:qFormat/>
    <w:uiPriority w:val="0"/>
    <w:pPr>
      <w:widowControl/>
      <w:pBdr>
        <w:top w:val="single" w:color="000000" w:sz="4" w:space="0"/>
        <w:left w:val="single" w:color="000000" w:sz="4" w:space="0"/>
        <w:bottom w:val="single" w:color="000000" w:sz="4" w:space="0"/>
        <w:right w:val="single" w:color="000000" w:sz="4" w:space="0"/>
      </w:pBdr>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665">
    <w:name w:val="表内标题栏"/>
    <w:basedOn w:val="1"/>
    <w:qFormat/>
    <w:uiPriority w:val="0"/>
    <w:pPr>
      <w:adjustRightInd/>
      <w:snapToGrid/>
      <w:spacing w:line="300" w:lineRule="exact"/>
      <w:ind w:firstLine="0" w:firstLineChars="0"/>
      <w:jc w:val="center"/>
    </w:pPr>
    <w:rPr>
      <w:rFonts w:ascii="宋体"/>
      <w:sz w:val="24"/>
      <w:szCs w:val="24"/>
    </w:rPr>
  </w:style>
  <w:style w:type="paragraph" w:customStyle="1" w:styleId="2666">
    <w:name w:val="标题2 Char Char Char"/>
    <w:basedOn w:val="1"/>
    <w:qFormat/>
    <w:uiPriority w:val="0"/>
    <w:pPr>
      <w:adjustRightInd/>
      <w:snapToGrid/>
      <w:spacing w:line="240" w:lineRule="auto"/>
      <w:ind w:firstLine="0" w:firstLineChars="0"/>
      <w:jc w:val="both"/>
    </w:pPr>
    <w:rPr>
      <w:sz w:val="30"/>
      <w:szCs w:val="24"/>
    </w:rPr>
  </w:style>
  <w:style w:type="paragraph" w:customStyle="1" w:styleId="2667">
    <w:name w:val="Char1 Char Char Char11"/>
    <w:basedOn w:val="1"/>
    <w:qFormat/>
    <w:uiPriority w:val="0"/>
    <w:pPr>
      <w:adjustRightInd/>
      <w:snapToGrid/>
      <w:spacing w:line="240" w:lineRule="auto"/>
      <w:ind w:firstLine="0" w:firstLineChars="0"/>
      <w:jc w:val="both"/>
    </w:pPr>
    <w:rPr>
      <w:sz w:val="21"/>
      <w:szCs w:val="24"/>
    </w:rPr>
  </w:style>
  <w:style w:type="paragraph" w:customStyle="1" w:styleId="2668">
    <w:name w:val="样式 样式18 + 黑色"/>
    <w:basedOn w:val="1"/>
    <w:qFormat/>
    <w:uiPriority w:val="0"/>
    <w:pPr>
      <w:keepNext/>
      <w:keepLines/>
      <w:tabs>
        <w:tab w:val="left" w:pos="1800"/>
      </w:tabs>
      <w:overflowPunct w:val="0"/>
      <w:topLinePunct/>
      <w:autoSpaceDE w:val="0"/>
      <w:autoSpaceDN w:val="0"/>
      <w:ind w:firstLine="0" w:firstLineChars="0"/>
      <w:outlineLvl w:val="3"/>
    </w:pPr>
    <w:rPr>
      <w:rFonts w:hAnsi="宋体"/>
      <w:color w:val="000000"/>
      <w:kern w:val="0"/>
      <w:sz w:val="24"/>
      <w:szCs w:val="20"/>
    </w:rPr>
  </w:style>
  <w:style w:type="paragraph" w:customStyle="1" w:styleId="2669">
    <w:name w:val="样式 样式11 + 黑色"/>
    <w:basedOn w:val="1"/>
    <w:qFormat/>
    <w:uiPriority w:val="0"/>
    <w:pPr>
      <w:keepNext/>
      <w:keepLines/>
      <w:tabs>
        <w:tab w:val="left" w:pos="1256"/>
      </w:tabs>
      <w:overflowPunct w:val="0"/>
      <w:topLinePunct/>
      <w:autoSpaceDE w:val="0"/>
      <w:autoSpaceDN w:val="0"/>
      <w:spacing w:before="120" w:after="120" w:line="480" w:lineRule="atLeast"/>
      <w:ind w:left="-31" w:firstLine="567" w:firstLineChars="0"/>
      <w:outlineLvl w:val="2"/>
    </w:pPr>
    <w:rPr>
      <w:rFonts w:eastAsia="黑体"/>
      <w:color w:val="000000"/>
      <w:kern w:val="0"/>
      <w:sz w:val="24"/>
      <w:szCs w:val="20"/>
    </w:rPr>
  </w:style>
  <w:style w:type="paragraph" w:customStyle="1" w:styleId="2670">
    <w:name w:val="样式 样式 样式 样式 样式 样式 样式 样式9 + 段前: 0.5 行 段后: 0.5 行 + 段前: 1 行 段后: 0.5..."/>
    <w:basedOn w:val="1"/>
    <w:qFormat/>
    <w:uiPriority w:val="0"/>
    <w:pPr>
      <w:keepNext/>
      <w:keepLines/>
      <w:tabs>
        <w:tab w:val="left" w:pos="927"/>
      </w:tabs>
      <w:adjustRightInd/>
      <w:snapToGrid/>
      <w:spacing w:beforeLines="100"/>
      <w:ind w:firstLine="567" w:firstLineChars="0"/>
      <w:outlineLvl w:val="1"/>
    </w:pPr>
    <w:rPr>
      <w:rFonts w:ascii="Arial" w:hAnsi="Arial" w:eastAsia="黑体"/>
      <w:color w:val="000000"/>
      <w:spacing w:val="6"/>
      <w:sz w:val="28"/>
      <w:szCs w:val="20"/>
    </w:rPr>
  </w:style>
  <w:style w:type="paragraph" w:customStyle="1" w:styleId="2671">
    <w:name w:val="SCIDI环评表格"/>
    <w:basedOn w:val="1"/>
    <w:qFormat/>
    <w:uiPriority w:val="0"/>
    <w:pPr>
      <w:spacing w:line="240" w:lineRule="auto"/>
      <w:ind w:firstLine="0" w:firstLineChars="0"/>
      <w:jc w:val="center"/>
    </w:pPr>
    <w:rPr>
      <w:kern w:val="0"/>
      <w:sz w:val="21"/>
      <w:szCs w:val="21"/>
    </w:rPr>
  </w:style>
  <w:style w:type="paragraph" w:customStyle="1" w:styleId="2672">
    <w:name w:val="样式 样式2 + (符号) 宋体 Char"/>
    <w:basedOn w:val="1"/>
    <w:qFormat/>
    <w:uiPriority w:val="0"/>
    <w:pPr>
      <w:spacing w:line="440" w:lineRule="exact"/>
      <w:ind w:firstLine="480"/>
      <w:jc w:val="both"/>
    </w:pPr>
    <w:rPr>
      <w:sz w:val="24"/>
      <w:szCs w:val="28"/>
    </w:rPr>
  </w:style>
  <w:style w:type="paragraph" w:customStyle="1" w:styleId="2673">
    <w:name w:val="样式 表格文字 + 居中 首行缩进:  2 字符"/>
    <w:basedOn w:val="45"/>
    <w:qFormat/>
    <w:uiPriority w:val="0"/>
    <w:pPr>
      <w:tabs>
        <w:tab w:val="left" w:pos="1960"/>
      </w:tabs>
      <w:spacing w:line="400" w:lineRule="exact"/>
    </w:pPr>
    <w:rPr>
      <w:rFonts w:ascii="Times New Roman" w:hAnsi="Times New Roman" w:eastAsia="仿宋_GB2312"/>
      <w:kern w:val="24"/>
      <w:sz w:val="24"/>
      <w:szCs w:val="20"/>
    </w:rPr>
  </w:style>
  <w:style w:type="paragraph" w:customStyle="1" w:styleId="2674">
    <w:name w:val="样式 表格文字 + 首行缩进:  2 字符"/>
    <w:basedOn w:val="45"/>
    <w:qFormat/>
    <w:uiPriority w:val="0"/>
    <w:pPr>
      <w:tabs>
        <w:tab w:val="left" w:pos="1960"/>
      </w:tabs>
      <w:spacing w:line="400" w:lineRule="exact"/>
    </w:pPr>
    <w:rPr>
      <w:rFonts w:ascii="Times New Roman" w:hAnsi="Times New Roman" w:eastAsia="仿宋_GB2312"/>
      <w:kern w:val="24"/>
      <w:sz w:val="24"/>
      <w:szCs w:val="20"/>
    </w:rPr>
  </w:style>
  <w:style w:type="paragraph" w:customStyle="1" w:styleId="2675">
    <w:name w:val="表——索引"/>
    <w:basedOn w:val="1"/>
    <w:qFormat/>
    <w:uiPriority w:val="0"/>
    <w:pPr>
      <w:widowControl/>
      <w:adjustRightInd/>
      <w:snapToGrid/>
      <w:spacing w:line="360" w:lineRule="auto"/>
      <w:ind w:firstLine="0" w:firstLineChars="0"/>
      <w:jc w:val="center"/>
    </w:pPr>
    <w:rPr>
      <w:rFonts w:ascii="宋体" w:hAnsi="宋体"/>
      <w:color w:val="000000"/>
      <w:sz w:val="24"/>
      <w:szCs w:val="24"/>
    </w:rPr>
  </w:style>
  <w:style w:type="paragraph" w:customStyle="1" w:styleId="2676">
    <w:name w:val="标题 B"/>
    <w:basedOn w:val="4"/>
    <w:qFormat/>
    <w:uiPriority w:val="0"/>
    <w:pPr>
      <w:keepNext/>
      <w:keepLines/>
      <w:widowControl w:val="0"/>
      <w:tabs>
        <w:tab w:val="left" w:pos="927"/>
        <w:tab w:val="left" w:pos="1134"/>
        <w:tab w:val="clear" w:pos="0"/>
      </w:tabs>
      <w:snapToGrid/>
      <w:spacing w:afterLines="0" w:line="400" w:lineRule="exact"/>
      <w:jc w:val="center"/>
      <w:outlineLvl w:val="9"/>
    </w:pPr>
    <w:rPr>
      <w:rFonts w:ascii="Arial Rounded MT Bold" w:hAnsi="Arial Rounded MT Bold"/>
      <w:b w:val="0"/>
      <w:bCs w:val="0"/>
      <w:snapToGrid/>
      <w:color w:val="000000"/>
      <w:spacing w:val="8"/>
      <w:kern w:val="0"/>
      <w:sz w:val="32"/>
      <w:szCs w:val="20"/>
    </w:rPr>
  </w:style>
  <w:style w:type="character" w:customStyle="1" w:styleId="2677">
    <w:name w:val="表体 Char"/>
    <w:link w:val="290"/>
    <w:qFormat/>
    <w:locked/>
    <w:uiPriority w:val="0"/>
    <w:rPr>
      <w:rFonts w:ascii="Times New Roman" w:hAnsi="Times New Roman"/>
      <w:kern w:val="2"/>
      <w:sz w:val="24"/>
      <w:szCs w:val="24"/>
    </w:rPr>
  </w:style>
  <w:style w:type="paragraph" w:customStyle="1" w:styleId="2678">
    <w:name w:val="Char Char1 Char Char1 Char Char1 Char Char1 Char Char Char Char Char Char Char"/>
    <w:basedOn w:val="1"/>
    <w:qFormat/>
    <w:uiPriority w:val="0"/>
    <w:pPr>
      <w:adjustRightInd/>
      <w:snapToGrid/>
      <w:spacing w:line="240" w:lineRule="auto"/>
      <w:ind w:firstLine="0" w:firstLineChars="0"/>
      <w:jc w:val="both"/>
    </w:pPr>
    <w:rPr>
      <w:rFonts w:ascii="Tahoma" w:hAnsi="Tahoma"/>
      <w:sz w:val="24"/>
      <w:szCs w:val="24"/>
    </w:rPr>
  </w:style>
  <w:style w:type="paragraph" w:customStyle="1" w:styleId="2679">
    <w:name w:val="Char Char7 Char Char Char Char Char Char"/>
    <w:basedOn w:val="5"/>
    <w:qFormat/>
    <w:uiPriority w:val="0"/>
    <w:pPr>
      <w:keepNext/>
      <w:keepLines/>
      <w:widowControl w:val="0"/>
      <w:tabs>
        <w:tab w:val="left" w:pos="360"/>
        <w:tab w:val="left" w:pos="900"/>
        <w:tab w:val="clear" w:pos="0"/>
      </w:tabs>
      <w:adjustRightInd/>
      <w:ind w:left="-12" w:leftChars="-12" w:firstLine="200" w:firstLineChars="200"/>
    </w:pPr>
    <w:rPr>
      <w:rFonts w:eastAsia="黑体"/>
      <w:bCs/>
      <w:snapToGrid/>
      <w:kern w:val="0"/>
      <w:szCs w:val="20"/>
    </w:rPr>
  </w:style>
  <w:style w:type="character" w:customStyle="1" w:styleId="2680">
    <w:name w:val="样式 正文文本缩进 2正文文字缩进 2 + 自动设置 Char Char"/>
    <w:link w:val="2681"/>
    <w:qFormat/>
    <w:locked/>
    <w:uiPriority w:val="0"/>
    <w:rPr>
      <w:rFonts w:ascii="宋体" w:hAnsi="宋体"/>
      <w:sz w:val="24"/>
    </w:rPr>
  </w:style>
  <w:style w:type="paragraph" w:customStyle="1" w:styleId="2681">
    <w:name w:val="样式 正文文本缩进 2正文文字缩进 2 + 自动设置 Char"/>
    <w:basedOn w:val="1"/>
    <w:link w:val="2680"/>
    <w:qFormat/>
    <w:uiPriority w:val="0"/>
    <w:pPr>
      <w:tabs>
        <w:tab w:val="left" w:pos="4500"/>
      </w:tabs>
      <w:adjustRightInd/>
      <w:spacing w:line="440" w:lineRule="exact"/>
      <w:ind w:firstLine="420"/>
      <w:jc w:val="both"/>
    </w:pPr>
    <w:rPr>
      <w:rFonts w:ascii="宋体" w:hAnsi="宋体"/>
      <w:kern w:val="0"/>
      <w:sz w:val="24"/>
      <w:szCs w:val="20"/>
    </w:rPr>
  </w:style>
  <w:style w:type="paragraph" w:customStyle="1" w:styleId="2682">
    <w:name w:val="标题三"/>
    <w:basedOn w:val="5"/>
    <w:qFormat/>
    <w:uiPriority w:val="0"/>
    <w:pPr>
      <w:keepNext/>
      <w:keepLines/>
      <w:widowControl w:val="0"/>
      <w:tabs>
        <w:tab w:val="left" w:pos="4500"/>
        <w:tab w:val="clear" w:pos="0"/>
      </w:tabs>
      <w:adjustRightInd/>
      <w:spacing w:line="440" w:lineRule="atLeast"/>
      <w:ind w:firstLine="200" w:firstLineChars="200"/>
    </w:pPr>
    <w:rPr>
      <w:rFonts w:ascii="宋体" w:hAnsi="宋体"/>
      <w:bCs/>
      <w:snapToGrid/>
      <w:kern w:val="0"/>
      <w:szCs w:val="20"/>
    </w:rPr>
  </w:style>
  <w:style w:type="paragraph" w:customStyle="1" w:styleId="2683">
    <w:name w:val="Char2 Char Char Char Char Char Char Char"/>
    <w:basedOn w:val="1"/>
    <w:qFormat/>
    <w:uiPriority w:val="0"/>
    <w:pPr>
      <w:autoSpaceDE w:val="0"/>
      <w:autoSpaceDN w:val="0"/>
      <w:spacing w:before="50" w:after="50" w:line="360" w:lineRule="auto"/>
      <w:ind w:firstLine="560"/>
      <w:jc w:val="both"/>
    </w:pPr>
    <w:rPr>
      <w:rFonts w:eastAsia="仿宋_GB2312"/>
      <w:color w:val="000000"/>
      <w:sz w:val="24"/>
      <w:szCs w:val="20"/>
    </w:rPr>
  </w:style>
  <w:style w:type="paragraph" w:customStyle="1" w:styleId="2684">
    <w:name w:val="标题二"/>
    <w:basedOn w:val="1"/>
    <w:qFormat/>
    <w:uiPriority w:val="0"/>
    <w:pPr>
      <w:keepNext/>
      <w:keepLines/>
      <w:tabs>
        <w:tab w:val="left" w:pos="4500"/>
      </w:tabs>
      <w:adjustRightInd/>
      <w:spacing w:before="120" w:after="120" w:line="440" w:lineRule="atLeast"/>
      <w:ind w:firstLine="0" w:firstLineChars="0"/>
      <w:jc w:val="both"/>
      <w:outlineLvl w:val="1"/>
    </w:pPr>
    <w:rPr>
      <w:rFonts w:ascii="宋体" w:hAnsi="宋体"/>
      <w:b/>
      <w:color w:val="000000"/>
      <w:sz w:val="30"/>
      <w:szCs w:val="20"/>
    </w:rPr>
  </w:style>
  <w:style w:type="paragraph" w:customStyle="1" w:styleId="2685">
    <w:name w:val="正文（1）"/>
    <w:basedOn w:val="21"/>
    <w:next w:val="86"/>
    <w:qFormat/>
    <w:uiPriority w:val="0"/>
    <w:pPr>
      <w:widowControl/>
      <w:adjustRightInd w:val="0"/>
      <w:snapToGrid w:val="0"/>
      <w:spacing w:line="480" w:lineRule="atLeast"/>
      <w:ind w:firstLine="480" w:firstLineChars="200"/>
      <w:jc w:val="both"/>
    </w:pPr>
    <w:rPr>
      <w:rFonts w:hAnsi="宋体"/>
      <w:b w:val="0"/>
      <w:color w:val="auto"/>
      <w:szCs w:val="20"/>
    </w:rPr>
  </w:style>
  <w:style w:type="paragraph" w:customStyle="1" w:styleId="2686">
    <w:name w:val="节标"/>
    <w:basedOn w:val="1"/>
    <w:qFormat/>
    <w:uiPriority w:val="0"/>
    <w:pPr>
      <w:widowControl/>
      <w:autoSpaceDE w:val="0"/>
      <w:autoSpaceDN w:val="0"/>
      <w:snapToGrid/>
      <w:ind w:firstLine="567" w:firstLineChars="0"/>
      <w:jc w:val="center"/>
    </w:pPr>
    <w:rPr>
      <w:b/>
      <w:kern w:val="0"/>
      <w:sz w:val="30"/>
      <w:szCs w:val="20"/>
    </w:rPr>
  </w:style>
  <w:style w:type="paragraph" w:customStyle="1" w:styleId="2687">
    <w:name w:val="Achievement"/>
    <w:basedOn w:val="34"/>
    <w:qFormat/>
    <w:uiPriority w:val="0"/>
    <w:pPr>
      <w:widowControl/>
      <w:tabs>
        <w:tab w:val="left" w:pos="960"/>
      </w:tabs>
      <w:adjustRightInd/>
      <w:snapToGrid/>
      <w:spacing w:beforeLines="0" w:after="60" w:line="220" w:lineRule="atLeast"/>
      <w:ind w:left="960" w:right="-360" w:hanging="960"/>
      <w:jc w:val="left"/>
    </w:pPr>
    <w:rPr>
      <w:rFonts w:eastAsia="Times New Roman"/>
      <w:snapToGrid/>
      <w:sz w:val="20"/>
    </w:rPr>
  </w:style>
  <w:style w:type="paragraph" w:customStyle="1" w:styleId="2688">
    <w:name w:val="条(三级)"/>
    <w:basedOn w:val="2689"/>
    <w:next w:val="1"/>
    <w:qFormat/>
    <w:uiPriority w:val="0"/>
    <w:pPr>
      <w:tabs>
        <w:tab w:val="left" w:pos="927"/>
        <w:tab w:val="left" w:pos="1134"/>
      </w:tabs>
    </w:pPr>
    <w:rPr>
      <w:b w:val="0"/>
    </w:rPr>
  </w:style>
  <w:style w:type="paragraph" w:customStyle="1" w:styleId="2689">
    <w:name w:val="条(二级)"/>
    <w:basedOn w:val="4"/>
    <w:next w:val="2688"/>
    <w:qFormat/>
    <w:uiPriority w:val="0"/>
    <w:pPr>
      <w:keepNext/>
      <w:keepLines/>
      <w:widowControl w:val="0"/>
      <w:tabs>
        <w:tab w:val="left" w:pos="927"/>
        <w:tab w:val="left" w:pos="1134"/>
        <w:tab w:val="clear" w:pos="0"/>
      </w:tabs>
      <w:snapToGrid/>
      <w:spacing w:beforeLines="0" w:afterLines="0" w:line="460" w:lineRule="exact"/>
      <w:outlineLvl w:val="9"/>
    </w:pPr>
    <w:rPr>
      <w:rFonts w:ascii="宋体" w:hAnsi="Arial"/>
      <w:bCs w:val="0"/>
      <w:snapToGrid/>
      <w:spacing w:val="3"/>
      <w:kern w:val="24"/>
      <w:sz w:val="24"/>
      <w:szCs w:val="20"/>
    </w:rPr>
  </w:style>
  <w:style w:type="paragraph" w:customStyle="1" w:styleId="2690">
    <w:name w:val="条(四级)"/>
    <w:basedOn w:val="1"/>
    <w:next w:val="1"/>
    <w:qFormat/>
    <w:uiPriority w:val="0"/>
    <w:pPr>
      <w:keepNext/>
      <w:keepLines/>
      <w:widowControl/>
      <w:autoSpaceDE w:val="0"/>
      <w:autoSpaceDN w:val="0"/>
      <w:snapToGrid/>
      <w:spacing w:line="460" w:lineRule="exact"/>
      <w:ind w:firstLine="0" w:firstLineChars="0"/>
    </w:pPr>
    <w:rPr>
      <w:rFonts w:ascii="宋体" w:hAnsi="Arial"/>
      <w:spacing w:val="3"/>
      <w:kern w:val="24"/>
      <w:szCs w:val="20"/>
    </w:rPr>
  </w:style>
  <w:style w:type="paragraph" w:customStyle="1" w:styleId="2691">
    <w:name w:val="条文1"/>
    <w:basedOn w:val="1"/>
    <w:qFormat/>
    <w:uiPriority w:val="0"/>
    <w:pPr>
      <w:widowControl/>
      <w:autoSpaceDE w:val="0"/>
      <w:autoSpaceDN w:val="0"/>
      <w:snapToGrid/>
      <w:spacing w:line="460" w:lineRule="exact"/>
      <w:ind w:left="907" w:hanging="425" w:firstLineChars="0"/>
      <w:jc w:val="both"/>
    </w:pPr>
    <w:rPr>
      <w:rFonts w:ascii="宋体" w:hAnsi="Century Schoolbook"/>
      <w:spacing w:val="3"/>
      <w:kern w:val="24"/>
      <w:szCs w:val="20"/>
    </w:rPr>
  </w:style>
  <w:style w:type="paragraph" w:customStyle="1" w:styleId="2692">
    <w:name w:val="Personal Info"/>
    <w:basedOn w:val="2687"/>
    <w:qFormat/>
    <w:uiPriority w:val="0"/>
    <w:pPr>
      <w:tabs>
        <w:tab w:val="left" w:pos="425"/>
        <w:tab w:val="clear" w:pos="960"/>
      </w:tabs>
      <w:spacing w:before="220"/>
      <w:ind w:left="425" w:hanging="425"/>
    </w:pPr>
    <w:rPr>
      <w:szCs w:val="20"/>
    </w:rPr>
  </w:style>
  <w:style w:type="paragraph" w:customStyle="1" w:styleId="2693">
    <w:name w:val="Address 1"/>
    <w:basedOn w:val="1"/>
    <w:qFormat/>
    <w:uiPriority w:val="0"/>
    <w:pPr>
      <w:framePr w:w="2400" w:wrap="notBeside" w:vAnchor="page" w:hAnchor="page" w:x="8065" w:y="1009" w:anchorLock="1"/>
      <w:widowControl/>
      <w:adjustRightInd/>
      <w:snapToGrid/>
      <w:spacing w:line="200" w:lineRule="atLeast"/>
      <w:ind w:firstLine="0" w:firstLineChars="0"/>
    </w:pPr>
    <w:rPr>
      <w:kern w:val="0"/>
      <w:sz w:val="16"/>
      <w:szCs w:val="20"/>
    </w:rPr>
  </w:style>
  <w:style w:type="paragraph" w:customStyle="1" w:styleId="2694">
    <w:name w:val="Address 2"/>
    <w:basedOn w:val="1"/>
    <w:qFormat/>
    <w:uiPriority w:val="0"/>
    <w:pPr>
      <w:framePr w:w="2405" w:wrap="notBeside" w:vAnchor="page" w:hAnchor="page" w:x="5761" w:y="1009" w:anchorLock="1"/>
      <w:widowControl/>
      <w:adjustRightInd/>
      <w:snapToGrid/>
      <w:spacing w:line="200" w:lineRule="atLeast"/>
      <w:ind w:firstLine="0" w:firstLineChars="0"/>
    </w:pPr>
    <w:rPr>
      <w:kern w:val="0"/>
      <w:sz w:val="16"/>
      <w:szCs w:val="20"/>
    </w:rPr>
  </w:style>
  <w:style w:type="paragraph" w:customStyle="1" w:styleId="2695">
    <w:name w:val="City/State"/>
    <w:basedOn w:val="34"/>
    <w:next w:val="34"/>
    <w:qFormat/>
    <w:uiPriority w:val="0"/>
    <w:pPr>
      <w:keepNext/>
      <w:widowControl/>
      <w:adjustRightInd/>
      <w:snapToGrid/>
      <w:spacing w:beforeLines="0" w:after="220" w:line="220" w:lineRule="atLeast"/>
      <w:ind w:right="-360"/>
      <w:jc w:val="left"/>
    </w:pPr>
    <w:rPr>
      <w:rFonts w:eastAsia="Times New Roman"/>
      <w:snapToGrid/>
      <w:sz w:val="20"/>
      <w:szCs w:val="20"/>
    </w:rPr>
  </w:style>
  <w:style w:type="paragraph" w:customStyle="1" w:styleId="2696">
    <w:name w:val="Company Name"/>
    <w:basedOn w:val="1"/>
    <w:next w:val="1"/>
    <w:qFormat/>
    <w:uiPriority w:val="0"/>
    <w:pPr>
      <w:widowControl/>
      <w:tabs>
        <w:tab w:val="left" w:pos="2160"/>
        <w:tab w:val="right" w:pos="6480"/>
      </w:tabs>
      <w:adjustRightInd/>
      <w:snapToGrid/>
      <w:spacing w:before="220" w:after="40" w:line="220" w:lineRule="atLeast"/>
      <w:ind w:right="-360" w:firstLine="0" w:firstLineChars="0"/>
    </w:pPr>
    <w:rPr>
      <w:kern w:val="0"/>
      <w:sz w:val="20"/>
      <w:szCs w:val="20"/>
    </w:rPr>
  </w:style>
  <w:style w:type="paragraph" w:customStyle="1" w:styleId="2697">
    <w:name w:val="Company Name One"/>
    <w:basedOn w:val="2696"/>
    <w:next w:val="1"/>
    <w:qFormat/>
    <w:uiPriority w:val="0"/>
  </w:style>
  <w:style w:type="paragraph" w:customStyle="1" w:styleId="2698">
    <w:name w:val="Document Label"/>
    <w:basedOn w:val="1"/>
    <w:next w:val="1"/>
    <w:qFormat/>
    <w:uiPriority w:val="0"/>
    <w:pPr>
      <w:widowControl/>
      <w:adjustRightInd/>
      <w:snapToGrid/>
      <w:spacing w:after="220" w:line="240" w:lineRule="auto"/>
      <w:ind w:right="-360" w:firstLine="0" w:firstLineChars="0"/>
    </w:pPr>
    <w:rPr>
      <w:spacing w:val="-20"/>
      <w:kern w:val="0"/>
      <w:sz w:val="48"/>
      <w:szCs w:val="20"/>
    </w:rPr>
  </w:style>
  <w:style w:type="paragraph" w:customStyle="1" w:styleId="2699">
    <w:name w:val="Header Base"/>
    <w:basedOn w:val="1"/>
    <w:qFormat/>
    <w:uiPriority w:val="0"/>
    <w:pPr>
      <w:widowControl/>
      <w:adjustRightInd/>
      <w:snapToGrid/>
      <w:spacing w:line="240" w:lineRule="auto"/>
      <w:ind w:right="-360" w:firstLine="0" w:firstLineChars="0"/>
    </w:pPr>
    <w:rPr>
      <w:kern w:val="0"/>
      <w:sz w:val="20"/>
      <w:szCs w:val="20"/>
    </w:rPr>
  </w:style>
  <w:style w:type="paragraph" w:customStyle="1" w:styleId="2700">
    <w:name w:val="Heading Base"/>
    <w:basedOn w:val="34"/>
    <w:next w:val="34"/>
    <w:qFormat/>
    <w:uiPriority w:val="0"/>
    <w:pPr>
      <w:keepNext/>
      <w:keepLines/>
      <w:widowControl/>
      <w:adjustRightInd/>
      <w:snapToGrid/>
      <w:spacing w:beforeLines="0" w:line="220" w:lineRule="atLeast"/>
      <w:ind w:right="-360"/>
      <w:jc w:val="left"/>
    </w:pPr>
    <w:rPr>
      <w:rFonts w:ascii="Arial" w:hAnsi="Arial" w:eastAsia="Times New Roman"/>
      <w:snapToGrid/>
      <w:spacing w:val="-4"/>
      <w:sz w:val="18"/>
      <w:szCs w:val="20"/>
    </w:rPr>
  </w:style>
  <w:style w:type="paragraph" w:customStyle="1" w:styleId="2701">
    <w:name w:val="Institution"/>
    <w:basedOn w:val="1"/>
    <w:next w:val="2687"/>
    <w:qFormat/>
    <w:uiPriority w:val="0"/>
    <w:pPr>
      <w:widowControl/>
      <w:tabs>
        <w:tab w:val="left" w:pos="2160"/>
        <w:tab w:val="right" w:pos="6480"/>
      </w:tabs>
      <w:adjustRightInd/>
      <w:snapToGrid/>
      <w:spacing w:before="220" w:after="60" w:line="220" w:lineRule="atLeast"/>
      <w:ind w:right="-360" w:firstLine="0" w:firstLineChars="0"/>
    </w:pPr>
    <w:rPr>
      <w:kern w:val="0"/>
      <w:sz w:val="20"/>
      <w:szCs w:val="20"/>
    </w:rPr>
  </w:style>
  <w:style w:type="paragraph" w:customStyle="1" w:styleId="2702">
    <w:name w:val="Job Title"/>
    <w:next w:val="2687"/>
    <w:qFormat/>
    <w:uiPriority w:val="0"/>
    <w:pPr>
      <w:spacing w:after="40" w:line="220" w:lineRule="atLeast"/>
    </w:pPr>
    <w:rPr>
      <w:rFonts w:ascii="Arial" w:hAnsi="Arial" w:eastAsia="宋体" w:cs="Times New Roman"/>
      <w:b/>
      <w:spacing w:val="-10"/>
      <w:lang w:val="en-US" w:eastAsia="zh-CN" w:bidi="ar-SA"/>
    </w:rPr>
  </w:style>
  <w:style w:type="paragraph" w:customStyle="1" w:styleId="2703">
    <w:name w:val="Name"/>
    <w:basedOn w:val="1"/>
    <w:next w:val="1"/>
    <w:qFormat/>
    <w:uiPriority w:val="0"/>
    <w:pPr>
      <w:widowControl/>
      <w:adjustRightInd/>
      <w:snapToGrid/>
      <w:spacing w:after="440" w:line="240" w:lineRule="atLeast"/>
      <w:ind w:left="2160" w:firstLine="0" w:firstLineChars="0"/>
    </w:pPr>
    <w:rPr>
      <w:spacing w:val="-20"/>
      <w:kern w:val="0"/>
      <w:sz w:val="48"/>
      <w:szCs w:val="20"/>
    </w:rPr>
  </w:style>
  <w:style w:type="paragraph" w:customStyle="1" w:styleId="2704">
    <w:name w:val="No Title"/>
    <w:basedOn w:val="1"/>
    <w:qFormat/>
    <w:uiPriority w:val="0"/>
    <w:pPr>
      <w:widowControl/>
      <w:pBdr>
        <w:top w:val="single" w:color="FFFFFF" w:sz="6" w:space="2"/>
        <w:left w:val="single" w:color="FFFFFF" w:sz="6" w:space="2"/>
        <w:bottom w:val="single" w:color="FFFFFF" w:sz="6" w:space="2"/>
        <w:right w:val="single" w:color="FFFFFF" w:sz="6" w:space="2"/>
      </w:pBdr>
      <w:adjustRightInd/>
      <w:snapToGrid/>
      <w:spacing w:before="120" w:line="280" w:lineRule="atLeast"/>
      <w:ind w:firstLine="0" w:firstLineChars="0"/>
    </w:pPr>
    <w:rPr>
      <w:rFonts w:ascii="Arial" w:hAnsi="Arial"/>
      <w:b/>
      <w:spacing w:val="-10"/>
      <w:kern w:val="0"/>
      <w:position w:val="7"/>
      <w:sz w:val="20"/>
      <w:szCs w:val="20"/>
    </w:rPr>
  </w:style>
  <w:style w:type="paragraph" w:customStyle="1" w:styleId="2705">
    <w:name w:val="Objective"/>
    <w:basedOn w:val="1"/>
    <w:next w:val="34"/>
    <w:qFormat/>
    <w:uiPriority w:val="0"/>
    <w:pPr>
      <w:widowControl/>
      <w:adjustRightInd/>
      <w:snapToGrid/>
      <w:spacing w:before="220" w:after="220" w:line="220" w:lineRule="atLeast"/>
      <w:ind w:firstLine="0" w:firstLineChars="0"/>
    </w:pPr>
    <w:rPr>
      <w:kern w:val="0"/>
      <w:sz w:val="20"/>
      <w:szCs w:val="20"/>
    </w:rPr>
  </w:style>
  <w:style w:type="paragraph" w:customStyle="1" w:styleId="2706">
    <w:name w:val="Section Subtitle"/>
    <w:basedOn w:val="4"/>
    <w:next w:val="1"/>
    <w:qFormat/>
    <w:uiPriority w:val="0"/>
    <w:pPr>
      <w:pBdr>
        <w:left w:val="single" w:color="FFFFFF" w:sz="6" w:space="2"/>
        <w:bottom w:val="single" w:color="FFFFFF" w:sz="6" w:space="2"/>
        <w:right w:val="single" w:color="FFFFFF" w:sz="6" w:space="2"/>
      </w:pBdr>
      <w:shd w:val="pct10" w:color="auto" w:fill="auto"/>
      <w:tabs>
        <w:tab w:val="clear" w:pos="0"/>
      </w:tabs>
      <w:adjustRightInd/>
      <w:snapToGrid/>
      <w:spacing w:beforeLines="0" w:afterLines="0" w:line="280" w:lineRule="atLeast"/>
      <w:outlineLvl w:val="9"/>
    </w:pPr>
    <w:rPr>
      <w:rFonts w:ascii="Arial" w:hAnsi="Arial"/>
      <w:b w:val="0"/>
      <w:bCs w:val="0"/>
      <w:snapToGrid/>
      <w:kern w:val="0"/>
      <w:position w:val="6"/>
      <w:sz w:val="20"/>
      <w:szCs w:val="20"/>
    </w:rPr>
  </w:style>
  <w:style w:type="paragraph" w:customStyle="1" w:styleId="2707">
    <w:name w:val="章(一级)"/>
    <w:basedOn w:val="3"/>
    <w:next w:val="2689"/>
    <w:qFormat/>
    <w:uiPriority w:val="0"/>
    <w:pPr>
      <w:keepNext/>
      <w:keepLines/>
      <w:widowControl w:val="0"/>
      <w:numPr>
        <w:numId w:val="0"/>
      </w:numPr>
      <w:tabs>
        <w:tab w:val="left" w:pos="1134"/>
        <w:tab w:val="clear" w:pos="0"/>
      </w:tabs>
      <w:snapToGrid/>
      <w:spacing w:beforeLines="0" w:afterLines="0" w:line="460" w:lineRule="exact"/>
      <w:jc w:val="left"/>
      <w:outlineLvl w:val="9"/>
    </w:pPr>
    <w:rPr>
      <w:rFonts w:ascii="宋体" w:hAnsi="Arial"/>
      <w:bCs w:val="0"/>
      <w:snapToGrid/>
      <w:kern w:val="24"/>
      <w:sz w:val="24"/>
      <w:szCs w:val="20"/>
    </w:rPr>
  </w:style>
  <w:style w:type="paragraph" w:customStyle="1" w:styleId="2708">
    <w:name w:val="档案号"/>
    <w:basedOn w:val="57"/>
    <w:qFormat/>
    <w:uiPriority w:val="0"/>
    <w:pPr>
      <w:pBdr>
        <w:bottom w:val="none" w:color="auto" w:sz="0" w:space="0"/>
      </w:pBdr>
      <w:tabs>
        <w:tab w:val="center" w:pos="4320"/>
        <w:tab w:val="right" w:pos="8640"/>
        <w:tab w:val="clear" w:pos="4153"/>
        <w:tab w:val="clear" w:pos="8306"/>
      </w:tabs>
      <w:snapToGrid/>
      <w:spacing w:line="460" w:lineRule="exact"/>
      <w:jc w:val="right"/>
    </w:pPr>
    <w:rPr>
      <w:rFonts w:ascii="宋体" w:hAnsi="Arial" w:eastAsia="Times New Roman"/>
      <w:spacing w:val="3"/>
      <w:kern w:val="24"/>
      <w:sz w:val="24"/>
      <w:szCs w:val="20"/>
    </w:rPr>
  </w:style>
  <w:style w:type="paragraph" w:customStyle="1" w:styleId="2709">
    <w:name w:val="页号"/>
    <w:basedOn w:val="55"/>
    <w:qFormat/>
    <w:uiPriority w:val="0"/>
    <w:pPr>
      <w:pBdr>
        <w:top w:val="none" w:color="auto" w:sz="0" w:space="0"/>
      </w:pBdr>
      <w:tabs>
        <w:tab w:val="center" w:pos="4320"/>
        <w:tab w:val="right" w:pos="8640"/>
        <w:tab w:val="clear" w:pos="4153"/>
        <w:tab w:val="clear" w:pos="8306"/>
      </w:tabs>
      <w:snapToGrid/>
      <w:ind w:firstLine="0"/>
      <w:jc w:val="center"/>
    </w:pPr>
    <w:rPr>
      <w:rFonts w:ascii="宋体" w:hAnsi="Arial" w:eastAsia="Times New Roman"/>
      <w:spacing w:val="3"/>
      <w:kern w:val="24"/>
      <w:sz w:val="24"/>
      <w:szCs w:val="20"/>
    </w:rPr>
  </w:style>
  <w:style w:type="paragraph" w:customStyle="1" w:styleId="2710">
    <w:name w:val="sms"/>
    <w:basedOn w:val="1"/>
    <w:qFormat/>
    <w:uiPriority w:val="0"/>
    <w:pPr>
      <w:widowControl/>
      <w:overflowPunct w:val="0"/>
      <w:autoSpaceDE w:val="0"/>
      <w:autoSpaceDN w:val="0"/>
      <w:snapToGrid/>
      <w:spacing w:line="360" w:lineRule="auto"/>
      <w:ind w:left="2126" w:right="992" w:firstLine="709" w:firstLineChars="0"/>
    </w:pPr>
    <w:rPr>
      <w:rFonts w:ascii="宋体"/>
      <w:spacing w:val="20"/>
      <w:kern w:val="0"/>
      <w:szCs w:val="20"/>
    </w:rPr>
  </w:style>
  <w:style w:type="paragraph" w:customStyle="1" w:styleId="2711">
    <w:name w:val="zxl正文首行缩进  2 字符 行距: Char Char"/>
    <w:basedOn w:val="1"/>
    <w:qFormat/>
    <w:uiPriority w:val="0"/>
    <w:pPr>
      <w:widowControl/>
      <w:tabs>
        <w:tab w:val="left" w:pos="-1843"/>
        <w:tab w:val="left" w:pos="0"/>
        <w:tab w:val="left" w:pos="1727"/>
        <w:tab w:val="left" w:pos="1884"/>
      </w:tabs>
      <w:adjustRightInd/>
      <w:snapToGrid/>
      <w:spacing w:line="360" w:lineRule="auto"/>
      <w:ind w:firstLine="482" w:firstLineChars="0"/>
      <w:outlineLvl w:val="0"/>
    </w:pPr>
    <w:rPr>
      <w:rFonts w:ascii="宋体" w:hAnsi="宋体"/>
      <w:color w:val="000000"/>
      <w:sz w:val="24"/>
      <w:szCs w:val="20"/>
    </w:rPr>
  </w:style>
  <w:style w:type="paragraph" w:customStyle="1" w:styleId="2712">
    <w:name w:val="自定义缩进"/>
    <w:basedOn w:val="1"/>
    <w:qFormat/>
    <w:uiPriority w:val="0"/>
    <w:pPr>
      <w:adjustRightInd/>
      <w:snapToGrid/>
      <w:spacing w:line="480" w:lineRule="atLeast"/>
      <w:ind w:firstLine="480"/>
    </w:pPr>
    <w:rPr>
      <w:color w:val="FF0000"/>
      <w:sz w:val="24"/>
      <w:szCs w:val="24"/>
    </w:rPr>
  </w:style>
  <w:style w:type="paragraph" w:customStyle="1" w:styleId="2713">
    <w:name w:val="题注+"/>
    <w:basedOn w:val="22"/>
    <w:next w:val="1"/>
    <w:qFormat/>
    <w:uiPriority w:val="0"/>
    <w:pPr>
      <w:keepNext/>
      <w:widowControl/>
      <w:adjustRightInd/>
      <w:snapToGrid/>
      <w:spacing w:line="336" w:lineRule="auto"/>
      <w:outlineLvl w:val="6"/>
    </w:pPr>
    <w:rPr>
      <w:rFonts w:ascii="黑体" w:hAnsi="Arial"/>
      <w:kern w:val="0"/>
      <w:szCs w:val="24"/>
    </w:rPr>
  </w:style>
  <w:style w:type="paragraph" w:customStyle="1" w:styleId="2714">
    <w:name w:val="自定义表格文字居中"/>
    <w:basedOn w:val="1"/>
    <w:qFormat/>
    <w:uiPriority w:val="0"/>
    <w:pPr>
      <w:keepNext/>
      <w:spacing w:line="360" w:lineRule="exact"/>
      <w:ind w:left="5" w:hanging="5" w:firstLineChars="0"/>
      <w:jc w:val="center"/>
      <w:outlineLvl w:val="0"/>
    </w:pPr>
    <w:rPr>
      <w:color w:val="FF0000"/>
      <w:kern w:val="0"/>
      <w:sz w:val="21"/>
      <w:szCs w:val="20"/>
    </w:rPr>
  </w:style>
  <w:style w:type="paragraph" w:customStyle="1" w:styleId="2715">
    <w:name w:val="样式 标题 4标4 + (符号) 宋体"/>
    <w:basedOn w:val="6"/>
    <w:qFormat/>
    <w:uiPriority w:val="0"/>
    <w:pPr>
      <w:keepNext/>
      <w:keepLines/>
      <w:widowControl w:val="0"/>
      <w:numPr>
        <w:ilvl w:val="0"/>
        <w:numId w:val="0"/>
      </w:numPr>
      <w:tabs>
        <w:tab w:val="left" w:pos="360"/>
        <w:tab w:val="clear" w:pos="0"/>
      </w:tabs>
      <w:adjustRightInd/>
      <w:snapToGrid/>
      <w:spacing w:line="336" w:lineRule="auto"/>
      <w:ind w:left="245" w:hanging="245"/>
    </w:pPr>
    <w:rPr>
      <w:rFonts w:ascii="宋体"/>
      <w:bCs w:val="0"/>
      <w:snapToGrid/>
      <w:kern w:val="0"/>
      <w:sz w:val="28"/>
    </w:rPr>
  </w:style>
  <w:style w:type="character" w:customStyle="1" w:styleId="2716">
    <w:name w:val="标题6 Char"/>
    <w:link w:val="606"/>
    <w:qFormat/>
    <w:locked/>
    <w:uiPriority w:val="0"/>
    <w:rPr>
      <w:rFonts w:ascii="Arial Narrow" w:hAnsi="宋体"/>
      <w:kern w:val="2"/>
      <w:sz w:val="24"/>
      <w:szCs w:val="24"/>
    </w:rPr>
  </w:style>
  <w:style w:type="character" w:customStyle="1" w:styleId="2717">
    <w:name w:val="样式 题注 + 首行缩进:  2 字符2 Char"/>
    <w:link w:val="2718"/>
    <w:qFormat/>
    <w:locked/>
    <w:uiPriority w:val="0"/>
    <w:rPr>
      <w:sz w:val="24"/>
    </w:rPr>
  </w:style>
  <w:style w:type="paragraph" w:customStyle="1" w:styleId="2718">
    <w:name w:val="样式 题注 + 首行缩进:  2 字符2"/>
    <w:basedOn w:val="22"/>
    <w:link w:val="2717"/>
    <w:qFormat/>
    <w:uiPriority w:val="0"/>
    <w:pPr>
      <w:keepNext/>
      <w:ind w:firstLine="480"/>
      <w:jc w:val="both"/>
    </w:pPr>
    <w:rPr>
      <w:rFonts w:ascii="Calibri" w:hAnsi="Calibri" w:eastAsia="宋体"/>
      <w:kern w:val="0"/>
    </w:rPr>
  </w:style>
  <w:style w:type="paragraph" w:customStyle="1" w:styleId="2719">
    <w:name w:val="样式 表格文字居中 + 行距: 单倍行距"/>
    <w:basedOn w:val="1"/>
    <w:qFormat/>
    <w:uiPriority w:val="0"/>
    <w:pPr>
      <w:keepNext/>
      <w:tabs>
        <w:tab w:val="left" w:pos="628"/>
        <w:tab w:val="left" w:pos="1727"/>
        <w:tab w:val="left" w:pos="1884"/>
      </w:tabs>
      <w:spacing w:beforeLines="10" w:line="240" w:lineRule="auto"/>
      <w:ind w:firstLine="0" w:firstLineChars="0"/>
      <w:jc w:val="center"/>
    </w:pPr>
    <w:rPr>
      <w:rFonts w:ascii="宋体" w:hAnsi="宋体" w:cs="宋体"/>
      <w:color w:val="FF0000"/>
      <w:kern w:val="0"/>
      <w:sz w:val="21"/>
      <w:szCs w:val="21"/>
    </w:rPr>
  </w:style>
  <w:style w:type="character" w:customStyle="1" w:styleId="2720">
    <w:name w:val="样式 表格备注 Char"/>
    <w:link w:val="2721"/>
    <w:qFormat/>
    <w:locked/>
    <w:uiPriority w:val="0"/>
    <w:rPr>
      <w:rFonts w:ascii="宋体" w:hAnsi="宋体" w:eastAsia="楷体_GB2312"/>
      <w:sz w:val="24"/>
    </w:rPr>
  </w:style>
  <w:style w:type="paragraph" w:customStyle="1" w:styleId="2721">
    <w:name w:val="样式 表格备注"/>
    <w:basedOn w:val="1"/>
    <w:link w:val="2720"/>
    <w:qFormat/>
    <w:uiPriority w:val="0"/>
    <w:pPr>
      <w:keepNext/>
      <w:tabs>
        <w:tab w:val="left" w:pos="628"/>
        <w:tab w:val="left" w:pos="1727"/>
        <w:tab w:val="left" w:pos="1884"/>
        <w:tab w:val="left" w:pos="4325"/>
        <w:tab w:val="left" w:pos="4900"/>
      </w:tabs>
      <w:spacing w:line="360" w:lineRule="auto"/>
      <w:ind w:firstLine="480"/>
    </w:pPr>
    <w:rPr>
      <w:rFonts w:ascii="宋体" w:hAnsi="宋体" w:eastAsia="楷体_GB2312"/>
      <w:kern w:val="0"/>
      <w:sz w:val="24"/>
      <w:szCs w:val="20"/>
    </w:rPr>
  </w:style>
  <w:style w:type="paragraph" w:customStyle="1" w:styleId="2722">
    <w:name w:val="Char6 Char Char Char Char Char Char Char Char Char"/>
    <w:basedOn w:val="1"/>
    <w:qFormat/>
    <w:uiPriority w:val="0"/>
    <w:pPr>
      <w:adjustRightInd/>
      <w:snapToGrid/>
      <w:spacing w:line="240" w:lineRule="auto"/>
      <w:ind w:firstLine="0" w:firstLineChars="0"/>
      <w:jc w:val="both"/>
    </w:pPr>
    <w:rPr>
      <w:rFonts w:ascii="宋体" w:hAnsi="宋体"/>
      <w:color w:val="000000"/>
      <w:sz w:val="28"/>
      <w:szCs w:val="20"/>
    </w:rPr>
  </w:style>
  <w:style w:type="character" w:customStyle="1" w:styleId="2723">
    <w:name w:val="z-窗体顶端 Char"/>
    <w:link w:val="2724"/>
    <w:qFormat/>
    <w:locked/>
    <w:uiPriority w:val="0"/>
    <w:rPr>
      <w:rFonts w:ascii="Arial" w:hAnsi="Arial"/>
      <w:vanish/>
      <w:sz w:val="16"/>
      <w:szCs w:val="16"/>
    </w:rPr>
  </w:style>
  <w:style w:type="paragraph" w:customStyle="1" w:styleId="2724">
    <w:name w:val="z-窗体顶端1"/>
    <w:basedOn w:val="1"/>
    <w:next w:val="1"/>
    <w:link w:val="2723"/>
    <w:qFormat/>
    <w:uiPriority w:val="0"/>
    <w:pPr>
      <w:widowControl/>
      <w:pBdr>
        <w:bottom w:val="single" w:color="auto" w:sz="6" w:space="1"/>
      </w:pBdr>
      <w:adjustRightInd/>
      <w:snapToGrid/>
      <w:spacing w:line="240" w:lineRule="auto"/>
      <w:ind w:firstLine="0" w:firstLineChars="0"/>
      <w:jc w:val="center"/>
    </w:pPr>
    <w:rPr>
      <w:rFonts w:ascii="Arial" w:hAnsi="Arial"/>
      <w:vanish/>
      <w:kern w:val="0"/>
      <w:sz w:val="16"/>
      <w:szCs w:val="16"/>
    </w:rPr>
  </w:style>
  <w:style w:type="character" w:customStyle="1" w:styleId="2725">
    <w:name w:val="z-窗体底端 Char"/>
    <w:link w:val="2726"/>
    <w:qFormat/>
    <w:locked/>
    <w:uiPriority w:val="0"/>
    <w:rPr>
      <w:rFonts w:ascii="Arial" w:hAnsi="Arial"/>
      <w:vanish/>
      <w:sz w:val="16"/>
      <w:szCs w:val="16"/>
    </w:rPr>
  </w:style>
  <w:style w:type="paragraph" w:customStyle="1" w:styleId="2726">
    <w:name w:val="z-窗体底端1"/>
    <w:basedOn w:val="1"/>
    <w:next w:val="1"/>
    <w:link w:val="2725"/>
    <w:qFormat/>
    <w:uiPriority w:val="0"/>
    <w:pPr>
      <w:widowControl/>
      <w:pBdr>
        <w:top w:val="single" w:color="auto" w:sz="6" w:space="0"/>
      </w:pBdr>
      <w:adjustRightInd/>
      <w:snapToGrid/>
      <w:spacing w:line="240" w:lineRule="auto"/>
      <w:ind w:firstLine="0" w:firstLineChars="0"/>
      <w:jc w:val="center"/>
    </w:pPr>
    <w:rPr>
      <w:rFonts w:ascii="Arial" w:hAnsi="Arial"/>
      <w:vanish/>
      <w:kern w:val="0"/>
      <w:sz w:val="16"/>
      <w:szCs w:val="16"/>
    </w:rPr>
  </w:style>
  <w:style w:type="paragraph" w:customStyle="1" w:styleId="2727">
    <w:name w:val="样式 正文首行缩进 + 首行缩进:  2 字符1"/>
    <w:basedOn w:val="86"/>
    <w:qFormat/>
    <w:uiPriority w:val="0"/>
    <w:pPr>
      <w:spacing w:after="0" w:line="360" w:lineRule="auto"/>
      <w:ind w:firstLine="480" w:firstLineChars="200"/>
    </w:pPr>
    <w:rPr>
      <w:rFonts w:eastAsia="Times New Roman"/>
      <w:color w:val="auto"/>
      <w:kern w:val="0"/>
      <w:lang w:val="zh-CN"/>
    </w:rPr>
  </w:style>
  <w:style w:type="paragraph" w:customStyle="1" w:styleId="2728">
    <w:name w:val="样式 标题 4标题 4 Char Char + 两端对齐 左侧:  0 厘米 段前: 0 磅 段后: 0 磅"/>
    <w:basedOn w:val="6"/>
    <w:qFormat/>
    <w:uiPriority w:val="0"/>
    <w:pPr>
      <w:keepNext/>
      <w:keepLines/>
      <w:widowControl w:val="0"/>
      <w:numPr>
        <w:ilvl w:val="0"/>
        <w:numId w:val="0"/>
      </w:numPr>
      <w:tabs>
        <w:tab w:val="left" w:pos="2160"/>
        <w:tab w:val="left" w:pos="4500"/>
        <w:tab w:val="clear" w:pos="0"/>
      </w:tabs>
      <w:adjustRightInd/>
      <w:spacing w:line="440" w:lineRule="atLeast"/>
      <w:ind w:left="2160" w:hanging="420"/>
      <w:jc w:val="both"/>
    </w:pPr>
    <w:rPr>
      <w:rFonts w:ascii="Arial" w:hAnsi="Arial" w:eastAsia="黑体" w:cs="宋体"/>
      <w:bCs w:val="0"/>
      <w:snapToGrid/>
      <w:kern w:val="0"/>
      <w:sz w:val="24"/>
      <w:szCs w:val="20"/>
    </w:rPr>
  </w:style>
  <w:style w:type="paragraph" w:customStyle="1" w:styleId="2729">
    <w:name w:val="样式 标题 3标题 3 Char Char标题 3 Char Char Char Char Char标题 3 Char C...3"/>
    <w:basedOn w:val="5"/>
    <w:qFormat/>
    <w:uiPriority w:val="0"/>
    <w:pPr>
      <w:keepNext/>
      <w:keepLines/>
      <w:widowControl w:val="0"/>
      <w:tabs>
        <w:tab w:val="left" w:pos="4500"/>
        <w:tab w:val="clear" w:pos="0"/>
      </w:tabs>
      <w:spacing w:before="62" w:after="62" w:line="400" w:lineRule="exact"/>
    </w:pPr>
    <w:rPr>
      <w:rFonts w:cs="宋体"/>
      <w:snapToGrid/>
      <w:kern w:val="0"/>
      <w:szCs w:val="24"/>
    </w:rPr>
  </w:style>
  <w:style w:type="paragraph" w:customStyle="1" w:styleId="2730">
    <w:name w:val="ljw表格"/>
    <w:basedOn w:val="1"/>
    <w:next w:val="1"/>
    <w:qFormat/>
    <w:uiPriority w:val="0"/>
    <w:pPr>
      <w:spacing w:beforeLines="25" w:line="240" w:lineRule="auto"/>
      <w:ind w:firstLine="0" w:firstLineChars="0"/>
      <w:jc w:val="center"/>
    </w:pPr>
    <w:rPr>
      <w:rFonts w:ascii="宋体" w:hAnsi="宋体"/>
      <w:bCs/>
      <w:sz w:val="22"/>
      <w:szCs w:val="28"/>
    </w:rPr>
  </w:style>
  <w:style w:type="paragraph" w:customStyle="1" w:styleId="2731">
    <w:name w:val="ljw正文"/>
    <w:basedOn w:val="1"/>
    <w:qFormat/>
    <w:uiPriority w:val="0"/>
    <w:pPr>
      <w:spacing w:line="300" w:lineRule="auto"/>
      <w:ind w:firstLine="480"/>
      <w:jc w:val="both"/>
    </w:pPr>
    <w:rPr>
      <w:rFonts w:ascii="宋体" w:hAnsi="宋体"/>
      <w:bCs/>
      <w:sz w:val="24"/>
      <w:szCs w:val="28"/>
    </w:rPr>
  </w:style>
  <w:style w:type="paragraph" w:customStyle="1" w:styleId="2732">
    <w:name w:val="Sun"/>
    <w:basedOn w:val="1"/>
    <w:qFormat/>
    <w:uiPriority w:val="0"/>
    <w:pPr>
      <w:snapToGrid/>
      <w:spacing w:line="360" w:lineRule="auto"/>
      <w:ind w:firstLine="567" w:firstLineChars="0"/>
      <w:jc w:val="both"/>
    </w:pPr>
    <w:rPr>
      <w:kern w:val="28"/>
      <w:sz w:val="28"/>
      <w:szCs w:val="20"/>
    </w:rPr>
  </w:style>
  <w:style w:type="paragraph" w:customStyle="1" w:styleId="2733">
    <w:name w:val="ljw子标题"/>
    <w:basedOn w:val="1"/>
    <w:next w:val="34"/>
    <w:qFormat/>
    <w:uiPriority w:val="0"/>
    <w:pPr>
      <w:spacing w:beforeLines="50" w:line="240" w:lineRule="auto"/>
      <w:ind w:firstLine="0" w:firstLineChars="0"/>
    </w:pPr>
    <w:rPr>
      <w:rFonts w:ascii="宋体" w:hAnsi="宋体"/>
      <w:b/>
      <w:sz w:val="24"/>
      <w:szCs w:val="28"/>
    </w:rPr>
  </w:style>
  <w:style w:type="character" w:customStyle="1" w:styleId="2734">
    <w:name w:val="表1 Char"/>
    <w:link w:val="487"/>
    <w:qFormat/>
    <w:locked/>
    <w:uiPriority w:val="0"/>
    <w:rPr>
      <w:rFonts w:ascii="Times New Roman" w:hAnsi="Times New Roman"/>
      <w:sz w:val="21"/>
    </w:rPr>
  </w:style>
  <w:style w:type="paragraph" w:customStyle="1" w:styleId="2735">
    <w:name w:val="ch中文正文"/>
    <w:qFormat/>
    <w:uiPriority w:val="0"/>
    <w:pPr>
      <w:spacing w:beforeLines="50" w:line="360" w:lineRule="auto"/>
      <w:ind w:firstLine="200" w:firstLineChars="200"/>
    </w:pPr>
    <w:rPr>
      <w:rFonts w:ascii="Times New Roman" w:hAnsi="Times New Roman" w:eastAsia="宋体" w:cs="Times New Roman"/>
      <w:sz w:val="24"/>
      <w:lang w:val="en-US" w:eastAsia="zh-CN" w:bidi="ar-SA"/>
    </w:rPr>
  </w:style>
  <w:style w:type="paragraph" w:customStyle="1" w:styleId="2736">
    <w:name w:val="样式 样式 蓝色 首行缩进:  1 厘米 行距: 固定值 25 磅 + 首行缩进:  2 字符"/>
    <w:basedOn w:val="1"/>
    <w:qFormat/>
    <w:uiPriority w:val="0"/>
    <w:pPr>
      <w:adjustRightInd/>
      <w:snapToGrid/>
      <w:spacing w:line="500" w:lineRule="exact"/>
      <w:ind w:firstLine="560"/>
      <w:jc w:val="both"/>
    </w:pPr>
    <w:rPr>
      <w:rFonts w:cs="宋体"/>
      <w:sz w:val="28"/>
      <w:szCs w:val="20"/>
    </w:rPr>
  </w:style>
  <w:style w:type="paragraph" w:customStyle="1" w:styleId="2737">
    <w:name w:val="样式 首行缩进:  2 字符10"/>
    <w:basedOn w:val="1"/>
    <w:qFormat/>
    <w:uiPriority w:val="0"/>
    <w:pPr>
      <w:adjustRightInd/>
      <w:snapToGrid/>
      <w:spacing w:line="520" w:lineRule="exact"/>
      <w:ind w:firstLine="560"/>
      <w:jc w:val="both"/>
    </w:pPr>
    <w:rPr>
      <w:rFonts w:cs="宋体"/>
      <w:sz w:val="24"/>
      <w:szCs w:val="20"/>
    </w:rPr>
  </w:style>
  <w:style w:type="paragraph" w:customStyle="1" w:styleId="2738">
    <w:name w:val="样式 正文（首行缩进两字） Char1标题4 + 宋体 小四 首行缩进:  0.85 厘米"/>
    <w:basedOn w:val="1"/>
    <w:qFormat/>
    <w:uiPriority w:val="0"/>
    <w:pPr>
      <w:snapToGrid/>
      <w:spacing w:line="440" w:lineRule="atLeast"/>
      <w:ind w:firstLine="482" w:firstLineChars="0"/>
      <w:jc w:val="both"/>
    </w:pPr>
    <w:rPr>
      <w:rFonts w:ascii="宋体" w:hAnsi="宋体" w:cs="宋体"/>
      <w:kern w:val="0"/>
      <w:sz w:val="24"/>
      <w:szCs w:val="20"/>
    </w:rPr>
  </w:style>
  <w:style w:type="paragraph" w:customStyle="1" w:styleId="2739">
    <w:name w:val="样式 正文（首行缩进两字） Char1标题4 + (符号) 宋体 小四 首行缩进:  0.85 厘米"/>
    <w:basedOn w:val="1"/>
    <w:qFormat/>
    <w:uiPriority w:val="0"/>
    <w:pPr>
      <w:snapToGrid/>
      <w:spacing w:line="440" w:lineRule="atLeast"/>
      <w:ind w:firstLine="482" w:firstLineChars="0"/>
      <w:jc w:val="both"/>
    </w:pPr>
    <w:rPr>
      <w:rFonts w:hAnsi="宋体" w:cs="宋体"/>
      <w:kern w:val="0"/>
      <w:sz w:val="24"/>
      <w:szCs w:val="20"/>
    </w:rPr>
  </w:style>
  <w:style w:type="paragraph" w:customStyle="1" w:styleId="2740">
    <w:name w:val="样式 标题 2节标题 1.1b21.1标题2b21 Char1.1标题2 Char标题 21节标题 1.11b2..."/>
    <w:basedOn w:val="4"/>
    <w:qFormat/>
    <w:uiPriority w:val="0"/>
    <w:pPr>
      <w:keepNext/>
      <w:keepLines/>
      <w:tabs>
        <w:tab w:val="left" w:pos="576"/>
      </w:tabs>
      <w:snapToGrid/>
      <w:spacing w:beforeLines="0" w:afterLines="0" w:line="480" w:lineRule="auto"/>
    </w:pPr>
    <w:rPr>
      <w:rFonts w:ascii="黑体" w:cs="宋体"/>
      <w:b w:val="0"/>
      <w:snapToGrid/>
      <w:kern w:val="0"/>
      <w:szCs w:val="28"/>
    </w:rPr>
  </w:style>
  <w:style w:type="paragraph" w:customStyle="1" w:styleId="2741">
    <w:name w:val="样式 题注 + (西文) Times New Roman (中文) 宋体 小四 加粗 黑色 居中 段前: 3 磅 ..."/>
    <w:basedOn w:val="22"/>
    <w:qFormat/>
    <w:uiPriority w:val="0"/>
    <w:pPr>
      <w:snapToGrid/>
      <w:spacing w:afterLines="100" w:line="360" w:lineRule="auto"/>
    </w:pPr>
    <w:rPr>
      <w:rFonts w:ascii="Times New Roman" w:hAnsi="Times New Roman" w:eastAsia="Times New Roman" w:cs="宋体"/>
      <w:b/>
      <w:bCs/>
      <w:color w:val="000000"/>
      <w:kern w:val="0"/>
    </w:rPr>
  </w:style>
  <w:style w:type="paragraph" w:customStyle="1" w:styleId="2742">
    <w:name w:val="样式 正文首行缩进 + 首行缩进:  0 厘米"/>
    <w:basedOn w:val="86"/>
    <w:qFormat/>
    <w:uiPriority w:val="0"/>
    <w:pPr>
      <w:spacing w:after="0" w:line="240" w:lineRule="exact"/>
      <w:ind w:firstLine="0" w:firstLineChars="0"/>
      <w:jc w:val="left"/>
    </w:pPr>
    <w:rPr>
      <w:rFonts w:ascii="宋体" w:hAnsi="宋体" w:eastAsia="Times New Roman" w:cs="宋体"/>
      <w:color w:val="auto"/>
      <w:kern w:val="0"/>
      <w:szCs w:val="20"/>
    </w:rPr>
  </w:style>
  <w:style w:type="character" w:customStyle="1" w:styleId="2743">
    <w:name w:val="样式 正文文本缩进 2正文文字缩进 2 + 四号 蓝色 Char Char Char Char Char Char Char Char"/>
    <w:link w:val="2744"/>
    <w:qFormat/>
    <w:locked/>
    <w:uiPriority w:val="0"/>
    <w:rPr>
      <w:color w:val="0000FF"/>
      <w:sz w:val="24"/>
      <w:szCs w:val="24"/>
    </w:rPr>
  </w:style>
  <w:style w:type="paragraph" w:customStyle="1" w:styleId="2744">
    <w:name w:val="样式 正文文本缩进 2正文文字缩进 2 + 四号 蓝色 Char Char Char Char Char Char Char"/>
    <w:basedOn w:val="51"/>
    <w:link w:val="2743"/>
    <w:qFormat/>
    <w:uiPriority w:val="0"/>
    <w:pPr>
      <w:adjustRightInd w:val="0"/>
      <w:spacing w:beforeLines="0" w:afterLines="0" w:line="480" w:lineRule="exact"/>
      <w:ind w:left="0" w:leftChars="0" w:firstLine="709" w:firstLineChars="0"/>
    </w:pPr>
    <w:rPr>
      <w:rFonts w:ascii="Calibri" w:hAnsi="Calibri"/>
      <w:color w:val="0000FF"/>
      <w:kern w:val="0"/>
    </w:rPr>
  </w:style>
  <w:style w:type="paragraph" w:customStyle="1" w:styleId="2745">
    <w:name w:val="样式 正文文本缩进 2正文文字缩进 2 + 四号 蓝色 Char Char Char Char Char"/>
    <w:basedOn w:val="51"/>
    <w:qFormat/>
    <w:uiPriority w:val="0"/>
    <w:pPr>
      <w:adjustRightInd w:val="0"/>
      <w:spacing w:beforeLines="0" w:afterLines="0" w:line="480" w:lineRule="exact"/>
      <w:ind w:left="0" w:leftChars="0" w:firstLine="709" w:firstLineChars="0"/>
    </w:pPr>
    <w:rPr>
      <w:rFonts w:eastAsia="Times New Roman"/>
      <w:color w:val="0000FF"/>
      <w:kern w:val="0"/>
    </w:rPr>
  </w:style>
  <w:style w:type="paragraph" w:customStyle="1" w:styleId="2746">
    <w:name w:val="样式 标题 4款标题1.1.1.1标题 4 Char标题 4 Char CharL4 + 宋体 小四 非加粗"/>
    <w:basedOn w:val="6"/>
    <w:qFormat/>
    <w:uiPriority w:val="0"/>
    <w:pPr>
      <w:keepNext/>
      <w:keepLines/>
      <w:widowControl w:val="0"/>
      <w:numPr>
        <w:ilvl w:val="0"/>
        <w:numId w:val="0"/>
      </w:numPr>
      <w:tabs>
        <w:tab w:val="left" w:pos="1134"/>
        <w:tab w:val="left" w:pos="1630"/>
        <w:tab w:val="clear" w:pos="0"/>
      </w:tabs>
      <w:adjustRightInd/>
      <w:snapToGrid/>
      <w:spacing w:before="120" w:after="120" w:line="376" w:lineRule="auto"/>
      <w:jc w:val="both"/>
    </w:pPr>
    <w:rPr>
      <w:rFonts w:ascii="宋体" w:hAnsi="宋体"/>
      <w:bCs w:val="0"/>
      <w:snapToGrid/>
      <w:kern w:val="0"/>
      <w:sz w:val="24"/>
      <w:szCs w:val="24"/>
    </w:rPr>
  </w:style>
  <w:style w:type="paragraph" w:customStyle="1" w:styleId="2747">
    <w:name w:val="样式 标题 4款标题1.1.1.1标题 4 Char标题 4 Char CharL4 + 宋体 小四 非加粗1"/>
    <w:basedOn w:val="6"/>
    <w:qFormat/>
    <w:uiPriority w:val="0"/>
    <w:pPr>
      <w:keepNext/>
      <w:keepLines/>
      <w:widowControl w:val="0"/>
      <w:numPr>
        <w:ilvl w:val="0"/>
        <w:numId w:val="0"/>
      </w:numPr>
      <w:tabs>
        <w:tab w:val="left" w:pos="1134"/>
        <w:tab w:val="left" w:pos="1630"/>
        <w:tab w:val="clear" w:pos="0"/>
      </w:tabs>
      <w:adjustRightInd/>
      <w:snapToGrid/>
      <w:spacing w:beforeLines="50" w:line="376" w:lineRule="auto"/>
      <w:jc w:val="both"/>
    </w:pPr>
    <w:rPr>
      <w:rFonts w:ascii="宋体" w:hAnsi="宋体"/>
      <w:bCs w:val="0"/>
      <w:snapToGrid/>
      <w:kern w:val="0"/>
      <w:sz w:val="24"/>
    </w:rPr>
  </w:style>
  <w:style w:type="paragraph" w:customStyle="1" w:styleId="2748">
    <w:name w:val="样式 样式 标题 4款标题1.1.1.1标题 4 Char标题 4 Char CharL4 + 宋体 小四 非加粗1 + 段前:..."/>
    <w:basedOn w:val="2747"/>
    <w:qFormat/>
    <w:uiPriority w:val="0"/>
    <w:rPr>
      <w:rFonts w:cs="宋体"/>
      <w:szCs w:val="20"/>
    </w:rPr>
  </w:style>
  <w:style w:type="paragraph" w:customStyle="1" w:styleId="2749">
    <w:name w:val="表内文字大"/>
    <w:basedOn w:val="1"/>
    <w:qFormat/>
    <w:uiPriority w:val="0"/>
    <w:pPr>
      <w:spacing w:line="240" w:lineRule="auto"/>
      <w:ind w:left="-25" w:firstLine="0" w:firstLineChars="0"/>
      <w:jc w:val="both"/>
    </w:pPr>
    <w:rPr>
      <w:sz w:val="21"/>
      <w:szCs w:val="21"/>
    </w:rPr>
  </w:style>
  <w:style w:type="paragraph" w:customStyle="1" w:styleId="2750">
    <w:name w:val="表内小4"/>
    <w:basedOn w:val="2749"/>
    <w:qFormat/>
    <w:uiPriority w:val="0"/>
    <w:pPr>
      <w:ind w:left="240" w:hanging="240"/>
    </w:pPr>
    <w:rPr>
      <w:sz w:val="18"/>
      <w:szCs w:val="18"/>
    </w:rPr>
  </w:style>
  <w:style w:type="paragraph" w:customStyle="1" w:styleId="2751">
    <w:name w:val="表内文字小"/>
    <w:basedOn w:val="1"/>
    <w:qFormat/>
    <w:uiPriority w:val="0"/>
    <w:pPr>
      <w:spacing w:line="240" w:lineRule="auto"/>
      <w:ind w:firstLine="0" w:firstLineChars="0"/>
      <w:jc w:val="center"/>
    </w:pPr>
    <w:rPr>
      <w:sz w:val="18"/>
      <w:szCs w:val="18"/>
    </w:rPr>
  </w:style>
  <w:style w:type="paragraph" w:customStyle="1" w:styleId="2752">
    <w:name w:val="4级样式"/>
    <w:basedOn w:val="6"/>
    <w:qFormat/>
    <w:uiPriority w:val="0"/>
    <w:pPr>
      <w:keepNext/>
      <w:keepLines/>
      <w:widowControl w:val="0"/>
      <w:numPr>
        <w:ilvl w:val="0"/>
        <w:numId w:val="0"/>
      </w:numPr>
      <w:tabs>
        <w:tab w:val="left" w:pos="1080"/>
        <w:tab w:val="clear" w:pos="0"/>
      </w:tabs>
      <w:adjustRightInd/>
      <w:snapToGrid/>
      <w:spacing w:before="120" w:after="120" w:line="360" w:lineRule="auto"/>
      <w:ind w:left="1080" w:hanging="1080"/>
      <w:jc w:val="both"/>
    </w:pPr>
    <w:rPr>
      <w:rFonts w:eastAsia="黑体" w:cs="宋体"/>
      <w:bCs w:val="0"/>
      <w:snapToGrid/>
      <w:kern w:val="0"/>
      <w:sz w:val="24"/>
      <w:szCs w:val="24"/>
    </w:rPr>
  </w:style>
  <w:style w:type="paragraph" w:customStyle="1" w:styleId="2753">
    <w:name w:val="3 级样式"/>
    <w:basedOn w:val="5"/>
    <w:qFormat/>
    <w:uiPriority w:val="0"/>
    <w:pPr>
      <w:keepNext/>
      <w:keepLines/>
      <w:widowControl w:val="0"/>
      <w:tabs>
        <w:tab w:val="left" w:pos="720"/>
        <w:tab w:val="clear" w:pos="0"/>
      </w:tabs>
      <w:adjustRightInd/>
      <w:snapToGrid/>
      <w:spacing w:beforeLines="20" w:afterLines="30"/>
      <w:ind w:left="720" w:hanging="720"/>
    </w:pPr>
    <w:rPr>
      <w:rFonts w:eastAsia="黑体" w:cs="宋体"/>
      <w:b w:val="0"/>
      <w:bCs/>
      <w:snapToGrid/>
      <w:color w:val="000000"/>
      <w:kern w:val="28"/>
      <w:szCs w:val="28"/>
    </w:rPr>
  </w:style>
  <w:style w:type="paragraph" w:customStyle="1" w:styleId="2754">
    <w:name w:val="2 级样式"/>
    <w:basedOn w:val="4"/>
    <w:qFormat/>
    <w:uiPriority w:val="0"/>
    <w:pPr>
      <w:keepNext/>
      <w:keepLines/>
      <w:widowControl w:val="0"/>
      <w:tabs>
        <w:tab w:val="left" w:pos="927"/>
        <w:tab w:val="left" w:pos="1134"/>
        <w:tab w:val="clear" w:pos="0"/>
      </w:tabs>
      <w:snapToGrid/>
      <w:spacing w:beforeLines="30" w:afterLines="30" w:line="360" w:lineRule="auto"/>
      <w:ind w:left="840" w:hanging="720"/>
    </w:pPr>
    <w:rPr>
      <w:rFonts w:cs="宋体"/>
      <w:b w:val="0"/>
      <w:bCs w:val="0"/>
      <w:snapToGrid/>
      <w:color w:val="003300"/>
      <w:kern w:val="0"/>
      <w:szCs w:val="30"/>
    </w:rPr>
  </w:style>
  <w:style w:type="paragraph" w:customStyle="1" w:styleId="2755">
    <w:name w:val="样式 标题 22级样式 + 段前: 0.3 行 段后: 0.3 行1"/>
    <w:basedOn w:val="4"/>
    <w:qFormat/>
    <w:uiPriority w:val="0"/>
    <w:pPr>
      <w:keepNext/>
      <w:keepLines/>
      <w:widowControl w:val="0"/>
      <w:tabs>
        <w:tab w:val="left" w:pos="927"/>
        <w:tab w:val="left" w:pos="1134"/>
        <w:tab w:val="clear" w:pos="0"/>
      </w:tabs>
      <w:snapToGrid/>
      <w:spacing w:beforeLines="30" w:afterLines="30" w:line="360" w:lineRule="auto"/>
    </w:pPr>
    <w:rPr>
      <w:rFonts w:cs="宋体"/>
      <w:b w:val="0"/>
      <w:bCs w:val="0"/>
      <w:snapToGrid/>
      <w:color w:val="003300"/>
      <w:kern w:val="0"/>
      <w:szCs w:val="20"/>
    </w:rPr>
  </w:style>
  <w:style w:type="paragraph" w:customStyle="1" w:styleId="2756">
    <w:name w:val="1级样式."/>
    <w:basedOn w:val="1"/>
    <w:qFormat/>
    <w:uiPriority w:val="0"/>
    <w:pPr>
      <w:keepNext/>
      <w:keepLines/>
      <w:widowControl/>
      <w:adjustRightInd/>
      <w:snapToGrid/>
      <w:spacing w:beforeLines="50" w:line="360" w:lineRule="auto"/>
      <w:ind w:firstLine="0" w:firstLineChars="0"/>
      <w:outlineLvl w:val="0"/>
    </w:pPr>
    <w:rPr>
      <w:rFonts w:eastAsia="黑体"/>
      <w:color w:val="000000"/>
      <w:kern w:val="44"/>
      <w:sz w:val="36"/>
      <w:szCs w:val="36"/>
    </w:rPr>
  </w:style>
  <w:style w:type="paragraph" w:customStyle="1" w:styleId="2757">
    <w:name w:val="样式 样式2 + 首行缩进:  2 字符"/>
    <w:basedOn w:val="1"/>
    <w:qFormat/>
    <w:uiPriority w:val="0"/>
    <w:pPr>
      <w:spacing w:line="360" w:lineRule="auto"/>
      <w:ind w:firstLine="0" w:firstLineChars="0"/>
      <w:jc w:val="both"/>
    </w:pPr>
    <w:rPr>
      <w:rFonts w:ascii="宋体" w:hAnsi="宋体" w:cs="宋体"/>
      <w:b/>
      <w:sz w:val="28"/>
      <w:szCs w:val="28"/>
    </w:rPr>
  </w:style>
  <w:style w:type="paragraph" w:customStyle="1" w:styleId="2758">
    <w:name w:val="Char6 Char Char Char Char Char Char Char Char Char1"/>
    <w:basedOn w:val="1"/>
    <w:qFormat/>
    <w:uiPriority w:val="0"/>
    <w:pPr>
      <w:adjustRightInd/>
      <w:snapToGrid/>
      <w:spacing w:line="240" w:lineRule="auto"/>
      <w:ind w:firstLine="0" w:firstLineChars="0"/>
      <w:jc w:val="both"/>
    </w:pPr>
    <w:rPr>
      <w:rFonts w:ascii="宋体" w:hAnsi="宋体"/>
      <w:color w:val="000000"/>
      <w:sz w:val="28"/>
      <w:szCs w:val="20"/>
    </w:rPr>
  </w:style>
  <w:style w:type="paragraph" w:customStyle="1" w:styleId="2759">
    <w:name w:val="页眉中"/>
    <w:basedOn w:val="1"/>
    <w:qFormat/>
    <w:uiPriority w:val="0"/>
    <w:pPr>
      <w:spacing w:line="300" w:lineRule="auto"/>
      <w:ind w:firstLine="0" w:firstLineChars="0"/>
    </w:pPr>
    <w:rPr>
      <w:rFonts w:ascii="黑体" w:eastAsia="黑体"/>
      <w:bCs/>
      <w:sz w:val="24"/>
      <w:szCs w:val="20"/>
    </w:rPr>
  </w:style>
  <w:style w:type="paragraph" w:customStyle="1" w:styleId="2760">
    <w:name w:val="等核实"/>
    <w:basedOn w:val="35"/>
    <w:qFormat/>
    <w:uiPriority w:val="0"/>
    <w:pPr>
      <w:tabs>
        <w:tab w:val="left" w:pos="4305"/>
      </w:tabs>
      <w:spacing w:line="300" w:lineRule="auto"/>
      <w:ind w:firstLine="567"/>
    </w:pPr>
    <w:rPr>
      <w:rFonts w:ascii="宋体" w:hAnsi="宋体" w:eastAsia="Times New Roman"/>
      <w:color w:val="0000FF"/>
      <w:kern w:val="0"/>
      <w:sz w:val="28"/>
      <w:szCs w:val="20"/>
    </w:rPr>
  </w:style>
  <w:style w:type="paragraph" w:customStyle="1" w:styleId="2761">
    <w:name w:val="待定小"/>
    <w:basedOn w:val="2751"/>
    <w:qFormat/>
    <w:uiPriority w:val="0"/>
    <w:rPr>
      <w:rFonts w:ascii="宋体" w:hAnsi="Times"/>
      <w:color w:val="0000FF"/>
      <w:sz w:val="21"/>
      <w:szCs w:val="20"/>
    </w:rPr>
  </w:style>
  <w:style w:type="paragraph" w:customStyle="1" w:styleId="2762">
    <w:name w:val="题图"/>
    <w:basedOn w:val="1"/>
    <w:qFormat/>
    <w:uiPriority w:val="0"/>
    <w:pPr>
      <w:spacing w:line="240" w:lineRule="auto"/>
      <w:ind w:firstLine="0" w:firstLineChars="0"/>
      <w:jc w:val="center"/>
    </w:pPr>
    <w:rPr>
      <w:rFonts w:ascii="宋体"/>
      <w:sz w:val="28"/>
      <w:szCs w:val="24"/>
    </w:rPr>
  </w:style>
  <w:style w:type="paragraph" w:customStyle="1" w:styleId="2763">
    <w:name w:val="表内宋5"/>
    <w:basedOn w:val="81"/>
    <w:qFormat/>
    <w:uiPriority w:val="0"/>
    <w:pPr>
      <w:adjustRightInd w:val="0"/>
      <w:snapToGrid w:val="0"/>
      <w:spacing w:before="100"/>
      <w:jc w:val="both"/>
    </w:pPr>
    <w:rPr>
      <w:color w:val="000000"/>
      <w:sz w:val="21"/>
    </w:rPr>
  </w:style>
  <w:style w:type="paragraph" w:customStyle="1" w:styleId="2764">
    <w:name w:val="样式 标题 2 + 段前: 0.3 行 段后: 0.3 行"/>
    <w:basedOn w:val="4"/>
    <w:qFormat/>
    <w:uiPriority w:val="0"/>
    <w:pPr>
      <w:keepNext/>
      <w:keepLines/>
      <w:tabs>
        <w:tab w:val="left" w:pos="927"/>
        <w:tab w:val="left" w:pos="1134"/>
        <w:tab w:val="clear" w:pos="0"/>
      </w:tabs>
      <w:spacing w:beforeLines="0" w:afterLines="0"/>
      <w:jc w:val="both"/>
    </w:pPr>
    <w:rPr>
      <w:rFonts w:cs="宋体"/>
      <w:snapToGrid/>
      <w:kern w:val="0"/>
      <w:szCs w:val="20"/>
    </w:rPr>
  </w:style>
  <w:style w:type="paragraph" w:customStyle="1" w:styleId="2765">
    <w:name w:val="标题 2 + 段前: 0.3 行 段后: 0.3 行1"/>
    <w:basedOn w:val="4"/>
    <w:next w:val="1"/>
    <w:qFormat/>
    <w:uiPriority w:val="0"/>
    <w:pPr>
      <w:keepNext/>
      <w:keepLines/>
      <w:tabs>
        <w:tab w:val="left" w:pos="927"/>
        <w:tab w:val="left" w:pos="1134"/>
        <w:tab w:val="clear" w:pos="0"/>
      </w:tabs>
      <w:spacing w:beforeLines="0" w:afterLines="0"/>
      <w:ind w:left="1" w:firstLine="1"/>
      <w:jc w:val="both"/>
    </w:pPr>
    <w:rPr>
      <w:rFonts w:cs="宋体"/>
      <w:b w:val="0"/>
      <w:snapToGrid/>
      <w:kern w:val="0"/>
      <w:szCs w:val="20"/>
    </w:rPr>
  </w:style>
  <w:style w:type="paragraph" w:customStyle="1" w:styleId="2766">
    <w:name w:val="样式 标题 21.1标题 21.1_Heading 2标题 2 Char1节标2节标题 1.11.1标题2h..."/>
    <w:basedOn w:val="4"/>
    <w:qFormat/>
    <w:uiPriority w:val="0"/>
    <w:pPr>
      <w:keepNext/>
      <w:keepLines/>
      <w:widowControl w:val="0"/>
      <w:tabs>
        <w:tab w:val="left" w:pos="927"/>
        <w:tab w:val="left" w:pos="1134"/>
        <w:tab w:val="clear" w:pos="0"/>
      </w:tabs>
      <w:snapToGrid/>
      <w:spacing w:beforeLines="0" w:afterLines="0" w:line="360" w:lineRule="auto"/>
    </w:pPr>
    <w:rPr>
      <w:b w:val="0"/>
      <w:bCs w:val="0"/>
      <w:snapToGrid/>
      <w:color w:val="0000FF"/>
      <w:kern w:val="0"/>
      <w:szCs w:val="28"/>
    </w:rPr>
  </w:style>
  <w:style w:type="paragraph" w:customStyle="1" w:styleId="2767">
    <w:name w:val="样式 标题 1章标题 1文章标题h11st levelSection Headl1章b1H1章节标题1标题..."/>
    <w:basedOn w:val="3"/>
    <w:qFormat/>
    <w:uiPriority w:val="0"/>
    <w:pPr>
      <w:keepNext/>
      <w:keepLines/>
      <w:widowControl w:val="0"/>
      <w:numPr>
        <w:numId w:val="0"/>
      </w:numPr>
      <w:tabs>
        <w:tab w:val="left" w:pos="1134"/>
        <w:tab w:val="clear" w:pos="0"/>
      </w:tabs>
      <w:adjustRightInd/>
      <w:snapToGrid/>
      <w:spacing w:beforeLines="0" w:afterLines="0" w:line="360" w:lineRule="auto"/>
      <w:jc w:val="left"/>
    </w:pPr>
    <w:rPr>
      <w:b w:val="0"/>
      <w:bCs w:val="0"/>
      <w:snapToGrid/>
      <w:color w:val="0000FF"/>
      <w:sz w:val="32"/>
      <w:szCs w:val="32"/>
    </w:rPr>
  </w:style>
  <w:style w:type="paragraph" w:customStyle="1" w:styleId="2768">
    <w:name w:val="表标题4.4 行"/>
    <w:basedOn w:val="1"/>
    <w:qFormat/>
    <w:uiPriority w:val="0"/>
    <w:pPr>
      <w:tabs>
        <w:tab w:val="left" w:pos="2723"/>
      </w:tabs>
      <w:adjustRightInd/>
      <w:snapToGrid/>
      <w:spacing w:beforeLines="100" w:line="0" w:lineRule="atLeast"/>
      <w:ind w:firstLine="0" w:firstLineChars="0"/>
      <w:jc w:val="center"/>
    </w:pPr>
    <w:rPr>
      <w:rFonts w:eastAsia="黑体" w:cs="宋体"/>
      <w:b/>
      <w:bCs/>
      <w:color w:val="000000"/>
      <w:sz w:val="24"/>
      <w:szCs w:val="20"/>
    </w:rPr>
  </w:style>
  <w:style w:type="paragraph" w:customStyle="1" w:styleId="2769">
    <w:name w:val="首选正文"/>
    <w:basedOn w:val="1"/>
    <w:qFormat/>
    <w:uiPriority w:val="0"/>
    <w:pPr>
      <w:widowControl/>
      <w:adjustRightInd/>
      <w:snapToGrid/>
      <w:spacing w:line="460" w:lineRule="exact"/>
      <w:ind w:firstLine="480"/>
    </w:pPr>
    <w:rPr>
      <w:rFonts w:cs="宋体"/>
      <w:kern w:val="0"/>
      <w:sz w:val="24"/>
      <w:szCs w:val="24"/>
    </w:rPr>
  </w:style>
  <w:style w:type="paragraph" w:customStyle="1" w:styleId="2770">
    <w:name w:val="目次"/>
    <w:basedOn w:val="86"/>
    <w:qFormat/>
    <w:uiPriority w:val="0"/>
    <w:pPr>
      <w:keepNext/>
      <w:tabs>
        <w:tab w:val="left" w:pos="628"/>
        <w:tab w:val="left" w:pos="1727"/>
        <w:tab w:val="left" w:pos="1884"/>
        <w:tab w:val="left" w:pos="2660"/>
        <w:tab w:val="left" w:pos="4325"/>
      </w:tabs>
      <w:adjustRightInd w:val="0"/>
      <w:snapToGrid w:val="0"/>
      <w:spacing w:after="0" w:line="360" w:lineRule="auto"/>
      <w:ind w:firstLine="560" w:firstLineChars="200"/>
      <w:jc w:val="left"/>
    </w:pPr>
    <w:rPr>
      <w:rFonts w:ascii="宋体" w:hAnsi="宋体" w:eastAsia="Times New Roman"/>
      <w:b/>
      <w:bCs/>
      <w:kern w:val="0"/>
      <w:sz w:val="28"/>
      <w:szCs w:val="28"/>
    </w:rPr>
  </w:style>
  <w:style w:type="character" w:customStyle="1" w:styleId="2771">
    <w:name w:val="样式 正文首行缩进 + 四号 Char"/>
    <w:link w:val="2772"/>
    <w:qFormat/>
    <w:locked/>
    <w:uiPriority w:val="0"/>
    <w:rPr>
      <w:rFonts w:ascii="宋体" w:hAnsi="宋体"/>
      <w:sz w:val="28"/>
      <w:szCs w:val="24"/>
    </w:rPr>
  </w:style>
  <w:style w:type="paragraph" w:customStyle="1" w:styleId="2772">
    <w:name w:val="样式 正文首行缩进 + 四号"/>
    <w:basedOn w:val="86"/>
    <w:link w:val="2771"/>
    <w:qFormat/>
    <w:uiPriority w:val="0"/>
    <w:pPr>
      <w:keepLines/>
      <w:tabs>
        <w:tab w:val="left" w:pos="0"/>
        <w:tab w:val="left" w:pos="1727"/>
        <w:tab w:val="left" w:pos="1884"/>
        <w:tab w:val="left" w:pos="8480"/>
      </w:tabs>
      <w:adjustRightInd w:val="0"/>
      <w:snapToGrid w:val="0"/>
      <w:spacing w:before="100" w:beforeAutospacing="1"/>
      <w:ind w:left="-7" w:leftChars="-7"/>
    </w:pPr>
    <w:rPr>
      <w:rFonts w:ascii="宋体" w:hAnsi="宋体"/>
      <w:color w:val="auto"/>
      <w:kern w:val="0"/>
      <w:sz w:val="28"/>
    </w:rPr>
  </w:style>
  <w:style w:type="paragraph" w:customStyle="1" w:styleId="2773">
    <w:name w:val="样式 表格文字居中 + 左 首行缩进:  0 厘米"/>
    <w:basedOn w:val="1030"/>
    <w:qFormat/>
    <w:uiPriority w:val="0"/>
    <w:pPr>
      <w:keepNext/>
      <w:tabs>
        <w:tab w:val="left" w:pos="628"/>
      </w:tabs>
      <w:snapToGrid/>
      <w:spacing w:line="240" w:lineRule="auto"/>
      <w:ind w:firstLine="0" w:firstLineChars="0"/>
      <w:jc w:val="left"/>
    </w:pPr>
    <w:rPr>
      <w:rFonts w:ascii="宋体" w:hAnsi="宋体" w:eastAsia="Times New Roman" w:cs="宋体"/>
      <w:bCs/>
      <w:snapToGrid/>
      <w:color w:val="auto"/>
      <w:kern w:val="0"/>
      <w:sz w:val="24"/>
      <w:szCs w:val="20"/>
    </w:rPr>
  </w:style>
  <w:style w:type="paragraph" w:customStyle="1" w:styleId="2774">
    <w:name w:val="表格03"/>
    <w:basedOn w:val="1"/>
    <w:qFormat/>
    <w:uiPriority w:val="0"/>
    <w:pPr>
      <w:adjustRightInd/>
      <w:snapToGrid/>
      <w:spacing w:line="400" w:lineRule="exact"/>
      <w:ind w:firstLine="0" w:firstLineChars="0"/>
      <w:jc w:val="center"/>
    </w:pPr>
    <w:rPr>
      <w:sz w:val="21"/>
      <w:szCs w:val="21"/>
    </w:rPr>
  </w:style>
  <w:style w:type="paragraph" w:customStyle="1" w:styleId="2775">
    <w:name w:val="表格01 Char"/>
    <w:basedOn w:val="1"/>
    <w:qFormat/>
    <w:uiPriority w:val="0"/>
    <w:pPr>
      <w:spacing w:before="120"/>
      <w:ind w:firstLine="0" w:firstLineChars="0"/>
      <w:jc w:val="center"/>
    </w:pPr>
    <w:rPr>
      <w:rFonts w:cs="宋体"/>
      <w:spacing w:val="-2"/>
      <w:kern w:val="0"/>
      <w:sz w:val="28"/>
      <w:szCs w:val="28"/>
    </w:rPr>
  </w:style>
  <w:style w:type="paragraph" w:customStyle="1" w:styleId="2776">
    <w:name w:val="样式 四号 行距: 固定值 25 磅"/>
    <w:basedOn w:val="1"/>
    <w:qFormat/>
    <w:uiPriority w:val="0"/>
    <w:pPr>
      <w:adjustRightInd/>
      <w:snapToGrid/>
      <w:spacing w:line="480" w:lineRule="atLeast"/>
      <w:jc w:val="both"/>
    </w:pPr>
    <w:rPr>
      <w:sz w:val="24"/>
      <w:szCs w:val="24"/>
    </w:rPr>
  </w:style>
  <w:style w:type="paragraph" w:customStyle="1" w:styleId="2777">
    <w:name w:val="文"/>
    <w:basedOn w:val="1"/>
    <w:qFormat/>
    <w:uiPriority w:val="0"/>
    <w:pPr>
      <w:adjustRightInd/>
      <w:snapToGrid/>
      <w:spacing w:line="360" w:lineRule="auto"/>
      <w:ind w:firstLine="480"/>
      <w:jc w:val="both"/>
    </w:pPr>
    <w:rPr>
      <w:sz w:val="24"/>
      <w:szCs w:val="24"/>
    </w:rPr>
  </w:style>
  <w:style w:type="paragraph" w:customStyle="1" w:styleId="2778">
    <w:name w:val="样式 标题 2 + 小四"/>
    <w:basedOn w:val="4"/>
    <w:qFormat/>
    <w:uiPriority w:val="0"/>
    <w:pPr>
      <w:keepNext/>
      <w:keepLines/>
      <w:widowControl w:val="0"/>
      <w:tabs>
        <w:tab w:val="left" w:pos="927"/>
        <w:tab w:val="left" w:pos="1134"/>
        <w:tab w:val="clear" w:pos="0"/>
      </w:tabs>
      <w:adjustRightInd/>
      <w:snapToGrid/>
      <w:spacing w:beforeLines="0" w:afterLines="0" w:line="400" w:lineRule="atLeast"/>
    </w:pPr>
    <w:rPr>
      <w:rFonts w:ascii="Arial" w:hAnsi="Arial"/>
      <w:snapToGrid/>
      <w:kern w:val="0"/>
      <w:sz w:val="24"/>
    </w:rPr>
  </w:style>
  <w:style w:type="paragraph" w:customStyle="1" w:styleId="2779">
    <w:name w:val="style5"/>
    <w:basedOn w:val="1"/>
    <w:qFormat/>
    <w:uiPriority w:val="0"/>
    <w:pPr>
      <w:widowControl/>
      <w:adjustRightInd/>
      <w:snapToGrid/>
      <w:spacing w:before="100" w:beforeAutospacing="1" w:after="100" w:afterAutospacing="1" w:line="240" w:lineRule="auto"/>
      <w:ind w:firstLine="0" w:firstLineChars="0"/>
    </w:pPr>
    <w:rPr>
      <w:rFonts w:ascii="宋体" w:hAnsi="宋体" w:cs="宋体"/>
      <w:color w:val="000000"/>
      <w:kern w:val="0"/>
      <w:sz w:val="24"/>
      <w:szCs w:val="24"/>
    </w:rPr>
  </w:style>
  <w:style w:type="paragraph" w:customStyle="1" w:styleId="2780">
    <w:name w:val="样式 小四 黑色 首行缩进:  0.74 厘米 行距: 固定值 20 磅"/>
    <w:basedOn w:val="1"/>
    <w:qFormat/>
    <w:uiPriority w:val="0"/>
    <w:pPr>
      <w:adjustRightInd/>
      <w:snapToGrid/>
      <w:spacing w:line="440" w:lineRule="exact"/>
      <w:ind w:firstLine="454" w:firstLineChars="0"/>
      <w:jc w:val="both"/>
    </w:pPr>
    <w:rPr>
      <w:rFonts w:cs="宋体"/>
      <w:color w:val="000000"/>
      <w:sz w:val="24"/>
      <w:szCs w:val="20"/>
    </w:rPr>
  </w:style>
  <w:style w:type="paragraph" w:customStyle="1" w:styleId="2781">
    <w:name w:val="样式 热电厂正文 + 首行缩进:  2 字符 Char"/>
    <w:basedOn w:val="1"/>
    <w:qFormat/>
    <w:uiPriority w:val="0"/>
    <w:pPr>
      <w:adjustRightInd/>
      <w:snapToGrid/>
      <w:ind w:firstLine="480"/>
      <w:jc w:val="both"/>
    </w:pPr>
    <w:rPr>
      <w:rFonts w:cs="宋体"/>
      <w:sz w:val="24"/>
      <w:szCs w:val="24"/>
    </w:rPr>
  </w:style>
  <w:style w:type="paragraph" w:customStyle="1" w:styleId="2782">
    <w:name w:val="样式 标题 3 + 宋体 黑色 首行缩进:  2 字符 段前: 6 磅 段后: 6 磅 行距: 最小值 24 磅"/>
    <w:basedOn w:val="5"/>
    <w:qFormat/>
    <w:uiPriority w:val="0"/>
    <w:pPr>
      <w:keepNext/>
      <w:keepLines/>
      <w:widowControl w:val="0"/>
      <w:tabs>
        <w:tab w:val="left" w:pos="1134"/>
        <w:tab w:val="left" w:pos="1256"/>
        <w:tab w:val="clear" w:pos="0"/>
      </w:tabs>
      <w:spacing w:line="480" w:lineRule="atLeast"/>
      <w:ind w:firstLine="200" w:firstLineChars="200"/>
    </w:pPr>
    <w:rPr>
      <w:rFonts w:ascii="宋体" w:hAnsi="宋体"/>
      <w:snapToGrid/>
      <w:color w:val="000000"/>
      <w:kern w:val="0"/>
      <w:szCs w:val="28"/>
    </w:rPr>
  </w:style>
  <w:style w:type="paragraph" w:customStyle="1" w:styleId="2783">
    <w:name w:val="样式 黑体 首行缩进:  2 字符 行距: 最小值 24 磅"/>
    <w:basedOn w:val="1"/>
    <w:qFormat/>
    <w:uiPriority w:val="0"/>
    <w:pPr>
      <w:adjustRightInd/>
      <w:snapToGrid/>
      <w:spacing w:line="480" w:lineRule="atLeast"/>
      <w:ind w:firstLine="480"/>
      <w:jc w:val="both"/>
    </w:pPr>
    <w:rPr>
      <w:rFonts w:ascii="黑体" w:eastAsia="黑体" w:cs="宋体"/>
      <w:sz w:val="24"/>
      <w:szCs w:val="20"/>
    </w:rPr>
  </w:style>
  <w:style w:type="character" w:customStyle="1" w:styleId="2784">
    <w:name w:val="样式 热电厂正文 + 首行缩进:  2 字符 Char Char Char Char"/>
    <w:link w:val="2785"/>
    <w:qFormat/>
    <w:locked/>
    <w:uiPriority w:val="0"/>
    <w:rPr>
      <w:rFonts w:ascii="宋体" w:hAnsi="宋体"/>
    </w:rPr>
  </w:style>
  <w:style w:type="paragraph" w:customStyle="1" w:styleId="2785">
    <w:name w:val="样式 热电厂正文 + 首行缩进:  2 字符 Char Char Char"/>
    <w:link w:val="2784"/>
    <w:qFormat/>
    <w:uiPriority w:val="0"/>
    <w:pPr>
      <w:ind w:firstLine="480"/>
    </w:pPr>
    <w:rPr>
      <w:rFonts w:ascii="宋体" w:hAnsi="宋体" w:eastAsia="宋体" w:cs="Times New Roman"/>
      <w:lang w:val="en-US" w:eastAsia="zh-CN" w:bidi="ar-SA"/>
    </w:rPr>
  </w:style>
  <w:style w:type="paragraph" w:customStyle="1" w:styleId="2786">
    <w:name w:val="样式 标题 3标题 3 Char + 黑色 行距: 固定值 26 磅"/>
    <w:basedOn w:val="5"/>
    <w:qFormat/>
    <w:uiPriority w:val="0"/>
    <w:pPr>
      <w:keepNext/>
      <w:keepLines/>
      <w:widowControl w:val="0"/>
      <w:tabs>
        <w:tab w:val="left" w:pos="360"/>
        <w:tab w:val="left" w:pos="1647"/>
        <w:tab w:val="clear" w:pos="0"/>
      </w:tabs>
      <w:adjustRightInd/>
      <w:snapToGrid/>
      <w:spacing w:line="520" w:lineRule="exact"/>
      <w:ind w:hanging="200" w:hangingChars="200"/>
    </w:pPr>
    <w:rPr>
      <w:rFonts w:cs="宋体"/>
      <w:snapToGrid/>
      <w:kern w:val="0"/>
      <w:sz w:val="30"/>
      <w:szCs w:val="20"/>
    </w:rPr>
  </w:style>
  <w:style w:type="paragraph" w:customStyle="1" w:styleId="2787">
    <w:name w:val="样式 热电厂正文 + 四号 首行缩进:  2 字符"/>
    <w:qFormat/>
    <w:uiPriority w:val="0"/>
    <w:rPr>
      <w:rFonts w:ascii="Times New Roman" w:hAnsi="Times New Roman" w:eastAsia="宋体" w:cs="宋体"/>
      <w:lang w:val="en-US" w:eastAsia="zh-CN" w:bidi="ar-SA"/>
    </w:rPr>
  </w:style>
  <w:style w:type="paragraph" w:customStyle="1" w:styleId="2788">
    <w:name w:val="样式 首行缩进:  2 字符5"/>
    <w:basedOn w:val="1"/>
    <w:qFormat/>
    <w:uiPriority w:val="0"/>
    <w:pPr>
      <w:adjustRightInd/>
      <w:snapToGrid/>
      <w:spacing w:line="520" w:lineRule="exact"/>
      <w:ind w:firstLine="560"/>
      <w:jc w:val="both"/>
    </w:pPr>
    <w:rPr>
      <w:rFonts w:cs="宋体"/>
      <w:sz w:val="24"/>
      <w:szCs w:val="20"/>
    </w:rPr>
  </w:style>
  <w:style w:type="character" w:customStyle="1" w:styleId="2789">
    <w:name w:val="样式 样式 首行缩进:  2 字符 行距: 最小值 24 磅 + 首行缩进:  2 字符 Char Char Char"/>
    <w:link w:val="2790"/>
    <w:qFormat/>
    <w:locked/>
    <w:uiPriority w:val="0"/>
    <w:rPr>
      <w:rFonts w:ascii="宋体" w:hAnsi="宋体"/>
      <w:sz w:val="24"/>
      <w:szCs w:val="24"/>
    </w:rPr>
  </w:style>
  <w:style w:type="paragraph" w:customStyle="1" w:styleId="2790">
    <w:name w:val="样式 样式 首行缩进:  2 字符 行距: 最小值 24 磅 + 首行缩进:  2 字符 Char Char"/>
    <w:basedOn w:val="1"/>
    <w:link w:val="2789"/>
    <w:qFormat/>
    <w:uiPriority w:val="0"/>
    <w:pPr>
      <w:adjustRightInd/>
      <w:snapToGrid/>
      <w:spacing w:line="480" w:lineRule="atLeast"/>
      <w:ind w:firstLine="480"/>
      <w:jc w:val="both"/>
    </w:pPr>
    <w:rPr>
      <w:rFonts w:ascii="宋体" w:hAnsi="宋体"/>
      <w:kern w:val="0"/>
      <w:sz w:val="24"/>
      <w:szCs w:val="24"/>
    </w:rPr>
  </w:style>
  <w:style w:type="character" w:customStyle="1" w:styleId="2791">
    <w:name w:val="样式 首行缩进:  2 字符 行距: 最小值 24 磅 Char Char Char"/>
    <w:link w:val="2792"/>
    <w:semiHidden/>
    <w:qFormat/>
    <w:locked/>
    <w:uiPriority w:val="0"/>
    <w:rPr>
      <w:rFonts w:ascii="宋体" w:hAnsi="宋体"/>
      <w:sz w:val="24"/>
      <w:szCs w:val="24"/>
    </w:rPr>
  </w:style>
  <w:style w:type="paragraph" w:customStyle="1" w:styleId="2792">
    <w:name w:val="样式 首行缩进:  2 字符 行距: 最小值 24 磅 Char Char"/>
    <w:basedOn w:val="1"/>
    <w:link w:val="2791"/>
    <w:semiHidden/>
    <w:qFormat/>
    <w:uiPriority w:val="0"/>
    <w:pPr>
      <w:adjustRightInd/>
      <w:snapToGrid/>
      <w:spacing w:line="480" w:lineRule="atLeast"/>
      <w:ind w:firstLine="560"/>
      <w:jc w:val="both"/>
    </w:pPr>
    <w:rPr>
      <w:rFonts w:ascii="宋体" w:hAnsi="宋体"/>
      <w:kern w:val="0"/>
      <w:sz w:val="24"/>
      <w:szCs w:val="24"/>
    </w:rPr>
  </w:style>
  <w:style w:type="paragraph" w:customStyle="1" w:styleId="2793">
    <w:name w:val="表头样式1"/>
    <w:basedOn w:val="1"/>
    <w:qFormat/>
    <w:uiPriority w:val="0"/>
    <w:pPr>
      <w:autoSpaceDE w:val="0"/>
      <w:autoSpaceDN w:val="0"/>
      <w:snapToGrid/>
      <w:spacing w:beforeLines="30" w:line="240" w:lineRule="auto"/>
      <w:ind w:firstLine="0" w:firstLineChars="0"/>
      <w:jc w:val="center"/>
    </w:pPr>
    <w:rPr>
      <w:rFonts w:ascii="黑体" w:hAnsi="宋体" w:eastAsia="黑体"/>
      <w:color w:val="000000"/>
      <w:kern w:val="0"/>
      <w:sz w:val="24"/>
      <w:szCs w:val="24"/>
    </w:rPr>
  </w:style>
  <w:style w:type="paragraph" w:customStyle="1" w:styleId="2794">
    <w:name w:val="样式 标题 3标题 3 Char + 小四 黑色"/>
    <w:basedOn w:val="5"/>
    <w:qFormat/>
    <w:uiPriority w:val="0"/>
    <w:pPr>
      <w:keepNext/>
      <w:keepLines/>
      <w:widowControl w:val="0"/>
      <w:tabs>
        <w:tab w:val="left" w:pos="360"/>
        <w:tab w:val="left" w:pos="1647"/>
        <w:tab w:val="clear" w:pos="0"/>
      </w:tabs>
      <w:adjustRightInd/>
      <w:snapToGrid/>
      <w:spacing w:line="480" w:lineRule="atLeast"/>
      <w:ind w:hanging="200" w:hangingChars="200"/>
    </w:pPr>
    <w:rPr>
      <w:snapToGrid/>
      <w:color w:val="000000"/>
      <w:kern w:val="0"/>
      <w:szCs w:val="24"/>
    </w:rPr>
  </w:style>
  <w:style w:type="paragraph" w:customStyle="1" w:styleId="2795">
    <w:name w:val="样式 标题 3标题 3 Char + 段前: 0 磅 段后: 0 磅 行距: 最小值 24 磅"/>
    <w:basedOn w:val="5"/>
    <w:qFormat/>
    <w:uiPriority w:val="0"/>
    <w:pPr>
      <w:keepNext/>
      <w:keepLines/>
      <w:widowControl w:val="0"/>
      <w:tabs>
        <w:tab w:val="left" w:pos="360"/>
        <w:tab w:val="left" w:pos="1647"/>
        <w:tab w:val="clear" w:pos="0"/>
      </w:tabs>
      <w:adjustRightInd/>
      <w:snapToGrid/>
      <w:spacing w:line="480" w:lineRule="atLeast"/>
      <w:ind w:hanging="200" w:hangingChars="200"/>
    </w:pPr>
    <w:rPr>
      <w:rFonts w:cs="宋体"/>
      <w:snapToGrid/>
      <w:kern w:val="0"/>
      <w:sz w:val="30"/>
      <w:szCs w:val="20"/>
    </w:rPr>
  </w:style>
  <w:style w:type="paragraph" w:customStyle="1" w:styleId="2796">
    <w:name w:val="样式 首行缩进:  2 字符9"/>
    <w:basedOn w:val="1"/>
    <w:qFormat/>
    <w:uiPriority w:val="0"/>
    <w:pPr>
      <w:adjustRightInd/>
      <w:snapToGrid/>
      <w:spacing w:line="520" w:lineRule="exact"/>
      <w:ind w:firstLine="560"/>
      <w:jc w:val="both"/>
    </w:pPr>
    <w:rPr>
      <w:rFonts w:cs="宋体"/>
      <w:sz w:val="24"/>
      <w:szCs w:val="20"/>
    </w:rPr>
  </w:style>
  <w:style w:type="paragraph" w:customStyle="1" w:styleId="2797">
    <w:name w:val="样式 样式 首行缩进:  2 字符19 + 首行缩进:  2 字符"/>
    <w:basedOn w:val="1"/>
    <w:qFormat/>
    <w:uiPriority w:val="0"/>
    <w:pPr>
      <w:adjustRightInd/>
      <w:snapToGrid/>
      <w:spacing w:line="520" w:lineRule="exact"/>
      <w:ind w:firstLine="480"/>
      <w:jc w:val="both"/>
    </w:pPr>
    <w:rPr>
      <w:rFonts w:cs="宋体"/>
      <w:sz w:val="24"/>
      <w:szCs w:val="20"/>
    </w:rPr>
  </w:style>
  <w:style w:type="paragraph" w:customStyle="1" w:styleId="2798">
    <w:name w:val="样式 标题 1 + 首行缩进:  2 字符 段前: 12 磅 段后: 12 磅 行距: 最小值 24 磅"/>
    <w:basedOn w:val="3"/>
    <w:qFormat/>
    <w:uiPriority w:val="0"/>
    <w:pPr>
      <w:keepNext/>
      <w:keepLines/>
      <w:widowControl w:val="0"/>
      <w:numPr>
        <w:numId w:val="0"/>
      </w:numPr>
      <w:tabs>
        <w:tab w:val="left" w:pos="1134"/>
        <w:tab w:val="clear" w:pos="0"/>
      </w:tabs>
      <w:spacing w:beforeLines="0" w:afterLines="0" w:line="480" w:lineRule="atLeast"/>
      <w:jc w:val="both"/>
    </w:pPr>
    <w:rPr>
      <w:snapToGrid/>
      <w:sz w:val="32"/>
      <w:szCs w:val="20"/>
    </w:rPr>
  </w:style>
  <w:style w:type="paragraph" w:customStyle="1" w:styleId="2799">
    <w:name w:val="样式 标题 2 + 段前: 6 磅 段后: 6 磅 行距: 最小值 24 磅"/>
    <w:basedOn w:val="4"/>
    <w:qFormat/>
    <w:uiPriority w:val="0"/>
    <w:pPr>
      <w:keepNext/>
      <w:keepLines/>
      <w:widowControl w:val="0"/>
      <w:tabs>
        <w:tab w:val="left" w:pos="927"/>
        <w:tab w:val="left" w:pos="1134"/>
        <w:tab w:val="clear" w:pos="0"/>
      </w:tabs>
      <w:spacing w:beforeLines="0" w:afterLines="0" w:line="480" w:lineRule="atLeast"/>
      <w:jc w:val="both"/>
    </w:pPr>
    <w:rPr>
      <w:b w:val="0"/>
      <w:snapToGrid/>
      <w:kern w:val="0"/>
      <w:szCs w:val="30"/>
    </w:rPr>
  </w:style>
  <w:style w:type="paragraph" w:customStyle="1" w:styleId="2800">
    <w:name w:val="样式 样式 标题 3 + 宋体 黑色 首行缩进:  2 字符 段前: 6 磅 段后: 6 磅 行距: 最小值 24 磅 + 首行..."/>
    <w:basedOn w:val="2782"/>
    <w:qFormat/>
    <w:uiPriority w:val="0"/>
    <w:pPr>
      <w:ind w:firstLine="562"/>
    </w:pPr>
    <w:rPr>
      <w:rFonts w:ascii="Times New Roman" w:hAnsi="Times New Roman"/>
    </w:rPr>
  </w:style>
  <w:style w:type="paragraph" w:customStyle="1" w:styleId="2801">
    <w:name w:val="样式 标题 3 + 首行缩进:  2 字符 段前: 6 磅 段后: 6 磅 行距: 最小值 24 磅"/>
    <w:basedOn w:val="5"/>
    <w:qFormat/>
    <w:uiPriority w:val="0"/>
    <w:pPr>
      <w:keepNext/>
      <w:keepLines/>
      <w:widowControl w:val="0"/>
      <w:tabs>
        <w:tab w:val="left" w:pos="1134"/>
        <w:tab w:val="left" w:pos="1256"/>
        <w:tab w:val="clear" w:pos="0"/>
      </w:tabs>
      <w:spacing w:line="480" w:lineRule="atLeast"/>
      <w:ind w:firstLine="100" w:firstLineChars="100"/>
    </w:pPr>
    <w:rPr>
      <w:snapToGrid/>
      <w:kern w:val="0"/>
      <w:szCs w:val="28"/>
    </w:rPr>
  </w:style>
  <w:style w:type="paragraph" w:customStyle="1" w:styleId="2802">
    <w:name w:val="样式 标题 4 + 首行缩进:  2 字符1"/>
    <w:basedOn w:val="6"/>
    <w:qFormat/>
    <w:uiPriority w:val="0"/>
    <w:pPr>
      <w:keepNext/>
      <w:keepLines/>
      <w:widowControl w:val="0"/>
      <w:numPr>
        <w:ilvl w:val="0"/>
        <w:numId w:val="0"/>
      </w:numPr>
      <w:tabs>
        <w:tab w:val="left" w:pos="1134"/>
        <w:tab w:val="left" w:pos="1630"/>
        <w:tab w:val="clear" w:pos="0"/>
      </w:tabs>
      <w:spacing w:line="480" w:lineRule="atLeast"/>
      <w:ind w:firstLine="480" w:firstLineChars="200"/>
      <w:jc w:val="both"/>
    </w:pPr>
    <w:rPr>
      <w:rFonts w:ascii="Arial" w:hAnsi="Arial"/>
      <w:b w:val="0"/>
      <w:bCs w:val="0"/>
      <w:snapToGrid/>
      <w:kern w:val="0"/>
      <w:sz w:val="24"/>
      <w:szCs w:val="24"/>
    </w:rPr>
  </w:style>
  <w:style w:type="paragraph" w:customStyle="1" w:styleId="2803">
    <w:name w:val="样式 标题 4 + 四号"/>
    <w:basedOn w:val="6"/>
    <w:qFormat/>
    <w:uiPriority w:val="0"/>
    <w:pPr>
      <w:keepNext/>
      <w:keepLines/>
      <w:numPr>
        <w:ilvl w:val="0"/>
        <w:numId w:val="0"/>
      </w:numPr>
      <w:tabs>
        <w:tab w:val="left" w:pos="1134"/>
        <w:tab w:val="left" w:pos="1630"/>
        <w:tab w:val="clear" w:pos="0"/>
      </w:tabs>
      <w:adjustRightInd/>
      <w:spacing w:before="60" w:after="60" w:line="480" w:lineRule="atLeast"/>
      <w:ind w:firstLine="200" w:firstLineChars="200"/>
      <w:jc w:val="both"/>
    </w:pPr>
    <w:rPr>
      <w:bCs w:val="0"/>
      <w:snapToGrid/>
      <w:kern w:val="0"/>
      <w:sz w:val="24"/>
      <w:szCs w:val="24"/>
    </w:rPr>
  </w:style>
  <w:style w:type="paragraph" w:customStyle="1" w:styleId="2804">
    <w:name w:val="样式 样式 标题 3 + 首行缩进:  2 字符 段前: 6 磅 段后: 6 磅 行距: 最小值 24 磅 + 首行缩进:  1..."/>
    <w:basedOn w:val="2801"/>
    <w:qFormat/>
    <w:uiPriority w:val="0"/>
    <w:pPr>
      <w:ind w:firstLine="280"/>
    </w:pPr>
    <w:rPr>
      <w:rFonts w:cs="宋体"/>
      <w:b w:val="0"/>
    </w:rPr>
  </w:style>
  <w:style w:type="paragraph" w:customStyle="1" w:styleId="2805">
    <w:name w:val="样式 样式 标题 4 + 四号 + 首行缩进:  2 字符"/>
    <w:basedOn w:val="2803"/>
    <w:qFormat/>
    <w:uiPriority w:val="0"/>
    <w:rPr>
      <w:rFonts w:cs="宋体"/>
      <w:szCs w:val="20"/>
    </w:rPr>
  </w:style>
  <w:style w:type="paragraph" w:customStyle="1" w:styleId="2806">
    <w:name w:val="样式 正文文本缩进 + 小四 非加粗 非倾斜 行距: 固定值 20 磅"/>
    <w:basedOn w:val="35"/>
    <w:qFormat/>
    <w:uiPriority w:val="0"/>
    <w:pPr>
      <w:spacing w:line="440" w:lineRule="exact"/>
      <w:ind w:firstLine="454"/>
    </w:pPr>
    <w:rPr>
      <w:rFonts w:eastAsia="Times New Roman"/>
      <w:kern w:val="0"/>
      <w:sz w:val="24"/>
      <w:szCs w:val="20"/>
    </w:rPr>
  </w:style>
  <w:style w:type="paragraph" w:customStyle="1" w:styleId="2807">
    <w:name w:val="样式 热电厂正文 + 首行缩进:  2 字符 Char Char"/>
    <w:basedOn w:val="2445"/>
    <w:qFormat/>
    <w:uiPriority w:val="0"/>
    <w:pPr>
      <w:spacing w:line="480" w:lineRule="exact"/>
    </w:pPr>
    <w:rPr>
      <w:rFonts w:cs="宋体"/>
    </w:rPr>
  </w:style>
  <w:style w:type="paragraph" w:customStyle="1" w:styleId="2808">
    <w:name w:val="样式 样式 首行缩进:  2 字符 行距: 最小值 24 磅 + 首行缩进:  2 字符 Char"/>
    <w:basedOn w:val="1"/>
    <w:qFormat/>
    <w:uiPriority w:val="0"/>
    <w:pPr>
      <w:adjustRightInd/>
      <w:snapToGrid/>
      <w:spacing w:line="480" w:lineRule="atLeast"/>
      <w:ind w:firstLine="480"/>
      <w:jc w:val="both"/>
    </w:pPr>
    <w:rPr>
      <w:rFonts w:cs="宋体"/>
      <w:sz w:val="24"/>
      <w:szCs w:val="24"/>
    </w:rPr>
  </w:style>
  <w:style w:type="paragraph" w:customStyle="1" w:styleId="2809">
    <w:name w:val=".€·..‘ .€·..‘ ..￡............è.. + .￥·..fi_GB2312 é|.è.....è..:  2 .....| ..μ.’”: 0.3 è.. è..è·.: 1.5 ..“è..è·. + é|.è.........&quot;"/>
    <w:basedOn w:val="201"/>
    <w:next w:val="201"/>
    <w:qFormat/>
    <w:uiPriority w:val="0"/>
    <w:pPr>
      <w:spacing w:after="30"/>
    </w:pPr>
    <w:rPr>
      <w:rFonts w:ascii="Kai Titling" w:eastAsia="Kai Titling" w:cs="Times New Roman"/>
      <w:color w:val="auto"/>
    </w:rPr>
  </w:style>
  <w:style w:type="paragraph" w:customStyle="1" w:styleId="2810">
    <w:name w:val="表－索引"/>
    <w:basedOn w:val="1"/>
    <w:qFormat/>
    <w:uiPriority w:val="0"/>
    <w:pPr>
      <w:adjustRightInd/>
      <w:snapToGrid/>
      <w:spacing w:line="360" w:lineRule="auto"/>
      <w:ind w:firstLine="0" w:firstLineChars="0"/>
      <w:jc w:val="center"/>
    </w:pPr>
    <w:rPr>
      <w:sz w:val="24"/>
      <w:szCs w:val="20"/>
    </w:rPr>
  </w:style>
  <w:style w:type="paragraph" w:customStyle="1" w:styleId="2811">
    <w:name w:val="样式 标题 2节标题 1.1标题 2 Char1标题 2 Char Char1.1标题 21.1标题2标题 2 C..."/>
    <w:basedOn w:val="4"/>
    <w:qFormat/>
    <w:uiPriority w:val="0"/>
    <w:pPr>
      <w:keepNext/>
      <w:keepLines/>
      <w:widowControl w:val="0"/>
      <w:tabs>
        <w:tab w:val="left" w:pos="927"/>
        <w:tab w:val="clear" w:pos="0"/>
      </w:tabs>
      <w:adjustRightInd/>
      <w:snapToGrid/>
      <w:spacing w:beforeLines="0" w:afterLines="0"/>
      <w:ind w:firstLine="567"/>
      <w:jc w:val="both"/>
    </w:pPr>
    <w:rPr>
      <w:snapToGrid/>
      <w:kern w:val="0"/>
    </w:rPr>
  </w:style>
  <w:style w:type="paragraph" w:customStyle="1" w:styleId="2812">
    <w:name w:val="Char2 Char Char Char"/>
    <w:basedOn w:val="1"/>
    <w:qFormat/>
    <w:uiPriority w:val="0"/>
    <w:pPr>
      <w:autoSpaceDE w:val="0"/>
      <w:autoSpaceDN w:val="0"/>
      <w:spacing w:before="50" w:after="50" w:line="360" w:lineRule="auto"/>
      <w:ind w:firstLine="560"/>
      <w:jc w:val="both"/>
    </w:pPr>
    <w:rPr>
      <w:rFonts w:ascii="宋体" w:hAnsi="宋体" w:eastAsia="仿宋_GB2312"/>
      <w:color w:val="000000"/>
      <w:sz w:val="24"/>
      <w:szCs w:val="24"/>
    </w:rPr>
  </w:style>
  <w:style w:type="paragraph" w:customStyle="1" w:styleId="2813">
    <w:name w:val="Char Char1 Char Char Char Char Char Char Char Char Char Char Char Char Char Char1 Char Char Char Char Char Char1"/>
    <w:basedOn w:val="1"/>
    <w:qFormat/>
    <w:uiPriority w:val="0"/>
    <w:pPr>
      <w:widowControl/>
      <w:adjustRightInd/>
      <w:snapToGrid/>
      <w:spacing w:line="300" w:lineRule="auto"/>
      <w:jc w:val="both"/>
    </w:pPr>
    <w:rPr>
      <w:sz w:val="21"/>
      <w:szCs w:val="24"/>
    </w:rPr>
  </w:style>
  <w:style w:type="character" w:customStyle="1" w:styleId="2814">
    <w:name w:val="正文-自建 Char"/>
    <w:link w:val="2815"/>
    <w:qFormat/>
    <w:locked/>
    <w:uiPriority w:val="0"/>
    <w:rPr>
      <w:sz w:val="28"/>
      <w:szCs w:val="28"/>
    </w:rPr>
  </w:style>
  <w:style w:type="paragraph" w:customStyle="1" w:styleId="2815">
    <w:name w:val="正文-自建"/>
    <w:basedOn w:val="21"/>
    <w:link w:val="2814"/>
    <w:qFormat/>
    <w:uiPriority w:val="0"/>
    <w:pPr>
      <w:spacing w:line="600" w:lineRule="exact"/>
      <w:ind w:firstLine="200" w:firstLineChars="200"/>
      <w:jc w:val="both"/>
    </w:pPr>
    <w:rPr>
      <w:rFonts w:ascii="Calibri" w:hAnsi="Calibri"/>
      <w:b w:val="0"/>
      <w:color w:val="auto"/>
      <w:sz w:val="28"/>
      <w:szCs w:val="28"/>
    </w:rPr>
  </w:style>
  <w:style w:type="paragraph" w:customStyle="1" w:styleId="2816">
    <w:name w:val="样式 行距: 固定值 24 磅"/>
    <w:basedOn w:val="1"/>
    <w:qFormat/>
    <w:uiPriority w:val="0"/>
    <w:pPr>
      <w:adjustRightInd/>
      <w:snapToGrid/>
      <w:jc w:val="both"/>
    </w:pPr>
    <w:rPr>
      <w:sz w:val="24"/>
      <w:szCs w:val="20"/>
    </w:rPr>
  </w:style>
  <w:style w:type="paragraph" w:customStyle="1" w:styleId="2817">
    <w:name w:val="Pa1"/>
    <w:basedOn w:val="1"/>
    <w:next w:val="1"/>
    <w:qFormat/>
    <w:uiPriority w:val="0"/>
    <w:pPr>
      <w:autoSpaceDE w:val="0"/>
      <w:autoSpaceDN w:val="0"/>
      <w:adjustRightInd/>
      <w:snapToGrid/>
      <w:spacing w:line="221" w:lineRule="atLeast"/>
      <w:ind w:firstLine="0" w:firstLineChars="0"/>
    </w:pPr>
    <w:rPr>
      <w:rFonts w:ascii="黑体" w:hAnsi="黑体" w:eastAsia="黑体"/>
      <w:color w:val="000000"/>
      <w:kern w:val="0"/>
      <w:sz w:val="24"/>
      <w:szCs w:val="20"/>
    </w:rPr>
  </w:style>
  <w:style w:type="paragraph" w:customStyle="1" w:styleId="2818">
    <w:name w:val="Pa3"/>
    <w:basedOn w:val="201"/>
    <w:next w:val="201"/>
    <w:qFormat/>
    <w:uiPriority w:val="0"/>
    <w:pPr>
      <w:adjustRightInd/>
      <w:spacing w:line="241" w:lineRule="atLeast"/>
    </w:pPr>
    <w:rPr>
      <w:rFonts w:ascii="黑体" w:hAnsi="黑体" w:eastAsia="黑体" w:cs="Times New Roman"/>
      <w:szCs w:val="20"/>
    </w:rPr>
  </w:style>
  <w:style w:type="paragraph" w:customStyle="1" w:styleId="2819">
    <w:name w:val="Pa9"/>
    <w:basedOn w:val="1"/>
    <w:next w:val="1"/>
    <w:qFormat/>
    <w:uiPriority w:val="0"/>
    <w:pPr>
      <w:autoSpaceDE w:val="0"/>
      <w:autoSpaceDN w:val="0"/>
      <w:snapToGrid/>
      <w:spacing w:line="221" w:lineRule="atLeast"/>
      <w:ind w:firstLine="0" w:firstLineChars="0"/>
    </w:pPr>
    <w:rPr>
      <w:rFonts w:ascii="黑体" w:hAnsi="Calibri" w:eastAsia="黑体"/>
      <w:kern w:val="0"/>
      <w:sz w:val="24"/>
      <w:szCs w:val="24"/>
    </w:rPr>
  </w:style>
  <w:style w:type="paragraph" w:customStyle="1" w:styleId="2820">
    <w:name w:val="中文报告书样式 Char"/>
    <w:basedOn w:val="1"/>
    <w:qFormat/>
    <w:uiPriority w:val="0"/>
    <w:pPr>
      <w:snapToGrid/>
      <w:spacing w:line="480" w:lineRule="atLeast"/>
      <w:ind w:firstLine="482" w:firstLineChars="0"/>
      <w:jc w:val="both"/>
    </w:pPr>
    <w:rPr>
      <w:kern w:val="24"/>
      <w:sz w:val="24"/>
      <w:szCs w:val="20"/>
    </w:rPr>
  </w:style>
  <w:style w:type="paragraph" w:customStyle="1" w:styleId="2821">
    <w:name w:val="秦皇岛正文"/>
    <w:basedOn w:val="1"/>
    <w:qFormat/>
    <w:uiPriority w:val="0"/>
    <w:pPr>
      <w:adjustRightInd/>
      <w:snapToGrid/>
      <w:spacing w:line="400" w:lineRule="exact"/>
      <w:jc w:val="both"/>
    </w:pPr>
    <w:rPr>
      <w:rFonts w:ascii="宋体" w:hAnsi="宋体"/>
      <w:sz w:val="24"/>
      <w:szCs w:val="24"/>
    </w:rPr>
  </w:style>
  <w:style w:type="paragraph" w:customStyle="1" w:styleId="2822">
    <w:name w:val="正文内容"/>
    <w:basedOn w:val="1"/>
    <w:qFormat/>
    <w:uiPriority w:val="0"/>
    <w:pPr>
      <w:widowControl/>
      <w:adjustRightInd/>
      <w:spacing w:line="276" w:lineRule="auto"/>
      <w:ind w:firstLine="425" w:firstLineChars="0"/>
      <w:jc w:val="both"/>
    </w:pPr>
    <w:rPr>
      <w:kern w:val="0"/>
      <w:sz w:val="24"/>
      <w:szCs w:val="20"/>
    </w:rPr>
  </w:style>
  <w:style w:type="character" w:customStyle="1" w:styleId="2823">
    <w:name w:val="0-4 Char"/>
    <w:link w:val="2824"/>
    <w:qFormat/>
    <w:locked/>
    <w:uiPriority w:val="0"/>
    <w:rPr>
      <w:rFonts w:ascii="宋体" w:hAnsi="宋体"/>
      <w:sz w:val="24"/>
      <w:szCs w:val="24"/>
    </w:rPr>
  </w:style>
  <w:style w:type="paragraph" w:customStyle="1" w:styleId="2824">
    <w:name w:val="0-4"/>
    <w:basedOn w:val="1"/>
    <w:link w:val="2823"/>
    <w:qFormat/>
    <w:uiPriority w:val="0"/>
    <w:pPr>
      <w:adjustRightInd/>
      <w:snapToGrid/>
      <w:spacing w:line="440" w:lineRule="exact"/>
      <w:ind w:firstLine="480"/>
      <w:jc w:val="both"/>
    </w:pPr>
    <w:rPr>
      <w:rFonts w:ascii="宋体" w:hAnsi="宋体"/>
      <w:kern w:val="0"/>
      <w:sz w:val="24"/>
      <w:szCs w:val="24"/>
    </w:rPr>
  </w:style>
  <w:style w:type="paragraph" w:customStyle="1" w:styleId="2825">
    <w:name w:val="宋体 13 磅 行距: 固定值 24 磅"/>
    <w:basedOn w:val="1"/>
    <w:qFormat/>
    <w:uiPriority w:val="0"/>
    <w:pPr>
      <w:adjustRightInd/>
      <w:snapToGrid/>
      <w:ind w:firstLine="520"/>
      <w:jc w:val="both"/>
    </w:pPr>
    <w:rPr>
      <w:rFonts w:ascii="宋体" w:hAnsi="宋体" w:cs="宋体"/>
      <w:szCs w:val="20"/>
    </w:rPr>
  </w:style>
  <w:style w:type="paragraph" w:customStyle="1" w:styleId="2826">
    <w:name w:val="(1)"/>
    <w:basedOn w:val="1"/>
    <w:qFormat/>
    <w:uiPriority w:val="0"/>
    <w:pPr>
      <w:adjustRightInd/>
      <w:snapToGrid/>
      <w:spacing w:line="240" w:lineRule="auto"/>
      <w:ind w:firstLine="0" w:firstLineChars="0"/>
      <w:jc w:val="both"/>
    </w:pPr>
    <w:rPr>
      <w:sz w:val="24"/>
      <w:szCs w:val="20"/>
    </w:rPr>
  </w:style>
  <w:style w:type="character" w:customStyle="1" w:styleId="2827">
    <w:name w:val="正文部分 Char Char"/>
    <w:link w:val="2828"/>
    <w:semiHidden/>
    <w:qFormat/>
    <w:locked/>
    <w:uiPriority w:val="0"/>
    <w:rPr>
      <w:rFonts w:ascii="Arial" w:hAnsi="Arial"/>
      <w:sz w:val="24"/>
      <w:szCs w:val="24"/>
    </w:rPr>
  </w:style>
  <w:style w:type="paragraph" w:customStyle="1" w:styleId="2828">
    <w:name w:val="正文部分"/>
    <w:basedOn w:val="1"/>
    <w:link w:val="2827"/>
    <w:semiHidden/>
    <w:qFormat/>
    <w:uiPriority w:val="0"/>
    <w:pPr>
      <w:adjustRightInd/>
      <w:snapToGrid/>
      <w:spacing w:line="360" w:lineRule="auto"/>
      <w:ind w:firstLine="480"/>
      <w:jc w:val="both"/>
    </w:pPr>
    <w:rPr>
      <w:rFonts w:ascii="Arial" w:hAnsi="Arial"/>
      <w:kern w:val="0"/>
      <w:sz w:val="24"/>
      <w:szCs w:val="24"/>
    </w:rPr>
  </w:style>
  <w:style w:type="paragraph" w:customStyle="1" w:styleId="2829">
    <w:name w:val="fix"/>
    <w:basedOn w:val="1"/>
    <w:qFormat/>
    <w:uiPriority w:val="0"/>
    <w:pPr>
      <w:widowControl/>
      <w:adjustRightInd/>
      <w:snapToGrid/>
      <w:spacing w:before="100" w:beforeAutospacing="1" w:after="100" w:afterAutospacing="1" w:line="288" w:lineRule="auto"/>
      <w:ind w:firstLine="0" w:firstLineChars="0"/>
    </w:pPr>
    <w:rPr>
      <w:rFonts w:ascii="ˎ̥" w:hAnsi="ˎ̥" w:cs="宋体"/>
      <w:color w:val="000000"/>
      <w:kern w:val="0"/>
      <w:sz w:val="20"/>
      <w:szCs w:val="20"/>
    </w:rPr>
  </w:style>
  <w:style w:type="paragraph" w:customStyle="1" w:styleId="2830">
    <w:name w:val="_Style 19"/>
    <w:basedOn w:val="1"/>
    <w:qFormat/>
    <w:uiPriority w:val="0"/>
    <w:pPr>
      <w:widowControl/>
      <w:adjustRightInd/>
      <w:snapToGrid/>
      <w:spacing w:after="160" w:line="240" w:lineRule="exact"/>
      <w:ind w:firstLine="0" w:firstLineChars="0"/>
    </w:pPr>
    <w:rPr>
      <w:sz w:val="21"/>
      <w:szCs w:val="20"/>
    </w:rPr>
  </w:style>
  <w:style w:type="paragraph" w:customStyle="1" w:styleId="2831">
    <w:name w:val="Char Char7 Char Char Char Char Char Char1"/>
    <w:basedOn w:val="5"/>
    <w:qFormat/>
    <w:uiPriority w:val="0"/>
    <w:pPr>
      <w:keepNext/>
      <w:keepLines/>
      <w:widowControl w:val="0"/>
      <w:tabs>
        <w:tab w:val="left" w:pos="360"/>
        <w:tab w:val="left" w:pos="900"/>
        <w:tab w:val="clear" w:pos="0"/>
      </w:tabs>
      <w:adjustRightInd/>
      <w:ind w:left="-12" w:leftChars="-12" w:firstLine="200" w:firstLineChars="200"/>
    </w:pPr>
    <w:rPr>
      <w:rFonts w:eastAsia="黑体"/>
      <w:b w:val="0"/>
      <w:bCs/>
      <w:snapToGrid/>
      <w:kern w:val="0"/>
      <w:szCs w:val="24"/>
    </w:rPr>
  </w:style>
  <w:style w:type="paragraph" w:customStyle="1" w:styleId="2832">
    <w:name w:val="Char Char Char1 Char11"/>
    <w:basedOn w:val="1"/>
    <w:qFormat/>
    <w:uiPriority w:val="0"/>
    <w:pPr>
      <w:spacing w:line="240" w:lineRule="auto"/>
      <w:ind w:left="-45" w:firstLine="0" w:firstLineChars="0"/>
      <w:jc w:val="both"/>
    </w:pPr>
    <w:rPr>
      <w:sz w:val="21"/>
      <w:szCs w:val="24"/>
    </w:rPr>
  </w:style>
  <w:style w:type="character" w:customStyle="1" w:styleId="2833">
    <w:name w:val="yyp Char"/>
    <w:link w:val="2834"/>
    <w:qFormat/>
    <w:locked/>
    <w:uiPriority w:val="0"/>
    <w:rPr>
      <w:sz w:val="24"/>
      <w:szCs w:val="24"/>
    </w:rPr>
  </w:style>
  <w:style w:type="paragraph" w:customStyle="1" w:styleId="2834">
    <w:name w:val="yyp"/>
    <w:basedOn w:val="86"/>
    <w:link w:val="2833"/>
    <w:qFormat/>
    <w:uiPriority w:val="0"/>
    <w:pPr>
      <w:spacing w:line="360" w:lineRule="auto"/>
      <w:ind w:firstLine="480" w:firstLineChars="200"/>
    </w:pPr>
    <w:rPr>
      <w:rFonts w:ascii="Calibri" w:hAnsi="Calibri"/>
      <w:color w:val="auto"/>
      <w:kern w:val="0"/>
    </w:rPr>
  </w:style>
  <w:style w:type="paragraph" w:customStyle="1" w:styleId="2835">
    <w:name w:val="X-正文"/>
    <w:basedOn w:val="1"/>
    <w:qFormat/>
    <w:uiPriority w:val="0"/>
    <w:pPr>
      <w:spacing w:line="360" w:lineRule="auto"/>
    </w:pPr>
    <w:rPr>
      <w:rFonts w:ascii="宋体" w:hAnsi="宋体" w:eastAsia="楷体_GB2312"/>
      <w:sz w:val="24"/>
      <w:szCs w:val="24"/>
    </w:rPr>
  </w:style>
  <w:style w:type="character" w:customStyle="1" w:styleId="2836">
    <w:name w:val="武正文 Char"/>
    <w:link w:val="2837"/>
    <w:qFormat/>
    <w:locked/>
    <w:uiPriority w:val="0"/>
    <w:rPr>
      <w:color w:val="000000"/>
      <w:sz w:val="24"/>
      <w:szCs w:val="24"/>
    </w:rPr>
  </w:style>
  <w:style w:type="paragraph" w:customStyle="1" w:styleId="2837">
    <w:name w:val="武正文"/>
    <w:basedOn w:val="1"/>
    <w:link w:val="2836"/>
    <w:qFormat/>
    <w:uiPriority w:val="0"/>
    <w:pPr>
      <w:adjustRightInd/>
      <w:snapToGrid/>
      <w:spacing w:line="460" w:lineRule="exact"/>
      <w:jc w:val="both"/>
    </w:pPr>
    <w:rPr>
      <w:rFonts w:ascii="Calibri" w:hAnsi="Calibri"/>
      <w:color w:val="000000"/>
      <w:kern w:val="0"/>
      <w:sz w:val="24"/>
      <w:szCs w:val="24"/>
    </w:rPr>
  </w:style>
  <w:style w:type="paragraph" w:customStyle="1" w:styleId="2838">
    <w:name w:val="正文-报告书"/>
    <w:basedOn w:val="1"/>
    <w:qFormat/>
    <w:uiPriority w:val="0"/>
    <w:pPr>
      <w:adjustRightInd/>
      <w:snapToGrid/>
      <w:spacing w:line="460" w:lineRule="exact"/>
      <w:ind w:firstLine="480"/>
      <w:jc w:val="both"/>
    </w:pPr>
    <w:rPr>
      <w:sz w:val="24"/>
      <w:szCs w:val="24"/>
    </w:rPr>
  </w:style>
  <w:style w:type="paragraph" w:customStyle="1" w:styleId="2839">
    <w:name w:val="表内序号"/>
    <w:basedOn w:val="1"/>
    <w:qFormat/>
    <w:uiPriority w:val="0"/>
    <w:pPr>
      <w:widowControl/>
      <w:spacing w:line="360" w:lineRule="auto"/>
      <w:ind w:right="-47" w:rightChars="-47" w:firstLine="0" w:firstLineChars="0"/>
      <w:jc w:val="center"/>
    </w:pPr>
    <w:rPr>
      <w:kern w:val="0"/>
      <w:sz w:val="24"/>
      <w:szCs w:val="20"/>
    </w:rPr>
  </w:style>
  <w:style w:type="paragraph" w:customStyle="1" w:styleId="2840">
    <w:name w:val="表格标题-报告书"/>
    <w:basedOn w:val="1"/>
    <w:next w:val="1"/>
    <w:qFormat/>
    <w:uiPriority w:val="0"/>
    <w:pPr>
      <w:adjustRightInd/>
      <w:snapToGrid/>
      <w:spacing w:beforeLines="50" w:line="240" w:lineRule="auto"/>
      <w:ind w:firstLine="0" w:firstLineChars="0"/>
      <w:jc w:val="center"/>
    </w:pPr>
    <w:rPr>
      <w:rFonts w:eastAsia="华文中宋"/>
      <w:kern w:val="24"/>
      <w:sz w:val="21"/>
      <w:szCs w:val="21"/>
    </w:rPr>
  </w:style>
  <w:style w:type="paragraph" w:customStyle="1" w:styleId="2841">
    <w:name w:val="表格文字居中-报告书"/>
    <w:basedOn w:val="1"/>
    <w:next w:val="1"/>
    <w:qFormat/>
    <w:uiPriority w:val="0"/>
    <w:pPr>
      <w:adjustRightInd/>
      <w:snapToGrid/>
      <w:spacing w:line="240" w:lineRule="auto"/>
      <w:ind w:firstLine="0" w:firstLineChars="0"/>
      <w:jc w:val="center"/>
    </w:pPr>
    <w:rPr>
      <w:sz w:val="21"/>
      <w:szCs w:val="18"/>
    </w:rPr>
  </w:style>
  <w:style w:type="paragraph" w:customStyle="1" w:styleId="2842">
    <w:name w:val="统一正文格式"/>
    <w:basedOn w:val="35"/>
    <w:qFormat/>
    <w:uiPriority w:val="0"/>
    <w:pPr>
      <w:tabs>
        <w:tab w:val="left" w:pos="0"/>
      </w:tabs>
      <w:spacing w:line="460" w:lineRule="atLeast"/>
    </w:pPr>
    <w:rPr>
      <w:rFonts w:eastAsia="Times New Roman" w:cs="宋体"/>
      <w:kern w:val="24"/>
      <w:sz w:val="24"/>
      <w:szCs w:val="20"/>
    </w:rPr>
  </w:style>
  <w:style w:type="paragraph" w:customStyle="1" w:styleId="2843">
    <w:name w:val="X-正文-B"/>
    <w:qFormat/>
    <w:uiPriority w:val="0"/>
    <w:pPr>
      <w:spacing w:line="360" w:lineRule="auto"/>
    </w:pPr>
    <w:rPr>
      <w:rFonts w:ascii="宋体" w:hAnsi="宋体" w:eastAsia="楷体_GB2312" w:cs="Times New Roman"/>
      <w:b/>
      <w:kern w:val="2"/>
      <w:sz w:val="24"/>
      <w:szCs w:val="24"/>
      <w:lang w:val="en-US" w:eastAsia="zh-CN" w:bidi="ar-SA"/>
    </w:rPr>
  </w:style>
  <w:style w:type="paragraph" w:customStyle="1" w:styleId="2844">
    <w:name w:val="表格文本"/>
    <w:basedOn w:val="1"/>
    <w:next w:val="1"/>
    <w:qFormat/>
    <w:uiPriority w:val="0"/>
    <w:pPr>
      <w:adjustRightInd/>
      <w:snapToGrid/>
      <w:spacing w:line="240" w:lineRule="exact"/>
      <w:ind w:firstLine="0" w:firstLineChars="0"/>
      <w:jc w:val="both"/>
    </w:pPr>
    <w:rPr>
      <w:sz w:val="21"/>
      <w:szCs w:val="20"/>
    </w:rPr>
  </w:style>
  <w:style w:type="paragraph" w:customStyle="1" w:styleId="2845">
    <w:name w:val="正文-使用"/>
    <w:basedOn w:val="1"/>
    <w:qFormat/>
    <w:uiPriority w:val="0"/>
    <w:pPr>
      <w:spacing w:line="360" w:lineRule="auto"/>
      <w:ind w:firstLine="482" w:firstLineChars="0"/>
      <w:jc w:val="both"/>
    </w:pPr>
    <w:rPr>
      <w:sz w:val="24"/>
      <w:szCs w:val="20"/>
    </w:rPr>
  </w:style>
  <w:style w:type="paragraph" w:customStyle="1" w:styleId="2846">
    <w:name w:val="文-5"/>
    <w:basedOn w:val="1"/>
    <w:qFormat/>
    <w:uiPriority w:val="0"/>
    <w:pPr>
      <w:tabs>
        <w:tab w:val="right" w:leader="dot" w:pos="8789"/>
      </w:tabs>
      <w:adjustRightInd/>
      <w:snapToGrid/>
      <w:spacing w:before="120" w:line="240" w:lineRule="auto"/>
      <w:ind w:left="1276" w:firstLine="482" w:firstLineChars="0"/>
      <w:jc w:val="both"/>
    </w:pPr>
    <w:rPr>
      <w:sz w:val="24"/>
      <w:szCs w:val="20"/>
    </w:rPr>
  </w:style>
  <w:style w:type="paragraph" w:customStyle="1" w:styleId="2847">
    <w:name w:val="样式 标题 2节标题1.1标题 2节标题 1.1H2节标题 1.1 Char第一层条H21 + 段前: 2.4 磅..."/>
    <w:basedOn w:val="4"/>
    <w:qFormat/>
    <w:uiPriority w:val="0"/>
    <w:pPr>
      <w:keepNext/>
      <w:keepLines/>
      <w:tabs>
        <w:tab w:val="left" w:pos="927"/>
        <w:tab w:val="left" w:pos="1134"/>
        <w:tab w:val="clear" w:pos="0"/>
      </w:tabs>
      <w:adjustRightInd/>
      <w:spacing w:beforeLines="0" w:afterLines="0" w:line="420" w:lineRule="atLeast"/>
    </w:pPr>
    <w:rPr>
      <w:rFonts w:ascii="宋体" w:cs="宋体"/>
      <w:b w:val="0"/>
      <w:bCs w:val="0"/>
      <w:snapToGrid/>
      <w:spacing w:val="-10"/>
      <w:kern w:val="28"/>
      <w:szCs w:val="20"/>
    </w:rPr>
  </w:style>
  <w:style w:type="paragraph" w:customStyle="1" w:styleId="2848">
    <w:name w:val="pic-info"/>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character" w:customStyle="1" w:styleId="2849">
    <w:name w:val="样式 标题 2节H2节标题 1.1 + (西文) Times New Roman (中文) 宋体 段前: 6 磅 段... Char Char"/>
    <w:link w:val="2850"/>
    <w:qFormat/>
    <w:locked/>
    <w:uiPriority w:val="0"/>
    <w:rPr>
      <w:rFonts w:ascii="宋体" w:hAnsi="宋体"/>
      <w:b/>
      <w:bCs/>
      <w:sz w:val="32"/>
    </w:rPr>
  </w:style>
  <w:style w:type="paragraph" w:customStyle="1" w:styleId="2850">
    <w:name w:val="样式 标题 2节H2节标题 1.1 + (西文) Times New Roman (中文) 宋体 段前: 6 磅 段..."/>
    <w:basedOn w:val="4"/>
    <w:next w:val="1"/>
    <w:link w:val="2849"/>
    <w:qFormat/>
    <w:uiPriority w:val="0"/>
    <w:pPr>
      <w:keepNext/>
      <w:keepLines/>
      <w:widowControl w:val="0"/>
      <w:tabs>
        <w:tab w:val="left" w:pos="927"/>
        <w:tab w:val="left" w:pos="1134"/>
        <w:tab w:val="clear" w:pos="0"/>
      </w:tabs>
      <w:adjustRightInd/>
      <w:snapToGrid/>
      <w:spacing w:beforeLines="0" w:afterLines="0" w:line="500" w:lineRule="exact"/>
      <w:jc w:val="both"/>
    </w:pPr>
    <w:rPr>
      <w:rFonts w:ascii="宋体" w:hAnsi="宋体"/>
      <w:snapToGrid/>
      <w:kern w:val="0"/>
      <w:sz w:val="32"/>
      <w:szCs w:val="20"/>
    </w:rPr>
  </w:style>
  <w:style w:type="paragraph" w:customStyle="1" w:styleId="2851">
    <w:name w:val="reader-word-layer reader-word-s1-17"/>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852">
    <w:name w:val="reader-word-layer reader-word-s1-18"/>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853">
    <w:name w:val="reader-word-layer reader-word-s1-14"/>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854">
    <w:name w:val="reader-word-layer reader-word-s1-15"/>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855">
    <w:name w:val="reader-word-layer reader-word-s1-7 reader-word-s1-15"/>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856">
    <w:name w:val="_Style 632"/>
    <w:basedOn w:val="1"/>
    <w:qFormat/>
    <w:uiPriority w:val="0"/>
    <w:pPr>
      <w:spacing w:line="360" w:lineRule="auto"/>
      <w:jc w:val="both"/>
    </w:pPr>
    <w:rPr>
      <w:sz w:val="21"/>
      <w:szCs w:val="24"/>
    </w:rPr>
  </w:style>
  <w:style w:type="paragraph" w:customStyle="1" w:styleId="2857">
    <w:name w:val="reader-word-layer reader-word-s6-1"/>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character" w:customStyle="1" w:styleId="2858">
    <w:name w:val="样式 行距: 多倍行距 1.3 字行 Char"/>
    <w:link w:val="2859"/>
    <w:qFormat/>
    <w:locked/>
    <w:uiPriority w:val="0"/>
    <w:rPr>
      <w:rFonts w:ascii="仿宋_GB2312" w:eastAsia="仿宋_GB2312"/>
      <w:sz w:val="24"/>
      <w:szCs w:val="24"/>
    </w:rPr>
  </w:style>
  <w:style w:type="paragraph" w:customStyle="1" w:styleId="2859">
    <w:name w:val="样式 行距: 多倍行距 1.3 字行"/>
    <w:basedOn w:val="1"/>
    <w:link w:val="2858"/>
    <w:qFormat/>
    <w:uiPriority w:val="0"/>
    <w:pPr>
      <w:adjustRightInd/>
      <w:snapToGrid/>
      <w:spacing w:line="360" w:lineRule="auto"/>
      <w:ind w:firstLine="480"/>
      <w:jc w:val="both"/>
    </w:pPr>
    <w:rPr>
      <w:rFonts w:ascii="仿宋_GB2312" w:hAnsi="Calibri" w:eastAsia="仿宋_GB2312"/>
      <w:kern w:val="0"/>
      <w:sz w:val="24"/>
      <w:szCs w:val="24"/>
    </w:rPr>
  </w:style>
  <w:style w:type="character" w:customStyle="1" w:styleId="2860">
    <w:name w:val="dxj正文 Char"/>
    <w:link w:val="2861"/>
    <w:qFormat/>
    <w:locked/>
    <w:uiPriority w:val="0"/>
    <w:rPr>
      <w:rFonts w:ascii="Times New Roman" w:hAnsi="Times New Roman" w:eastAsia="Times New Roman"/>
      <w:snapToGrid w:val="0"/>
      <w:sz w:val="24"/>
      <w:szCs w:val="24"/>
    </w:rPr>
  </w:style>
  <w:style w:type="paragraph" w:customStyle="1" w:styleId="2861">
    <w:name w:val="dxj正文"/>
    <w:link w:val="2860"/>
    <w:qFormat/>
    <w:uiPriority w:val="0"/>
    <w:pPr>
      <w:snapToGrid w:val="0"/>
      <w:ind w:firstLine="200"/>
    </w:pPr>
    <w:rPr>
      <w:rFonts w:ascii="Times New Roman" w:hAnsi="Times New Roman" w:eastAsia="Times New Roman" w:cs="Times New Roman"/>
      <w:snapToGrid w:val="0"/>
      <w:sz w:val="24"/>
      <w:szCs w:val="24"/>
      <w:lang w:val="en-US" w:eastAsia="zh-CN" w:bidi="ar-SA"/>
    </w:rPr>
  </w:style>
  <w:style w:type="character" w:customStyle="1" w:styleId="2862">
    <w:name w:val="核查报告正文 Char Char"/>
    <w:link w:val="2863"/>
    <w:qFormat/>
    <w:locked/>
    <w:uiPriority w:val="0"/>
    <w:rPr>
      <w:rFonts w:ascii="Arial" w:hAnsi="Arial" w:eastAsia="楷体_GB2312"/>
      <w:sz w:val="24"/>
      <w:szCs w:val="52"/>
    </w:rPr>
  </w:style>
  <w:style w:type="paragraph" w:customStyle="1" w:styleId="2863">
    <w:name w:val="核查报告正文 Char"/>
    <w:link w:val="2862"/>
    <w:qFormat/>
    <w:uiPriority w:val="0"/>
    <w:pPr>
      <w:spacing w:line="440" w:lineRule="exact"/>
      <w:ind w:firstLine="200" w:firstLineChars="200"/>
    </w:pPr>
    <w:rPr>
      <w:rFonts w:ascii="Arial" w:hAnsi="Arial" w:eastAsia="楷体_GB2312" w:cs="Times New Roman"/>
      <w:sz w:val="24"/>
      <w:szCs w:val="52"/>
      <w:lang w:val="en-US" w:eastAsia="zh-CN" w:bidi="ar-SA"/>
    </w:rPr>
  </w:style>
  <w:style w:type="character" w:customStyle="1" w:styleId="2864">
    <w:name w:val="正文段落（宋旭峰） Char"/>
    <w:link w:val="2865"/>
    <w:qFormat/>
    <w:locked/>
    <w:uiPriority w:val="0"/>
    <w:rPr>
      <w:rFonts w:ascii="宋体" w:hAnsi="宋体"/>
      <w:snapToGrid w:val="0"/>
      <w:color w:val="000000"/>
      <w:sz w:val="24"/>
      <w:szCs w:val="24"/>
    </w:rPr>
  </w:style>
  <w:style w:type="paragraph" w:customStyle="1" w:styleId="2865">
    <w:name w:val="正文段落（宋旭峰）"/>
    <w:basedOn w:val="1"/>
    <w:link w:val="2864"/>
    <w:qFormat/>
    <w:uiPriority w:val="0"/>
    <w:pPr>
      <w:adjustRightInd/>
      <w:spacing w:line="360" w:lineRule="auto"/>
      <w:ind w:firstLine="480"/>
      <w:jc w:val="both"/>
    </w:pPr>
    <w:rPr>
      <w:rFonts w:ascii="宋体" w:hAnsi="宋体"/>
      <w:snapToGrid w:val="0"/>
      <w:color w:val="000000"/>
      <w:kern w:val="0"/>
      <w:sz w:val="24"/>
      <w:szCs w:val="24"/>
    </w:rPr>
  </w:style>
  <w:style w:type="character" w:customStyle="1" w:styleId="2866">
    <w:name w:val="正文段落 Char"/>
    <w:link w:val="1825"/>
    <w:qFormat/>
    <w:locked/>
    <w:uiPriority w:val="0"/>
    <w:rPr>
      <w:rFonts w:ascii="宋体" w:hAnsi="宋体"/>
      <w:kern w:val="2"/>
      <w:sz w:val="24"/>
    </w:rPr>
  </w:style>
  <w:style w:type="paragraph" w:customStyle="1" w:styleId="2867">
    <w:name w:val="Char Char Char3 Char Char Char Char"/>
    <w:basedOn w:val="1"/>
    <w:next w:val="1"/>
    <w:qFormat/>
    <w:uiPriority w:val="0"/>
    <w:pPr>
      <w:adjustRightInd/>
      <w:snapToGrid/>
      <w:spacing w:line="360" w:lineRule="auto"/>
      <w:jc w:val="both"/>
    </w:pPr>
    <w:rPr>
      <w:rFonts w:ascii="宋体" w:hAnsi="宋体" w:cs="宋体"/>
      <w:sz w:val="24"/>
      <w:szCs w:val="24"/>
    </w:rPr>
  </w:style>
  <w:style w:type="paragraph" w:customStyle="1" w:styleId="2868">
    <w:name w:val="Char Char1 Char Char1 Char Char Char Char"/>
    <w:basedOn w:val="1"/>
    <w:qFormat/>
    <w:uiPriority w:val="0"/>
    <w:pPr>
      <w:adjustRightInd/>
      <w:snapToGrid/>
      <w:spacing w:line="240" w:lineRule="auto"/>
      <w:ind w:firstLine="0" w:firstLineChars="0"/>
      <w:jc w:val="both"/>
    </w:pPr>
    <w:rPr>
      <w:rFonts w:ascii="Tahoma" w:hAnsi="Tahoma"/>
      <w:sz w:val="24"/>
      <w:szCs w:val="20"/>
    </w:rPr>
  </w:style>
  <w:style w:type="paragraph" w:customStyle="1" w:styleId="2869">
    <w:name w:val="Char Char3 Char Char Char Char Char Char Char"/>
    <w:basedOn w:val="1"/>
    <w:qFormat/>
    <w:uiPriority w:val="0"/>
    <w:pPr>
      <w:widowControl/>
      <w:adjustRightInd/>
      <w:snapToGrid/>
      <w:spacing w:after="160" w:line="240" w:lineRule="exact"/>
      <w:ind w:firstLine="0" w:firstLineChars="0"/>
    </w:pPr>
    <w:rPr>
      <w:rFonts w:ascii="Verdana" w:hAnsi="Verdana"/>
      <w:kern w:val="0"/>
      <w:sz w:val="20"/>
      <w:szCs w:val="20"/>
      <w:lang w:eastAsia="en-US"/>
    </w:rPr>
  </w:style>
  <w:style w:type="paragraph" w:customStyle="1" w:styleId="2870">
    <w:name w:val="dxj表内容"/>
    <w:basedOn w:val="290"/>
    <w:qFormat/>
    <w:uiPriority w:val="0"/>
    <w:pPr>
      <w:overflowPunct w:val="0"/>
      <w:spacing w:beforeLines="0" w:afterLines="0" w:line="280" w:lineRule="exact"/>
      <w:ind w:firstLine="0" w:firstLineChars="0"/>
    </w:pPr>
    <w:rPr>
      <w:rFonts w:eastAsia="Times New Roman"/>
      <w:color w:val="000000"/>
      <w:kern w:val="24"/>
      <w:sz w:val="18"/>
    </w:rPr>
  </w:style>
  <w:style w:type="paragraph" w:customStyle="1" w:styleId="2871">
    <w:name w:val="CM6"/>
    <w:basedOn w:val="201"/>
    <w:next w:val="201"/>
    <w:qFormat/>
    <w:uiPriority w:val="0"/>
    <w:pPr>
      <w:spacing w:line="320" w:lineRule="atLeast"/>
    </w:pPr>
    <w:rPr>
      <w:rFonts w:hAnsi="Calibri" w:cs="Times New Roman"/>
      <w:color w:val="auto"/>
    </w:rPr>
  </w:style>
  <w:style w:type="paragraph" w:customStyle="1" w:styleId="2872">
    <w:name w:val="profile"/>
    <w:basedOn w:val="1"/>
    <w:qFormat/>
    <w:uiPriority w:val="0"/>
    <w:pPr>
      <w:widowControl/>
      <w:adjustRightInd/>
      <w:snapToGrid/>
      <w:spacing w:before="100" w:beforeAutospacing="1" w:after="100" w:afterAutospacing="1" w:line="384" w:lineRule="auto"/>
      <w:ind w:firstLine="0" w:firstLineChars="0"/>
      <w:jc w:val="both"/>
    </w:pPr>
    <w:rPr>
      <w:rFonts w:ascii="宋体" w:hAnsi="宋体"/>
      <w:kern w:val="0"/>
      <w:sz w:val="21"/>
      <w:szCs w:val="21"/>
    </w:rPr>
  </w:style>
  <w:style w:type="paragraph" w:customStyle="1" w:styleId="2873">
    <w:name w:val="dxj标题2"/>
    <w:basedOn w:val="4"/>
    <w:qFormat/>
    <w:uiPriority w:val="0"/>
    <w:pPr>
      <w:keepNext/>
      <w:keepLines/>
      <w:widowControl w:val="0"/>
      <w:tabs>
        <w:tab w:val="left" w:pos="927"/>
        <w:tab w:val="left" w:pos="1134"/>
        <w:tab w:val="clear" w:pos="0"/>
      </w:tabs>
      <w:spacing w:afterLines="0" w:line="360" w:lineRule="auto"/>
      <w:jc w:val="both"/>
    </w:pPr>
    <w:rPr>
      <w:b w:val="0"/>
      <w:bCs w:val="0"/>
      <w:snapToGrid/>
      <w:color w:val="000000"/>
      <w:kern w:val="0"/>
      <w:szCs w:val="30"/>
    </w:rPr>
  </w:style>
  <w:style w:type="paragraph" w:customStyle="1" w:styleId="2874">
    <w:name w:val="dxj表头"/>
    <w:basedOn w:val="1"/>
    <w:qFormat/>
    <w:uiPriority w:val="0"/>
    <w:pPr>
      <w:spacing w:line="360" w:lineRule="auto"/>
      <w:ind w:firstLine="0" w:firstLineChars="0"/>
      <w:jc w:val="center"/>
    </w:pPr>
    <w:rPr>
      <w:rFonts w:eastAsia="黑体" w:cs="宋体"/>
      <w:sz w:val="21"/>
      <w:szCs w:val="24"/>
    </w:rPr>
  </w:style>
  <w:style w:type="paragraph" w:customStyle="1" w:styleId="2875">
    <w:name w:val="样式 样式9 + 段前: 0.5 行 段后: 0.5 行"/>
    <w:basedOn w:val="1206"/>
    <w:qFormat/>
    <w:uiPriority w:val="0"/>
    <w:pPr>
      <w:keepNext/>
      <w:keepLines/>
      <w:pBdr>
        <w:top w:val="none" w:color="auto" w:sz="0" w:space="0"/>
      </w:pBdr>
      <w:tabs>
        <w:tab w:val="left" w:pos="0"/>
      </w:tabs>
      <w:snapToGrid/>
      <w:spacing w:beforeLines="100" w:afterLines="50" w:line="480" w:lineRule="exact"/>
      <w:ind w:right="0"/>
      <w:jc w:val="both"/>
      <w:outlineLvl w:val="1"/>
    </w:pPr>
    <w:rPr>
      <w:rFonts w:ascii="Arial" w:hAnsi="Arial" w:eastAsia="黑体"/>
      <w:spacing w:val="6"/>
      <w:kern w:val="0"/>
      <w:sz w:val="28"/>
      <w:szCs w:val="20"/>
    </w:rPr>
  </w:style>
  <w:style w:type="paragraph" w:customStyle="1" w:styleId="2876">
    <w:name w:val="样式 样式18 + 红色 行距: 固定值 26 磅"/>
    <w:basedOn w:val="1262"/>
    <w:qFormat/>
    <w:uiPriority w:val="0"/>
    <w:pPr>
      <w:keepNext/>
      <w:keepLines/>
      <w:overflowPunct w:val="0"/>
      <w:topLinePunct/>
      <w:autoSpaceDE w:val="0"/>
      <w:autoSpaceDN w:val="0"/>
      <w:adjustRightInd w:val="0"/>
      <w:snapToGrid w:val="0"/>
      <w:spacing w:line="520" w:lineRule="exact"/>
      <w:ind w:left="1800" w:firstLine="0" w:firstLineChars="0"/>
      <w:jc w:val="left"/>
      <w:outlineLvl w:val="3"/>
    </w:pPr>
    <w:rPr>
      <w:rFonts w:hAnsi="宋体"/>
      <w:color w:val="FF0000"/>
      <w:szCs w:val="20"/>
    </w:rPr>
  </w:style>
  <w:style w:type="paragraph" w:customStyle="1" w:styleId="2877">
    <w:name w:val="样式 样式13 + 右侧:  1 字符"/>
    <w:basedOn w:val="401"/>
    <w:qFormat/>
    <w:uiPriority w:val="0"/>
    <w:pPr>
      <w:keepNext/>
      <w:keepLines/>
      <w:tabs>
        <w:tab w:val="left" w:pos="560"/>
        <w:tab w:val="left" w:pos="927"/>
        <w:tab w:val="left" w:pos="1440"/>
      </w:tabs>
      <w:overflowPunct w:val="0"/>
      <w:topLinePunct/>
      <w:spacing w:beforeLines="0"/>
      <w:jc w:val="left"/>
      <w:outlineLvl w:val="3"/>
    </w:pPr>
    <w:rPr>
      <w:rFonts w:hAnsi="宋体"/>
      <w:kern w:val="0"/>
      <w:sz w:val="24"/>
      <w:szCs w:val="20"/>
      <w:lang w:val="en-US"/>
    </w:rPr>
  </w:style>
  <w:style w:type="paragraph" w:customStyle="1" w:styleId="2878">
    <w:name w:val="29"/>
    <w:basedOn w:val="1"/>
    <w:qFormat/>
    <w:uiPriority w:val="0"/>
    <w:pPr>
      <w:widowControl/>
      <w:adjustRightInd/>
      <w:snapToGrid/>
      <w:spacing w:before="100" w:beforeAutospacing="1" w:after="100" w:afterAutospacing="1" w:line="240" w:lineRule="auto"/>
      <w:ind w:firstLine="0" w:firstLineChars="0"/>
    </w:pPr>
    <w:rPr>
      <w:rFonts w:ascii="宋体" w:hAnsi="宋体"/>
      <w:kern w:val="0"/>
      <w:sz w:val="24"/>
      <w:szCs w:val="20"/>
    </w:rPr>
  </w:style>
  <w:style w:type="character" w:customStyle="1" w:styleId="2879">
    <w:name w:val="保定正文 Char"/>
    <w:link w:val="2880"/>
    <w:qFormat/>
    <w:locked/>
    <w:uiPriority w:val="0"/>
    <w:rPr>
      <w:rFonts w:ascii="宋体" w:hAnsi="宋体"/>
      <w:snapToGrid w:val="0"/>
    </w:rPr>
  </w:style>
  <w:style w:type="paragraph" w:customStyle="1" w:styleId="2880">
    <w:name w:val="保定正文"/>
    <w:basedOn w:val="1"/>
    <w:link w:val="2879"/>
    <w:qFormat/>
    <w:uiPriority w:val="0"/>
    <w:pPr>
      <w:adjustRightInd/>
      <w:spacing w:line="360" w:lineRule="auto"/>
      <w:jc w:val="both"/>
    </w:pPr>
    <w:rPr>
      <w:rFonts w:ascii="宋体" w:hAnsi="宋体"/>
      <w:snapToGrid w:val="0"/>
      <w:kern w:val="0"/>
      <w:sz w:val="20"/>
      <w:szCs w:val="20"/>
    </w:rPr>
  </w:style>
  <w:style w:type="paragraph" w:customStyle="1" w:styleId="2881">
    <w:name w:val="样式 小四 行距: 1.5 倍行距1"/>
    <w:basedOn w:val="1"/>
    <w:qFormat/>
    <w:uiPriority w:val="0"/>
    <w:pPr>
      <w:widowControl/>
      <w:adjustRightInd/>
      <w:snapToGrid/>
      <w:spacing w:line="360" w:lineRule="auto"/>
      <w:ind w:firstLine="480"/>
    </w:pPr>
    <w:rPr>
      <w:rFonts w:cs="宋体"/>
      <w:sz w:val="24"/>
      <w:szCs w:val="24"/>
    </w:rPr>
  </w:style>
  <w:style w:type="character" w:customStyle="1" w:styleId="2882">
    <w:name w:val="3级标题 Char"/>
    <w:qFormat/>
    <w:locked/>
    <w:uiPriority w:val="0"/>
    <w:rPr>
      <w:rFonts w:ascii="宋体" w:hAnsi="宋体"/>
      <w:bCs/>
      <w:kern w:val="2"/>
      <w:sz w:val="25"/>
      <w:szCs w:val="25"/>
      <w:lang w:bidi="ar-SA"/>
    </w:rPr>
  </w:style>
  <w:style w:type="character" w:customStyle="1" w:styleId="2883">
    <w:name w:val="2级标题 Char"/>
    <w:qFormat/>
    <w:locked/>
    <w:uiPriority w:val="0"/>
    <w:rPr>
      <w:rFonts w:ascii="黑体" w:hAnsi="宋体" w:eastAsia="黑体"/>
      <w:bCs/>
      <w:spacing w:val="5"/>
      <w:kern w:val="2"/>
      <w:sz w:val="25"/>
      <w:szCs w:val="25"/>
      <w:lang w:bidi="ar-SA"/>
    </w:rPr>
  </w:style>
  <w:style w:type="character" w:customStyle="1" w:styleId="2884">
    <w:name w:val="众联表头 Char"/>
    <w:link w:val="2885"/>
    <w:qFormat/>
    <w:locked/>
    <w:uiPriority w:val="0"/>
    <w:rPr>
      <w:rFonts w:ascii="宋体" w:hAnsi="宋体"/>
      <w:spacing w:val="5"/>
      <w:sz w:val="25"/>
      <w:szCs w:val="25"/>
    </w:rPr>
  </w:style>
  <w:style w:type="paragraph" w:customStyle="1" w:styleId="2885">
    <w:name w:val="众联表头"/>
    <w:basedOn w:val="1"/>
    <w:link w:val="2884"/>
    <w:qFormat/>
    <w:uiPriority w:val="0"/>
    <w:pPr>
      <w:adjustRightInd/>
      <w:snapToGrid/>
      <w:spacing w:line="460" w:lineRule="exact"/>
      <w:ind w:firstLine="520"/>
      <w:jc w:val="both"/>
    </w:pPr>
    <w:rPr>
      <w:rFonts w:ascii="宋体" w:hAnsi="宋体"/>
      <w:spacing w:val="5"/>
      <w:kern w:val="0"/>
      <w:sz w:val="25"/>
      <w:szCs w:val="25"/>
    </w:rPr>
  </w:style>
  <w:style w:type="paragraph" w:customStyle="1" w:styleId="2886">
    <w:name w:val="样式 标题 4"/>
    <w:basedOn w:val="6"/>
    <w:qFormat/>
    <w:uiPriority w:val="0"/>
    <w:pPr>
      <w:keepNext/>
      <w:keepLines/>
      <w:widowControl w:val="0"/>
      <w:numPr>
        <w:ilvl w:val="0"/>
        <w:numId w:val="0"/>
      </w:numPr>
      <w:tabs>
        <w:tab w:val="left" w:pos="1134"/>
        <w:tab w:val="left" w:pos="1630"/>
        <w:tab w:val="clear" w:pos="0"/>
      </w:tabs>
      <w:adjustRightInd/>
      <w:snapToGrid/>
    </w:pPr>
    <w:rPr>
      <w:rFonts w:ascii="宋体" w:hAnsi="宋体" w:cs="Arial"/>
      <w:b w:val="0"/>
      <w:snapToGrid/>
      <w:color w:val="008000"/>
      <w:spacing w:val="-10"/>
      <w:kern w:val="0"/>
      <w:sz w:val="24"/>
      <w:szCs w:val="24"/>
    </w:rPr>
  </w:style>
  <w:style w:type="paragraph" w:customStyle="1" w:styleId="2887">
    <w:name w:val="标题111"/>
    <w:basedOn w:val="1"/>
    <w:qFormat/>
    <w:uiPriority w:val="0"/>
    <w:pPr>
      <w:adjustRightInd/>
      <w:snapToGrid/>
      <w:ind w:firstLine="0" w:firstLineChars="0"/>
      <w:jc w:val="both"/>
    </w:pPr>
    <w:rPr>
      <w:rFonts w:ascii="Calibri" w:hAnsi="Calibri"/>
      <w:b/>
      <w:sz w:val="24"/>
      <w:szCs w:val="24"/>
    </w:rPr>
  </w:style>
  <w:style w:type="paragraph" w:customStyle="1" w:styleId="2888">
    <w:name w:val="燕山正文"/>
    <w:basedOn w:val="1"/>
    <w:qFormat/>
    <w:uiPriority w:val="0"/>
    <w:pPr>
      <w:tabs>
        <w:tab w:val="left" w:pos="4680"/>
      </w:tabs>
      <w:spacing w:line="360" w:lineRule="auto"/>
      <w:ind w:firstLine="480"/>
      <w:jc w:val="both"/>
    </w:pPr>
    <w:rPr>
      <w:rFonts w:hAnsi="宋体"/>
      <w:sz w:val="24"/>
      <w:szCs w:val="24"/>
    </w:rPr>
  </w:style>
  <w:style w:type="character" w:customStyle="1" w:styleId="2889">
    <w:name w:val="正文小四首缩1.3行距 Char Char"/>
    <w:link w:val="2890"/>
    <w:qFormat/>
    <w:locked/>
    <w:uiPriority w:val="0"/>
    <w:rPr>
      <w:sz w:val="24"/>
      <w:szCs w:val="24"/>
    </w:rPr>
  </w:style>
  <w:style w:type="paragraph" w:customStyle="1" w:styleId="2890">
    <w:name w:val="正文小四首缩1.3行距"/>
    <w:basedOn w:val="1"/>
    <w:link w:val="2889"/>
    <w:qFormat/>
    <w:uiPriority w:val="0"/>
    <w:pPr>
      <w:adjustRightInd/>
      <w:snapToGrid/>
      <w:spacing w:line="312" w:lineRule="auto"/>
      <w:ind w:firstLine="420"/>
      <w:jc w:val="both"/>
    </w:pPr>
    <w:rPr>
      <w:rFonts w:ascii="Calibri" w:hAnsi="Calibri"/>
      <w:kern w:val="0"/>
      <w:sz w:val="24"/>
      <w:szCs w:val="24"/>
    </w:rPr>
  </w:style>
  <w:style w:type="paragraph" w:customStyle="1" w:styleId="2891">
    <w:name w:val="样式 行距: 固定值 25 磅"/>
    <w:qFormat/>
    <w:uiPriority w:val="0"/>
    <w:pPr>
      <w:spacing w:line="360" w:lineRule="auto"/>
      <w:ind w:firstLine="560" w:firstLineChars="200"/>
    </w:pPr>
    <w:rPr>
      <w:rFonts w:ascii="Times New Roman" w:hAnsi="Times New Roman" w:eastAsia="宋体" w:cs="Times New Roman"/>
      <w:szCs w:val="28"/>
      <w:lang w:val="en-US" w:eastAsia="zh-CN" w:bidi="ar-SA"/>
    </w:rPr>
  </w:style>
  <w:style w:type="paragraph" w:customStyle="1" w:styleId="2892">
    <w:name w:val="样式 标题 3三级标题标题3H3h33rd level第二层条ReHead 3 WSA标题03三级标题 3..."/>
    <w:basedOn w:val="5"/>
    <w:qFormat/>
    <w:uiPriority w:val="0"/>
    <w:pPr>
      <w:keepNext/>
      <w:keepLines/>
      <w:widowControl w:val="0"/>
      <w:tabs>
        <w:tab w:val="left" w:pos="1134"/>
        <w:tab w:val="left" w:pos="1256"/>
        <w:tab w:val="clear" w:pos="0"/>
      </w:tabs>
      <w:adjustRightInd/>
      <w:snapToGrid/>
    </w:pPr>
    <w:rPr>
      <w:rFonts w:ascii="黑体" w:eastAsia="黑体" w:cs="宋体"/>
      <w:snapToGrid/>
      <w:kern w:val="0"/>
      <w:szCs w:val="28"/>
    </w:rPr>
  </w:style>
  <w:style w:type="paragraph" w:customStyle="1" w:styleId="2893">
    <w:name w:val="p21"/>
    <w:basedOn w:val="1"/>
    <w:qFormat/>
    <w:uiPriority w:val="0"/>
    <w:pPr>
      <w:widowControl/>
      <w:adjustRightInd/>
      <w:snapToGrid/>
      <w:spacing w:beforeLines="10" w:line="360" w:lineRule="auto"/>
      <w:ind w:firstLine="420" w:firstLineChars="0"/>
      <w:jc w:val="both"/>
    </w:pPr>
    <w:rPr>
      <w:color w:val="000000"/>
      <w:sz w:val="24"/>
      <w:szCs w:val="24"/>
    </w:rPr>
  </w:style>
  <w:style w:type="paragraph" w:customStyle="1" w:styleId="2894">
    <w:name w:val="标准条文"/>
    <w:basedOn w:val="201"/>
    <w:next w:val="201"/>
    <w:qFormat/>
    <w:uiPriority w:val="0"/>
    <w:rPr>
      <w:rFonts w:ascii="Times New Roman" w:cs="Times New Roman"/>
      <w:color w:val="auto"/>
    </w:rPr>
  </w:style>
  <w:style w:type="paragraph" w:customStyle="1" w:styleId="2895">
    <w:name w:val="标题 31"/>
    <w:basedOn w:val="1"/>
    <w:next w:val="1"/>
    <w:qFormat/>
    <w:uiPriority w:val="0"/>
    <w:pPr>
      <w:keepNext/>
      <w:keepLines/>
      <w:adjustRightInd/>
      <w:snapToGrid/>
      <w:spacing w:before="260" w:after="260" w:line="415" w:lineRule="auto"/>
      <w:ind w:firstLine="0" w:firstLineChars="0"/>
      <w:jc w:val="both"/>
      <w:outlineLvl w:val="2"/>
    </w:pPr>
    <w:rPr>
      <w:b/>
      <w:sz w:val="32"/>
      <w:szCs w:val="24"/>
    </w:rPr>
  </w:style>
  <w:style w:type="character" w:customStyle="1" w:styleId="2896">
    <w:name w:val="正文首行缩进 Char2 Char"/>
    <w:link w:val="492"/>
    <w:qFormat/>
    <w:locked/>
    <w:uiPriority w:val="0"/>
    <w:rPr>
      <w:rFonts w:ascii="Times New Roman" w:hAnsi="Times New Roman"/>
      <w:sz w:val="28"/>
      <w:szCs w:val="24"/>
    </w:rPr>
  </w:style>
  <w:style w:type="paragraph" w:customStyle="1" w:styleId="2897">
    <w:name w:val="副标题2"/>
    <w:basedOn w:val="4"/>
    <w:qFormat/>
    <w:uiPriority w:val="0"/>
    <w:pPr>
      <w:keepNext/>
      <w:keepLines/>
      <w:widowControl w:val="0"/>
      <w:tabs>
        <w:tab w:val="left" w:pos="780"/>
        <w:tab w:val="left" w:pos="1680"/>
        <w:tab w:val="clear" w:pos="0"/>
      </w:tabs>
      <w:adjustRightInd/>
      <w:snapToGrid/>
      <w:spacing w:beforeLines="0" w:afterLines="0" w:line="360" w:lineRule="auto"/>
      <w:ind w:left="200" w:leftChars="200" w:hanging="360" w:hangingChars="200"/>
      <w:jc w:val="center"/>
    </w:pPr>
    <w:rPr>
      <w:rFonts w:ascii="Arial" w:hAnsi="Arial" w:cs="宋体"/>
      <w:snapToGrid/>
      <w:kern w:val="0"/>
      <w:szCs w:val="20"/>
    </w:rPr>
  </w:style>
  <w:style w:type="paragraph" w:customStyle="1" w:styleId="2898">
    <w:name w:val="样式 正文 +1"/>
    <w:basedOn w:val="1"/>
    <w:qFormat/>
    <w:uiPriority w:val="0"/>
    <w:pPr>
      <w:adjustRightInd/>
      <w:snapToGrid/>
      <w:spacing w:line="360" w:lineRule="auto"/>
    </w:pPr>
    <w:rPr>
      <w:rFonts w:cs="宋体"/>
      <w:sz w:val="24"/>
      <w:szCs w:val="20"/>
    </w:rPr>
  </w:style>
  <w:style w:type="paragraph" w:customStyle="1" w:styleId="2899">
    <w:name w:val="reader-word-layer reader-word-s1-1"/>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900">
    <w:name w:val="reader-word-layer reader-word-s1-3"/>
    <w:basedOn w:val="1"/>
    <w:qFormat/>
    <w:uiPriority w:val="0"/>
    <w:pPr>
      <w:widowControl/>
      <w:adjustRightInd/>
      <w:snapToGrid/>
      <w:spacing w:before="100" w:beforeAutospacing="1" w:after="100" w:afterAutospacing="1" w:line="240" w:lineRule="auto"/>
      <w:ind w:firstLine="0" w:firstLineChars="0"/>
    </w:pPr>
    <w:rPr>
      <w:rFonts w:ascii="宋体" w:hAnsi="宋体" w:cs="宋体"/>
      <w:kern w:val="0"/>
      <w:sz w:val="24"/>
      <w:szCs w:val="24"/>
    </w:rPr>
  </w:style>
  <w:style w:type="paragraph" w:customStyle="1" w:styleId="2901">
    <w:name w:val="正文文本 23"/>
    <w:basedOn w:val="1"/>
    <w:qFormat/>
    <w:uiPriority w:val="0"/>
    <w:pPr>
      <w:ind w:firstLine="510" w:firstLineChars="0"/>
      <w:jc w:val="both"/>
    </w:pPr>
    <w:rPr>
      <w:rFonts w:eastAsia="仿宋_GB2312"/>
      <w:kern w:val="0"/>
      <w:sz w:val="28"/>
      <w:szCs w:val="20"/>
    </w:rPr>
  </w:style>
  <w:style w:type="paragraph" w:customStyle="1" w:styleId="2902">
    <w:name w:val="Char12"/>
    <w:basedOn w:val="1"/>
    <w:qFormat/>
    <w:uiPriority w:val="0"/>
    <w:pPr>
      <w:adjustRightInd/>
      <w:snapToGrid/>
      <w:spacing w:line="240" w:lineRule="auto"/>
      <w:ind w:firstLine="0" w:firstLineChars="0"/>
      <w:jc w:val="both"/>
    </w:pPr>
    <w:rPr>
      <w:sz w:val="21"/>
      <w:szCs w:val="24"/>
    </w:rPr>
  </w:style>
  <w:style w:type="paragraph" w:customStyle="1" w:styleId="2903">
    <w:name w:val="Char1 Char Char Char12"/>
    <w:basedOn w:val="1"/>
    <w:qFormat/>
    <w:uiPriority w:val="0"/>
    <w:pPr>
      <w:adjustRightInd/>
      <w:snapToGrid/>
      <w:spacing w:line="240" w:lineRule="auto"/>
      <w:ind w:firstLine="0" w:firstLineChars="0"/>
      <w:jc w:val="both"/>
    </w:pPr>
    <w:rPr>
      <w:sz w:val="21"/>
      <w:szCs w:val="24"/>
    </w:rPr>
  </w:style>
  <w:style w:type="paragraph" w:customStyle="1" w:styleId="2904">
    <w:name w:val="题注3"/>
    <w:basedOn w:val="1"/>
    <w:qFormat/>
    <w:uiPriority w:val="0"/>
    <w:pPr>
      <w:widowControl/>
      <w:adjustRightInd/>
      <w:snapToGrid/>
      <w:spacing w:before="100" w:beforeAutospacing="1" w:line="240" w:lineRule="auto"/>
      <w:ind w:firstLine="0" w:firstLineChars="0"/>
    </w:pPr>
    <w:rPr>
      <w:rFonts w:ascii="Arial" w:hAnsi="Arial" w:cs="Arial"/>
      <w:b/>
      <w:bCs/>
      <w:kern w:val="0"/>
      <w:sz w:val="14"/>
      <w:szCs w:val="14"/>
    </w:rPr>
  </w:style>
  <w:style w:type="paragraph" w:customStyle="1" w:styleId="2905">
    <w:name w:val="页脚3"/>
    <w:basedOn w:val="1"/>
    <w:qFormat/>
    <w:uiPriority w:val="0"/>
    <w:pPr>
      <w:widowControl/>
      <w:adjustRightInd/>
      <w:snapToGrid/>
      <w:spacing w:before="100" w:beforeAutospacing="1" w:after="100" w:afterAutospacing="1" w:line="240" w:lineRule="auto"/>
      <w:ind w:firstLine="0" w:firstLineChars="0"/>
      <w:jc w:val="center"/>
    </w:pPr>
    <w:rPr>
      <w:rFonts w:ascii="Arial" w:hAnsi="Arial" w:cs="Arial"/>
      <w:kern w:val="0"/>
      <w:sz w:val="12"/>
      <w:szCs w:val="12"/>
    </w:rPr>
  </w:style>
  <w:style w:type="paragraph" w:customStyle="1" w:styleId="2906">
    <w:name w:val="Char Char1 Char Char1 Char Char1 Char Char1 Char Char Char Char Char Char Char1"/>
    <w:basedOn w:val="1"/>
    <w:qFormat/>
    <w:uiPriority w:val="0"/>
    <w:pPr>
      <w:adjustRightInd/>
      <w:snapToGrid/>
      <w:spacing w:line="240" w:lineRule="auto"/>
      <w:ind w:firstLine="0" w:firstLineChars="0"/>
      <w:jc w:val="both"/>
    </w:pPr>
    <w:rPr>
      <w:rFonts w:ascii="Tahoma" w:hAnsi="Tahoma"/>
      <w:sz w:val="24"/>
      <w:szCs w:val="24"/>
    </w:rPr>
  </w:style>
  <w:style w:type="paragraph" w:customStyle="1" w:styleId="2907">
    <w:name w:val="Char Char7 Char Char Char Char Char Char2"/>
    <w:basedOn w:val="5"/>
    <w:qFormat/>
    <w:uiPriority w:val="0"/>
    <w:pPr>
      <w:keepNext/>
      <w:keepLines/>
      <w:widowControl w:val="0"/>
      <w:tabs>
        <w:tab w:val="left" w:pos="360"/>
        <w:tab w:val="left" w:pos="900"/>
        <w:tab w:val="clear" w:pos="0"/>
      </w:tabs>
      <w:adjustRightInd/>
      <w:ind w:left="-12" w:leftChars="-12" w:firstLine="200" w:firstLineChars="200"/>
    </w:pPr>
    <w:rPr>
      <w:rFonts w:eastAsia="黑体"/>
      <w:bCs/>
      <w:snapToGrid/>
      <w:kern w:val="0"/>
      <w:szCs w:val="20"/>
    </w:rPr>
  </w:style>
  <w:style w:type="paragraph" w:customStyle="1" w:styleId="2908">
    <w:name w:val="Char2 Char Char Char Char Char Char Char1"/>
    <w:basedOn w:val="1"/>
    <w:qFormat/>
    <w:uiPriority w:val="0"/>
    <w:pPr>
      <w:autoSpaceDE w:val="0"/>
      <w:autoSpaceDN w:val="0"/>
      <w:spacing w:before="50" w:after="50" w:line="360" w:lineRule="auto"/>
      <w:ind w:firstLine="560"/>
      <w:jc w:val="both"/>
    </w:pPr>
    <w:rPr>
      <w:rFonts w:eastAsia="仿宋_GB2312"/>
      <w:color w:val="000000"/>
      <w:sz w:val="24"/>
      <w:szCs w:val="20"/>
    </w:rPr>
  </w:style>
  <w:style w:type="paragraph" w:customStyle="1" w:styleId="2909">
    <w:name w:val="正文文本缩进 22"/>
    <w:basedOn w:val="1"/>
    <w:qFormat/>
    <w:uiPriority w:val="0"/>
    <w:pPr>
      <w:snapToGrid/>
      <w:spacing w:line="312" w:lineRule="atLeast"/>
      <w:ind w:firstLine="540" w:firstLineChars="0"/>
      <w:jc w:val="both"/>
    </w:pPr>
    <w:rPr>
      <w:kern w:val="0"/>
      <w:sz w:val="21"/>
      <w:szCs w:val="20"/>
    </w:rPr>
  </w:style>
  <w:style w:type="paragraph" w:customStyle="1" w:styleId="2910">
    <w:name w:val="Char Char Char1 Char12"/>
    <w:basedOn w:val="1"/>
    <w:qFormat/>
    <w:uiPriority w:val="0"/>
    <w:pPr>
      <w:spacing w:line="240" w:lineRule="auto"/>
      <w:ind w:left="-45" w:firstLine="0" w:firstLineChars="0"/>
      <w:jc w:val="both"/>
    </w:pPr>
    <w:rPr>
      <w:sz w:val="21"/>
      <w:szCs w:val="24"/>
    </w:rPr>
  </w:style>
  <w:style w:type="paragraph" w:customStyle="1" w:styleId="2911">
    <w:name w:val="Char6 Char Char Char Char Char Char Char Char Char2"/>
    <w:basedOn w:val="1"/>
    <w:qFormat/>
    <w:uiPriority w:val="0"/>
    <w:pPr>
      <w:adjustRightInd/>
      <w:snapToGrid/>
      <w:spacing w:line="240" w:lineRule="auto"/>
      <w:ind w:firstLine="0" w:firstLineChars="0"/>
      <w:jc w:val="both"/>
    </w:pPr>
    <w:rPr>
      <w:rFonts w:ascii="宋体" w:hAnsi="宋体"/>
      <w:color w:val="000000"/>
      <w:sz w:val="28"/>
      <w:szCs w:val="20"/>
    </w:rPr>
  </w:style>
  <w:style w:type="paragraph" w:customStyle="1" w:styleId="2912">
    <w:name w:val=".€·..‘ .€·..‘ ..￡............è.. + .￥·..fi_GB2312 é|.è.....è..:  2 .....| ..μ.’”: 0.3 è.. è..è·.: 1.5 ..“è..è·. + é|.è.........&quot;1"/>
    <w:basedOn w:val="201"/>
    <w:next w:val="201"/>
    <w:qFormat/>
    <w:uiPriority w:val="0"/>
    <w:pPr>
      <w:spacing w:after="30"/>
    </w:pPr>
    <w:rPr>
      <w:rFonts w:ascii="Kai Titling" w:eastAsia="Kai Titling" w:cs="Times New Roman"/>
      <w:color w:val="auto"/>
    </w:rPr>
  </w:style>
  <w:style w:type="paragraph" w:customStyle="1" w:styleId="2913">
    <w:name w:val="Char2 Char Char Char1"/>
    <w:basedOn w:val="1"/>
    <w:qFormat/>
    <w:uiPriority w:val="0"/>
    <w:pPr>
      <w:autoSpaceDE w:val="0"/>
      <w:autoSpaceDN w:val="0"/>
      <w:spacing w:before="50" w:after="50" w:line="360" w:lineRule="auto"/>
      <w:ind w:firstLine="560"/>
      <w:jc w:val="both"/>
    </w:pPr>
    <w:rPr>
      <w:rFonts w:ascii="宋体" w:hAnsi="宋体" w:eastAsia="仿宋_GB2312"/>
      <w:color w:val="000000"/>
      <w:sz w:val="24"/>
      <w:szCs w:val="24"/>
    </w:rPr>
  </w:style>
  <w:style w:type="paragraph" w:customStyle="1" w:styleId="2914">
    <w:name w:val="Char Char1 Char Char Char Char Char Char Char Char Char Char Char Char Char Char1 Char Char Char Char Char Char11"/>
    <w:basedOn w:val="1"/>
    <w:qFormat/>
    <w:uiPriority w:val="0"/>
    <w:pPr>
      <w:widowControl/>
      <w:adjustRightInd/>
      <w:snapToGrid/>
      <w:spacing w:line="300" w:lineRule="auto"/>
      <w:jc w:val="both"/>
    </w:pPr>
    <w:rPr>
      <w:sz w:val="21"/>
      <w:szCs w:val="24"/>
    </w:rPr>
  </w:style>
  <w:style w:type="paragraph" w:customStyle="1" w:styleId="2915">
    <w:name w:val="Char32"/>
    <w:basedOn w:val="1"/>
    <w:qFormat/>
    <w:uiPriority w:val="0"/>
    <w:pPr>
      <w:adjustRightInd/>
      <w:snapToGrid/>
      <w:spacing w:line="360" w:lineRule="auto"/>
      <w:jc w:val="both"/>
    </w:pPr>
    <w:rPr>
      <w:rFonts w:ascii="宋体" w:hAnsi="宋体" w:cs="宋体"/>
      <w:sz w:val="24"/>
      <w:szCs w:val="24"/>
    </w:rPr>
  </w:style>
  <w:style w:type="paragraph" w:customStyle="1" w:styleId="2916">
    <w:name w:val="Char Char Char3 Char Char Char Char1"/>
    <w:basedOn w:val="1"/>
    <w:next w:val="1"/>
    <w:qFormat/>
    <w:uiPriority w:val="0"/>
    <w:pPr>
      <w:adjustRightInd/>
      <w:snapToGrid/>
      <w:spacing w:line="360" w:lineRule="auto"/>
      <w:jc w:val="both"/>
    </w:pPr>
    <w:rPr>
      <w:rFonts w:ascii="宋体" w:hAnsi="宋体" w:cs="宋体"/>
      <w:sz w:val="24"/>
      <w:szCs w:val="24"/>
    </w:rPr>
  </w:style>
  <w:style w:type="paragraph" w:customStyle="1" w:styleId="2917">
    <w:name w:val="Char Char1 Char Char1 Char Char Char Char1"/>
    <w:basedOn w:val="1"/>
    <w:qFormat/>
    <w:uiPriority w:val="0"/>
    <w:pPr>
      <w:adjustRightInd/>
      <w:snapToGrid/>
      <w:spacing w:line="240" w:lineRule="auto"/>
      <w:ind w:firstLine="0" w:firstLineChars="0"/>
      <w:jc w:val="both"/>
    </w:pPr>
    <w:rPr>
      <w:rFonts w:ascii="Tahoma" w:hAnsi="Tahoma"/>
      <w:sz w:val="24"/>
      <w:szCs w:val="20"/>
    </w:rPr>
  </w:style>
  <w:style w:type="paragraph" w:customStyle="1" w:styleId="2918">
    <w:name w:val="Char Char3 Char Char Char Char Char Char1"/>
    <w:basedOn w:val="1"/>
    <w:qFormat/>
    <w:uiPriority w:val="0"/>
    <w:pPr>
      <w:widowControl/>
      <w:adjustRightInd/>
      <w:snapToGrid/>
      <w:spacing w:after="160" w:line="240" w:lineRule="exact"/>
      <w:ind w:firstLine="0" w:firstLineChars="0"/>
    </w:pPr>
    <w:rPr>
      <w:sz w:val="18"/>
      <w:szCs w:val="24"/>
    </w:rPr>
  </w:style>
  <w:style w:type="paragraph" w:customStyle="1" w:styleId="2919">
    <w:name w:val="Char Char3 Char Char Char Char Char Char Char1"/>
    <w:basedOn w:val="1"/>
    <w:qFormat/>
    <w:uiPriority w:val="0"/>
    <w:pPr>
      <w:widowControl/>
      <w:adjustRightInd/>
      <w:snapToGrid/>
      <w:spacing w:after="160" w:line="240" w:lineRule="exact"/>
      <w:ind w:firstLine="0" w:firstLineChars="0"/>
    </w:pPr>
    <w:rPr>
      <w:rFonts w:ascii="Verdana" w:hAnsi="Verdana"/>
      <w:kern w:val="0"/>
      <w:sz w:val="20"/>
      <w:szCs w:val="20"/>
      <w:lang w:eastAsia="en-US"/>
    </w:rPr>
  </w:style>
  <w:style w:type="paragraph" w:customStyle="1" w:styleId="2920">
    <w:name w:val="正文文本缩进2"/>
    <w:basedOn w:val="1"/>
    <w:qFormat/>
    <w:uiPriority w:val="0"/>
    <w:pPr>
      <w:adjustRightInd/>
      <w:snapToGrid/>
      <w:spacing w:line="460" w:lineRule="atLeast"/>
      <w:ind w:right="851" w:firstLine="560"/>
      <w:jc w:val="both"/>
    </w:pPr>
    <w:rPr>
      <w:rFonts w:ascii="宋体"/>
      <w:kern w:val="0"/>
      <w:sz w:val="28"/>
      <w:szCs w:val="20"/>
    </w:rPr>
  </w:style>
  <w:style w:type="paragraph" w:customStyle="1" w:styleId="2921">
    <w:name w:val="Char71"/>
    <w:basedOn w:val="1"/>
    <w:qFormat/>
    <w:uiPriority w:val="0"/>
    <w:pPr>
      <w:snapToGrid/>
      <w:spacing w:line="360" w:lineRule="auto"/>
      <w:ind w:firstLine="0" w:firstLineChars="0"/>
      <w:jc w:val="both"/>
    </w:pPr>
    <w:rPr>
      <w:kern w:val="0"/>
      <w:sz w:val="24"/>
      <w:szCs w:val="20"/>
    </w:rPr>
  </w:style>
  <w:style w:type="character" w:customStyle="1" w:styleId="2922">
    <w:name w:val="sbody1"/>
    <w:qFormat/>
    <w:uiPriority w:val="0"/>
    <w:rPr>
      <w:spacing w:val="360"/>
      <w:sz w:val="14"/>
      <w:szCs w:val="14"/>
    </w:rPr>
  </w:style>
  <w:style w:type="character" w:customStyle="1" w:styleId="2923">
    <w:name w:val="main1"/>
    <w:qFormat/>
    <w:uiPriority w:val="0"/>
    <w:rPr>
      <w:color w:val="0033CC"/>
      <w:spacing w:val="240"/>
      <w:sz w:val="18"/>
      <w:szCs w:val="18"/>
    </w:rPr>
  </w:style>
  <w:style w:type="character" w:customStyle="1" w:styleId="2924">
    <w:name w:val="text_l1"/>
    <w:qFormat/>
    <w:uiPriority w:val="0"/>
    <w:rPr>
      <w:color w:val="000066"/>
      <w:sz w:val="18"/>
      <w:szCs w:val="18"/>
    </w:rPr>
  </w:style>
  <w:style w:type="character" w:customStyle="1" w:styleId="2925">
    <w:name w:val="标题 41"/>
    <w:qFormat/>
    <w:uiPriority w:val="0"/>
    <w:rPr>
      <w:rFonts w:hint="default" w:ascii="Arial" w:hAnsi="Arial" w:eastAsia="宋体" w:cs="Arial"/>
      <w:b/>
      <w:bCs/>
      <w:kern w:val="2"/>
      <w:sz w:val="28"/>
      <w:szCs w:val="28"/>
      <w:lang w:val="en-US" w:eastAsia="zh-CN" w:bidi="ar-SA"/>
    </w:rPr>
  </w:style>
  <w:style w:type="character" w:customStyle="1" w:styleId="2926">
    <w:name w:val="条-成果 Char Char"/>
    <w:qFormat/>
    <w:uiPriority w:val="0"/>
    <w:rPr>
      <w:rFonts w:hint="eastAsia" w:ascii="宋体" w:hAnsi="宋体" w:eastAsia="宋体"/>
      <w:kern w:val="2"/>
      <w:sz w:val="24"/>
      <w:lang w:val="en-US" w:eastAsia="zh-CN"/>
    </w:rPr>
  </w:style>
  <w:style w:type="character" w:customStyle="1" w:styleId="2927">
    <w:name w:val="表格用字 +  六号 Char"/>
    <w:qFormat/>
    <w:uiPriority w:val="0"/>
    <w:rPr>
      <w:rFonts w:hint="eastAsia" w:ascii="宋体" w:hAnsi="宋体" w:eastAsia="仿宋_GB2312"/>
      <w:kern w:val="2"/>
      <w:sz w:val="15"/>
      <w:lang w:val="en-US" w:eastAsia="zh-CN"/>
    </w:rPr>
  </w:style>
  <w:style w:type="character" w:customStyle="1" w:styleId="2928">
    <w:name w:val="表格用字 Char Char1"/>
    <w:qFormat/>
    <w:uiPriority w:val="0"/>
    <w:rPr>
      <w:rFonts w:hint="eastAsia" w:ascii="宋体" w:hAnsi="宋体" w:eastAsia="仿宋_GB2312"/>
      <w:kern w:val="2"/>
      <w:sz w:val="24"/>
      <w:lang w:val="en-US" w:eastAsia="zh-CN"/>
    </w:rPr>
  </w:style>
  <w:style w:type="character" w:customStyle="1" w:styleId="2929">
    <w:name w:val="热电厂正文 Char"/>
    <w:qFormat/>
    <w:uiPriority w:val="0"/>
    <w:rPr>
      <w:rFonts w:hint="eastAsia" w:ascii="宋体" w:hAnsi="宋体" w:eastAsia="宋体"/>
      <w:kern w:val="2"/>
      <w:sz w:val="24"/>
      <w:lang w:val="en-US" w:eastAsia="zh-CN"/>
    </w:rPr>
  </w:style>
  <w:style w:type="character" w:customStyle="1" w:styleId="2930">
    <w:name w:val="l1201"/>
    <w:qFormat/>
    <w:uiPriority w:val="0"/>
  </w:style>
  <w:style w:type="character" w:customStyle="1" w:styleId="2931">
    <w:name w:val="样式 标题 3 + 宋体 Char"/>
    <w:qFormat/>
    <w:uiPriority w:val="0"/>
    <w:rPr>
      <w:rFonts w:hint="eastAsia" w:ascii="宋体" w:hAnsi="宋体" w:eastAsia="宋体"/>
      <w:kern w:val="2"/>
      <w:sz w:val="30"/>
      <w:szCs w:val="32"/>
      <w:lang w:val="en-US" w:eastAsia="zh-CN" w:bidi="ar-SA"/>
    </w:rPr>
  </w:style>
  <w:style w:type="character" w:customStyle="1" w:styleId="2932">
    <w:name w:val="h31"/>
    <w:qFormat/>
    <w:uiPriority w:val="0"/>
    <w:rPr>
      <w:sz w:val="21"/>
      <w:szCs w:val="21"/>
    </w:rPr>
  </w:style>
  <w:style w:type="character" w:customStyle="1" w:styleId="2933">
    <w:name w:val="样式 正文文字缩进 + 左侧:  -0.05 字符 悬挂缩进: 0.05 字符"/>
    <w:qFormat/>
    <w:uiPriority w:val="0"/>
    <w:rPr>
      <w:rFonts w:hint="eastAsia" w:ascii="宋体" w:hAnsi="宋体" w:eastAsia="宋体"/>
      <w:b/>
      <w:kern w:val="2"/>
      <w:sz w:val="24"/>
      <w:szCs w:val="24"/>
      <w:lang w:val="en-US" w:eastAsia="zh-CN" w:bidi="ar-SA"/>
    </w:rPr>
  </w:style>
  <w:style w:type="character" w:customStyle="1" w:styleId="2934">
    <w:name w:val="样式 标题 3 + Times New Roman 四号 加粗 Char"/>
    <w:qFormat/>
    <w:uiPriority w:val="0"/>
    <w:rPr>
      <w:rFonts w:hint="eastAsia" w:ascii="楷体_GB2312" w:hAnsi="宋体" w:eastAsia="楷体_GB2312"/>
      <w:b/>
      <w:bCs/>
      <w:iCs/>
      <w:kern w:val="2"/>
      <w:sz w:val="28"/>
      <w:szCs w:val="28"/>
      <w:lang w:val="en-US" w:eastAsia="zh-CN" w:bidi="ar-SA"/>
    </w:rPr>
  </w:style>
  <w:style w:type="character" w:customStyle="1" w:styleId="2935">
    <w:name w:val="tt1"/>
    <w:qFormat/>
    <w:uiPriority w:val="0"/>
    <w:rPr>
      <w:rFonts w:hint="default" w:ascii="ˎ̥" w:hAnsi="ˎ̥" w:eastAsia="宋体"/>
      <w:kern w:val="2"/>
      <w:sz w:val="21"/>
      <w:szCs w:val="21"/>
      <w:lang w:val="en-US" w:eastAsia="zh-CN" w:bidi="ar-SA"/>
    </w:rPr>
  </w:style>
  <w:style w:type="character" w:customStyle="1" w:styleId="2936">
    <w:name w:val="hang1"/>
    <w:qFormat/>
    <w:uiPriority w:val="0"/>
    <w:rPr>
      <w:rFonts w:hint="eastAsia" w:ascii="宋体" w:hAnsi="宋体" w:eastAsia="宋体"/>
      <w:spacing w:val="384"/>
      <w:kern w:val="2"/>
      <w:sz w:val="20"/>
      <w:szCs w:val="20"/>
      <w:lang w:val="en-US" w:eastAsia="zh-CN" w:bidi="ar-SA"/>
    </w:rPr>
  </w:style>
  <w:style w:type="character" w:customStyle="1" w:styleId="2937">
    <w:name w:val="不同e"/>
    <w:qFormat/>
    <w:uiPriority w:val="0"/>
    <w:rPr>
      <w:rFonts w:hint="eastAsia" w:ascii="宋体" w:hAnsi="宋体" w:eastAsia="宋体"/>
      <w:color w:val="FF0000"/>
      <w:kern w:val="22"/>
      <w:sz w:val="22"/>
      <w:szCs w:val="24"/>
      <w:lang w:val="en-US" w:eastAsia="zh-CN" w:bidi="ar-SA"/>
    </w:rPr>
  </w:style>
  <w:style w:type="character" w:customStyle="1" w:styleId="2938">
    <w:name w:val="un1"/>
    <w:qFormat/>
    <w:uiPriority w:val="0"/>
    <w:rPr>
      <w:rFonts w:hint="eastAsia" w:ascii="宋体" w:hAnsi="宋体" w:eastAsia="宋体"/>
      <w:spacing w:val="440"/>
      <w:kern w:val="2"/>
      <w:sz w:val="26"/>
      <w:szCs w:val="26"/>
      <w:lang w:val="en-US" w:eastAsia="zh-CN" w:bidi="ar-SA"/>
    </w:rPr>
  </w:style>
  <w:style w:type="character" w:customStyle="1" w:styleId="2939">
    <w:name w:val="Typewriter"/>
    <w:qFormat/>
    <w:uiPriority w:val="0"/>
    <w:rPr>
      <w:rFonts w:hint="default" w:ascii="Courier New" w:hAnsi="Courier New" w:cs="Courier New"/>
      <w:sz w:val="20"/>
    </w:rPr>
  </w:style>
  <w:style w:type="character" w:customStyle="1" w:styleId="2940">
    <w:name w:val="zt11"/>
    <w:qFormat/>
    <w:uiPriority w:val="0"/>
    <w:rPr>
      <w:rFonts w:hint="eastAsia" w:ascii="宋体" w:hAnsi="宋体" w:eastAsia="宋体"/>
      <w:color w:val="000000"/>
      <w:kern w:val="2"/>
      <w:sz w:val="18"/>
      <w:szCs w:val="18"/>
      <w:u w:val="none"/>
      <w:lang w:val="en-US" w:eastAsia="zh-CN" w:bidi="ar-SA"/>
    </w:rPr>
  </w:style>
  <w:style w:type="character" w:customStyle="1" w:styleId="2941">
    <w:name w:val="样式2 Char Char Char"/>
    <w:qFormat/>
    <w:uiPriority w:val="0"/>
    <w:rPr>
      <w:rFonts w:hint="eastAsia" w:ascii="宋体" w:hAnsi="宋体" w:eastAsia="宋体"/>
      <w:sz w:val="24"/>
      <w:szCs w:val="24"/>
      <w:lang w:val="en-US" w:eastAsia="zh-CN"/>
    </w:rPr>
  </w:style>
  <w:style w:type="character" w:customStyle="1" w:styleId="2942">
    <w:name w:val="articlebody"/>
    <w:qFormat/>
    <w:uiPriority w:val="0"/>
    <w:rPr>
      <w:rFonts w:hint="eastAsia" w:ascii="宋体" w:hAnsi="宋体" w:eastAsia="宋体"/>
      <w:kern w:val="2"/>
      <w:sz w:val="30"/>
      <w:szCs w:val="24"/>
      <w:lang w:val="en-US" w:eastAsia="zh-CN" w:bidi="ar-SA"/>
    </w:rPr>
  </w:style>
  <w:style w:type="character" w:customStyle="1" w:styleId="2943">
    <w:name w:val="正文（首行缩进两字） Char Char Char Char2"/>
    <w:qFormat/>
    <w:uiPriority w:val="0"/>
    <w:rPr>
      <w:rFonts w:hint="eastAsia" w:ascii="宋体" w:hAnsi="宋体" w:eastAsia="宋体"/>
      <w:sz w:val="24"/>
      <w:lang w:val="en-US" w:eastAsia="zh-CN" w:bidi="ar-SA"/>
    </w:rPr>
  </w:style>
  <w:style w:type="character" w:customStyle="1" w:styleId="2944">
    <w:name w:val="样式 样式2 + (符号) 宋体1 Char"/>
    <w:qFormat/>
    <w:uiPriority w:val="0"/>
    <w:rPr>
      <w:rFonts w:hint="eastAsia" w:ascii="宋体" w:hAnsi="宋体" w:eastAsia="宋体"/>
      <w:kern w:val="2"/>
      <w:sz w:val="28"/>
      <w:szCs w:val="28"/>
      <w:lang w:val="en-US" w:eastAsia="zh-CN" w:bidi="ar-SA"/>
    </w:rPr>
  </w:style>
  <w:style w:type="character" w:customStyle="1" w:styleId="2945">
    <w:name w:val="type_blue_61"/>
    <w:qFormat/>
    <w:uiPriority w:val="0"/>
    <w:rPr>
      <w:color w:val="002565"/>
      <w:spacing w:val="300"/>
      <w:sz w:val="21"/>
      <w:szCs w:val="21"/>
      <w:u w:val="none"/>
    </w:rPr>
  </w:style>
  <w:style w:type="character" w:customStyle="1" w:styleId="2946">
    <w:name w:val="ttitle1"/>
    <w:qFormat/>
    <w:uiPriority w:val="0"/>
    <w:rPr>
      <w:spacing w:val="120"/>
      <w:sz w:val="21"/>
      <w:szCs w:val="21"/>
    </w:rPr>
  </w:style>
  <w:style w:type="character" w:customStyle="1" w:styleId="2947">
    <w:name w:val="updatebodytest1"/>
    <w:qFormat/>
    <w:uiPriority w:val="0"/>
    <w:rPr>
      <w:rFonts w:hint="default" w:ascii="Arial" w:hAnsi="Arial" w:cs="Arial"/>
      <w:sz w:val="18"/>
      <w:szCs w:val="18"/>
    </w:rPr>
  </w:style>
  <w:style w:type="character" w:customStyle="1" w:styleId="2948">
    <w:name w:val="mainheader1"/>
    <w:qFormat/>
    <w:uiPriority w:val="0"/>
    <w:rPr>
      <w:b/>
      <w:bCs/>
      <w:sz w:val="31"/>
      <w:szCs w:val="31"/>
    </w:rPr>
  </w:style>
  <w:style w:type="character" w:customStyle="1" w:styleId="2949">
    <w:name w:val="Job"/>
    <w:qFormat/>
    <w:uiPriority w:val="0"/>
  </w:style>
  <w:style w:type="character" w:customStyle="1" w:styleId="2950">
    <w:name w:val="Lead-in Emphasis"/>
    <w:qFormat/>
    <w:uiPriority w:val="0"/>
    <w:rPr>
      <w:rFonts w:hint="default" w:ascii="Arial" w:hAnsi="Arial" w:cs="Arial"/>
      <w:b/>
      <w:spacing w:val="-8"/>
      <w:sz w:val="18"/>
    </w:rPr>
  </w:style>
  <w:style w:type="character" w:customStyle="1" w:styleId="2951">
    <w:name w:val="题注+ Char Char"/>
    <w:qFormat/>
    <w:uiPriority w:val="0"/>
    <w:rPr>
      <w:rFonts w:hint="eastAsia" w:ascii="黑体" w:hAnsi="Arial" w:eastAsia="黑体" w:cs="Arial"/>
      <w:kern w:val="2"/>
      <w:sz w:val="24"/>
      <w:szCs w:val="24"/>
      <w:lang w:val="en-US" w:eastAsia="zh-CN" w:bidi="ar-SA"/>
    </w:rPr>
  </w:style>
  <w:style w:type="character" w:customStyle="1" w:styleId="2952">
    <w:name w:val="标5 Char Char"/>
    <w:qFormat/>
    <w:uiPriority w:val="0"/>
    <w:rPr>
      <w:rFonts w:hint="eastAsia" w:ascii="宋体" w:hAnsi="宋体" w:eastAsia="宋体"/>
      <w:sz w:val="28"/>
      <w:szCs w:val="28"/>
      <w:lang w:val="en-US" w:eastAsia="zh-CN"/>
    </w:rPr>
  </w:style>
  <w:style w:type="character" w:customStyle="1" w:styleId="2953">
    <w:name w:val="标4 Char Char"/>
    <w:qFormat/>
    <w:uiPriority w:val="0"/>
    <w:rPr>
      <w:rFonts w:hint="eastAsia" w:ascii="宋体" w:hAnsi="宋体" w:eastAsia="宋体"/>
      <w:sz w:val="28"/>
      <w:szCs w:val="28"/>
      <w:lang w:val="en-US" w:eastAsia="zh-CN"/>
    </w:rPr>
  </w:style>
  <w:style w:type="character" w:customStyle="1" w:styleId="2954">
    <w:name w:val="篇号"/>
    <w:qFormat/>
    <w:uiPriority w:val="0"/>
    <w:rPr>
      <w:rFonts w:hint="eastAsia" w:ascii="宋体" w:hAnsi="宋体" w:eastAsia="宋体"/>
      <w:sz w:val="28"/>
      <w:szCs w:val="28"/>
    </w:rPr>
  </w:style>
  <w:style w:type="character" w:customStyle="1" w:styleId="2955">
    <w:name w:val="首行缩进"/>
    <w:qFormat/>
    <w:uiPriority w:val="0"/>
    <w:rPr>
      <w:rFonts w:hint="default" w:ascii="Arial" w:hAnsi="Arial" w:eastAsia="宋体" w:cs="Arial"/>
      <w:kern w:val="2"/>
      <w:sz w:val="24"/>
      <w:szCs w:val="24"/>
      <w:lang w:val="en-US" w:eastAsia="zh-CN" w:bidi="ar-SA"/>
    </w:rPr>
  </w:style>
  <w:style w:type="character" w:customStyle="1" w:styleId="2956">
    <w:name w:val="fb1"/>
    <w:qFormat/>
    <w:uiPriority w:val="0"/>
    <w:rPr>
      <w:b/>
      <w:bCs/>
    </w:rPr>
  </w:style>
  <w:style w:type="character" w:customStyle="1" w:styleId="2957">
    <w:name w:val="arr1"/>
    <w:qFormat/>
    <w:uiPriority w:val="0"/>
  </w:style>
  <w:style w:type="character" w:customStyle="1" w:styleId="2958">
    <w:name w:val="f12 fgy"/>
    <w:qFormat/>
    <w:uiPriority w:val="0"/>
  </w:style>
  <w:style w:type="character" w:customStyle="1" w:styleId="2959">
    <w:name w:val="正文文字 Char Char Char Char"/>
    <w:qFormat/>
    <w:uiPriority w:val="0"/>
    <w:rPr>
      <w:rFonts w:hint="eastAsia" w:ascii="宋体" w:hAnsi="宋体" w:eastAsia="宋体"/>
      <w:kern w:val="2"/>
      <w:sz w:val="18"/>
      <w:szCs w:val="24"/>
      <w:lang w:val="en-US" w:eastAsia="zh-CN" w:bidi="ar-SA"/>
    </w:rPr>
  </w:style>
  <w:style w:type="character" w:customStyle="1" w:styleId="2960">
    <w:name w:val="样式 正文文本缩进 2正文文字缩进 2 + 四号 蓝色 Char Char Char"/>
    <w:qFormat/>
    <w:uiPriority w:val="0"/>
    <w:rPr>
      <w:rFonts w:hint="eastAsia" w:ascii="宋体" w:hAnsi="宋体" w:eastAsia="宋体"/>
      <w:color w:val="0000FF"/>
      <w:sz w:val="24"/>
      <w:szCs w:val="24"/>
      <w:lang w:val="en-US" w:eastAsia="zh-CN" w:bidi="ar-SA"/>
    </w:rPr>
  </w:style>
  <w:style w:type="character" w:customStyle="1" w:styleId="2961">
    <w:name w:val="fliesstext1"/>
    <w:qFormat/>
    <w:uiPriority w:val="0"/>
    <w:rPr>
      <w:rFonts w:hint="default" w:ascii="Arial" w:hAnsi="Arial" w:cs="Arial"/>
      <w:color w:val="000000"/>
      <w:sz w:val="18"/>
      <w:szCs w:val="18"/>
    </w:rPr>
  </w:style>
  <w:style w:type="character" w:customStyle="1" w:styleId="2962">
    <w:name w:val="正文文字 Char Char Char Char Char"/>
    <w:qFormat/>
    <w:uiPriority w:val="0"/>
    <w:rPr>
      <w:rFonts w:hint="eastAsia" w:ascii="宋体" w:hAnsi="宋体" w:eastAsia="宋体"/>
      <w:kern w:val="2"/>
      <w:sz w:val="24"/>
      <w:lang w:val="en-US" w:eastAsia="zh-CN" w:bidi="ar-SA"/>
    </w:rPr>
  </w:style>
  <w:style w:type="character" w:customStyle="1" w:styleId="2963">
    <w:name w:val="td71"/>
    <w:qFormat/>
    <w:uiPriority w:val="0"/>
    <w:rPr>
      <w:color w:val="3B3B3B"/>
      <w:sz w:val="21"/>
      <w:szCs w:val="21"/>
    </w:rPr>
  </w:style>
  <w:style w:type="character" w:customStyle="1" w:styleId="2964">
    <w:name w:val="可研-正文首行缩进 Char Char1"/>
    <w:qFormat/>
    <w:uiPriority w:val="0"/>
    <w:rPr>
      <w:rFonts w:hint="eastAsia" w:ascii="宋体" w:hAnsi="宋体" w:eastAsia="宋体"/>
      <w:color w:val="000000"/>
      <w:sz w:val="28"/>
      <w:szCs w:val="28"/>
      <w:lang w:val="en-US" w:eastAsia="zh-CN" w:bidi="ar-SA"/>
    </w:rPr>
  </w:style>
  <w:style w:type="character" w:customStyle="1" w:styleId="2965">
    <w:name w:val="热电厂正文 Char Char Char Char"/>
    <w:qFormat/>
    <w:uiPriority w:val="0"/>
    <w:rPr>
      <w:rFonts w:hint="eastAsia" w:ascii="宋体" w:hAnsi="宋体" w:eastAsia="宋体"/>
      <w:kern w:val="2"/>
      <w:sz w:val="24"/>
      <w:szCs w:val="24"/>
      <w:lang w:val="en-US" w:eastAsia="zh-CN" w:bidi="ar-SA"/>
    </w:rPr>
  </w:style>
  <w:style w:type="character" w:customStyle="1" w:styleId="2966">
    <w:name w:val="新标题4 Char Char"/>
    <w:qFormat/>
    <w:uiPriority w:val="0"/>
    <w:rPr>
      <w:rFonts w:hint="default" w:ascii="Arial" w:hAnsi="Arial" w:eastAsia="宋体" w:cs="宋体"/>
      <w:b/>
      <w:bCs/>
      <w:spacing w:val="8"/>
      <w:kern w:val="2"/>
      <w:sz w:val="24"/>
      <w:szCs w:val="24"/>
      <w:lang w:val="en-US" w:eastAsia="zh-CN" w:bidi="ar-SA"/>
    </w:rPr>
  </w:style>
  <w:style w:type="character" w:customStyle="1" w:styleId="2967">
    <w:name w:val="f241"/>
    <w:qFormat/>
    <w:uiPriority w:val="0"/>
    <w:rPr>
      <w:sz w:val="36"/>
      <w:szCs w:val="36"/>
    </w:rPr>
  </w:style>
  <w:style w:type="character" w:customStyle="1" w:styleId="2968">
    <w:name w:val="BOD 0 Char Char Char"/>
    <w:qFormat/>
    <w:uiPriority w:val="0"/>
    <w:rPr>
      <w:rFonts w:hint="eastAsia" w:ascii="宋体" w:hAnsi="宋体" w:eastAsia="宋体"/>
      <w:b/>
      <w:bCs/>
      <w:kern w:val="2"/>
      <w:sz w:val="32"/>
      <w:szCs w:val="32"/>
      <w:lang w:val="en-US" w:eastAsia="zh-CN" w:bidi="ar-SA"/>
    </w:rPr>
  </w:style>
  <w:style w:type="character" w:customStyle="1" w:styleId="2969">
    <w:name w:val="Char Char Char Char Char4"/>
    <w:qFormat/>
    <w:uiPriority w:val="0"/>
    <w:rPr>
      <w:rFonts w:hint="default" w:ascii="Arial" w:hAnsi="Arial" w:eastAsia="黑体" w:cs="Arial"/>
      <w:b/>
      <w:bCs/>
      <w:kern w:val="2"/>
      <w:sz w:val="32"/>
      <w:szCs w:val="32"/>
      <w:lang w:val="en-US" w:eastAsia="zh-CN" w:bidi="ar-SA"/>
    </w:rPr>
  </w:style>
  <w:style w:type="character" w:customStyle="1" w:styleId="2970">
    <w:name w:val="contentfont"/>
    <w:qFormat/>
    <w:uiPriority w:val="0"/>
  </w:style>
  <w:style w:type="character" w:customStyle="1" w:styleId="2971">
    <w:name w:val="heading1"/>
    <w:qFormat/>
    <w:uiPriority w:val="0"/>
    <w:rPr>
      <w:rFonts w:hint="default" w:ascii="ӗԲ" w:hAnsi="ӗԲ"/>
      <w:b/>
      <w:bCs/>
      <w:i/>
      <w:iCs/>
      <w:color w:val="000000"/>
      <w:sz w:val="32"/>
      <w:szCs w:val="32"/>
    </w:rPr>
  </w:style>
  <w:style w:type="character" w:customStyle="1" w:styleId="2972">
    <w:name w:val="样式 正文文本缩进 2正文文字缩进 2 + 四号 蓝色 Char Char Char Char"/>
    <w:qFormat/>
    <w:uiPriority w:val="0"/>
    <w:rPr>
      <w:rFonts w:hint="eastAsia" w:ascii="宋体" w:hAnsi="宋体" w:eastAsia="宋体"/>
      <w:color w:val="0000FF"/>
      <w:kern w:val="2"/>
      <w:sz w:val="28"/>
      <w:szCs w:val="28"/>
      <w:lang w:val="en-US" w:eastAsia="zh-CN" w:bidi="ar-SA"/>
    </w:rPr>
  </w:style>
  <w:style w:type="character" w:customStyle="1" w:styleId="2973">
    <w:name w:val="热电厂正文 Char Char Char Char Char"/>
    <w:qFormat/>
    <w:uiPriority w:val="0"/>
    <w:rPr>
      <w:rFonts w:hint="eastAsia" w:ascii="宋体" w:hAnsi="宋体" w:eastAsia="宋体"/>
      <w:kern w:val="2"/>
      <w:sz w:val="24"/>
      <w:szCs w:val="24"/>
      <w:lang w:val="en-US" w:eastAsia="zh-CN" w:bidi="ar-SA"/>
    </w:rPr>
  </w:style>
  <w:style w:type="character" w:customStyle="1" w:styleId="2974">
    <w:name w:val="样式 热电厂正文 + 首行缩进:  2 字符 Char Char Char Char Char"/>
    <w:qFormat/>
    <w:uiPriority w:val="0"/>
    <w:rPr>
      <w:rFonts w:hint="eastAsia" w:ascii="宋体" w:hAnsi="宋体" w:eastAsia="宋体" w:cs="宋体"/>
      <w:kern w:val="2"/>
      <w:sz w:val="24"/>
      <w:szCs w:val="24"/>
      <w:lang w:val="en-US" w:eastAsia="zh-CN" w:bidi="ar-SA"/>
    </w:rPr>
  </w:style>
  <w:style w:type="character" w:customStyle="1" w:styleId="2975">
    <w:name w:val="样式 样式 首行缩进:  2 字符 行距: 最小值 24 磅 + 首行缩进:  2 字符 Char Char Char Char"/>
    <w:qFormat/>
    <w:uiPriority w:val="0"/>
    <w:rPr>
      <w:rFonts w:hint="eastAsia" w:ascii="宋体" w:hAnsi="宋体" w:eastAsia="宋体" w:cs="宋体"/>
      <w:kern w:val="2"/>
      <w:sz w:val="24"/>
      <w:szCs w:val="24"/>
      <w:lang w:val="en-US" w:eastAsia="zh-CN" w:bidi="ar-SA"/>
    </w:rPr>
  </w:style>
  <w:style w:type="character" w:customStyle="1" w:styleId="2976">
    <w:name w:val="样式 首行缩进:  2 字符 行距: 最小值 24 磅 Char Char Char Char"/>
    <w:qFormat/>
    <w:uiPriority w:val="0"/>
    <w:rPr>
      <w:rFonts w:hint="eastAsia" w:ascii="宋体" w:hAnsi="宋体" w:eastAsia="宋体" w:cs="宋体"/>
      <w:kern w:val="2"/>
      <w:sz w:val="24"/>
      <w:szCs w:val="24"/>
      <w:lang w:val="en-US" w:eastAsia="zh-CN" w:bidi="ar-SA"/>
    </w:rPr>
  </w:style>
  <w:style w:type="character" w:customStyle="1" w:styleId="2977">
    <w:name w:val="标题 21"/>
    <w:qFormat/>
    <w:uiPriority w:val="0"/>
    <w:rPr>
      <w:rFonts w:hint="default" w:ascii="Arial" w:hAnsi="Arial" w:eastAsia="黑体" w:cs="Arial"/>
      <w:b/>
      <w:bCs/>
      <w:kern w:val="2"/>
      <w:sz w:val="32"/>
      <w:szCs w:val="32"/>
      <w:lang w:val="en-US" w:eastAsia="zh-CN" w:bidi="ar-SA"/>
    </w:rPr>
  </w:style>
  <w:style w:type="character" w:customStyle="1" w:styleId="2978">
    <w:name w:val="text7"/>
    <w:qFormat/>
    <w:uiPriority w:val="0"/>
  </w:style>
  <w:style w:type="character" w:customStyle="1" w:styleId="2979">
    <w:name w:val="jtpsoft1"/>
    <w:qFormat/>
    <w:uiPriority w:val="0"/>
    <w:rPr>
      <w:color w:val="505050"/>
      <w:sz w:val="18"/>
      <w:szCs w:val="18"/>
    </w:rPr>
  </w:style>
  <w:style w:type="character" w:customStyle="1" w:styleId="2980">
    <w:name w:val="style1 style3"/>
    <w:qFormat/>
    <w:uiPriority w:val="0"/>
  </w:style>
  <w:style w:type="character" w:customStyle="1" w:styleId="2981">
    <w:name w:val="字体--自建"/>
    <w:qFormat/>
    <w:uiPriority w:val="0"/>
    <w:rPr>
      <w:rFonts w:hint="eastAsia" w:ascii="宋体" w:hAnsi="宋体" w:eastAsia="宋体" w:cs="Times New Roman"/>
      <w:sz w:val="28"/>
      <w:szCs w:val="28"/>
    </w:rPr>
  </w:style>
  <w:style w:type="character" w:customStyle="1" w:styleId="2982">
    <w:name w:val="Char Char14"/>
    <w:qFormat/>
    <w:uiPriority w:val="0"/>
    <w:rPr>
      <w:rFonts w:hint="default" w:ascii="Times New Roman" w:hAnsi="Times New Roman" w:cs="Times New Roman"/>
      <w:kern w:val="2"/>
      <w:sz w:val="21"/>
      <w:szCs w:val="24"/>
    </w:rPr>
  </w:style>
  <w:style w:type="character" w:customStyle="1" w:styleId="2983">
    <w:name w:val="headlines1"/>
    <w:qFormat/>
    <w:uiPriority w:val="0"/>
    <w:rPr>
      <w:rFonts w:hint="eastAsia" w:ascii="򌘺ڢ,  ڌ墬 ˎ̥" w:eastAsia="򌘺ڢ,  ڌ墬 ˎ̥"/>
      <w:color w:val="554B74"/>
      <w:sz w:val="36"/>
      <w:szCs w:val="36"/>
    </w:rPr>
  </w:style>
  <w:style w:type="character" w:customStyle="1" w:styleId="2984">
    <w:name w:val="1-正文 Char Char"/>
    <w:qFormat/>
    <w:uiPriority w:val="0"/>
    <w:rPr>
      <w:rFonts w:hint="eastAsia" w:ascii="宋体" w:hAnsi="宋体" w:eastAsia="宋体"/>
      <w:kern w:val="2"/>
      <w:sz w:val="24"/>
      <w:lang w:val="en-US" w:eastAsia="zh-CN" w:bidi="ar-SA"/>
    </w:rPr>
  </w:style>
  <w:style w:type="character" w:customStyle="1" w:styleId="2985">
    <w:name w:val="nfdjsaeriu1"/>
    <w:qFormat/>
    <w:uiPriority w:val="0"/>
    <w:rPr>
      <w:vanish/>
    </w:rPr>
  </w:style>
  <w:style w:type="character" w:customStyle="1" w:styleId="2986">
    <w:name w:val="标题 4。 Char"/>
    <w:qFormat/>
    <w:uiPriority w:val="0"/>
    <w:rPr>
      <w:rFonts w:hint="default" w:ascii="Times New Roman" w:hAnsi="Times New Roman" w:cs="Times New Roman"/>
      <w:b/>
      <w:bCs/>
      <w:kern w:val="2"/>
      <w:sz w:val="32"/>
      <w:szCs w:val="32"/>
    </w:rPr>
  </w:style>
  <w:style w:type="character" w:customStyle="1" w:styleId="2987">
    <w:name w:val="标题 3-报告书 Char Char"/>
    <w:qFormat/>
    <w:uiPriority w:val="0"/>
    <w:rPr>
      <w:rFonts w:hint="eastAsia" w:ascii="华文中宋" w:hAnsi="华文中宋" w:eastAsia="华文中宋"/>
      <w:kern w:val="2"/>
      <w:sz w:val="30"/>
      <w:szCs w:val="24"/>
      <w:lang w:val="en-US" w:eastAsia="zh-CN" w:bidi="ar-SA"/>
    </w:rPr>
  </w:style>
  <w:style w:type="character" w:customStyle="1" w:styleId="2988">
    <w:name w:val="正文（首行缩进两字） Char Char1 Char"/>
    <w:qFormat/>
    <w:uiPriority w:val="0"/>
    <w:rPr>
      <w:rFonts w:hint="default" w:ascii="Arial" w:hAnsi="Arial" w:cs="Arial"/>
      <w:color w:val="000000"/>
      <w:kern w:val="2"/>
      <w:sz w:val="24"/>
      <w:szCs w:val="24"/>
    </w:rPr>
  </w:style>
  <w:style w:type="character" w:customStyle="1" w:styleId="2989">
    <w:name w:val="正文文字缩进 3 Char Char"/>
    <w:qFormat/>
    <w:uiPriority w:val="0"/>
    <w:rPr>
      <w:rFonts w:hint="eastAsia" w:ascii="宋体" w:hAnsi="宋体" w:eastAsia="宋体"/>
      <w:color w:val="000000"/>
      <w:spacing w:val="5"/>
      <w:kern w:val="2"/>
      <w:sz w:val="28"/>
      <w:szCs w:val="28"/>
      <w:shd w:val="pct10" w:color="auto" w:fill="FFFFFF"/>
      <w:lang w:val="en-US" w:eastAsia="zh-CN" w:bidi="ar-SA"/>
    </w:rPr>
  </w:style>
  <w:style w:type="character" w:customStyle="1" w:styleId="2990">
    <w:name w:val="a21"/>
    <w:qFormat/>
    <w:uiPriority w:val="0"/>
    <w:rPr>
      <w:rFonts w:hint="eastAsia" w:ascii="宋体" w:hAnsi="宋体" w:eastAsia="宋体"/>
      <w:color w:val="000000"/>
      <w:spacing w:val="300"/>
      <w:sz w:val="24"/>
      <w:szCs w:val="24"/>
      <w:u w:val="none"/>
      <w:lang w:val="en-US" w:eastAsia="en-US" w:bidi="ar-SA"/>
    </w:rPr>
  </w:style>
  <w:style w:type="character" w:customStyle="1" w:styleId="2991">
    <w:name w:val="Body Text Char1"/>
    <w:qFormat/>
    <w:uiPriority w:val="0"/>
    <w:rPr>
      <w:kern w:val="2"/>
      <w:sz w:val="21"/>
      <w:szCs w:val="24"/>
    </w:rPr>
  </w:style>
  <w:style w:type="character" w:customStyle="1" w:styleId="2992">
    <w:name w:val="页码1"/>
    <w:qFormat/>
    <w:uiPriority w:val="0"/>
  </w:style>
  <w:style w:type="character" w:customStyle="1" w:styleId="2993">
    <w:name w:val="chword"/>
    <w:qFormat/>
    <w:uiPriority w:val="0"/>
  </w:style>
  <w:style w:type="character" w:customStyle="1" w:styleId="2994">
    <w:name w:val="hei141"/>
    <w:qFormat/>
    <w:uiPriority w:val="0"/>
    <w:rPr>
      <w:color w:val="000000"/>
      <w:sz w:val="21"/>
    </w:rPr>
  </w:style>
  <w:style w:type="character" w:customStyle="1" w:styleId="2995">
    <w:name w:val="td2"/>
    <w:qFormat/>
    <w:uiPriority w:val="0"/>
  </w:style>
  <w:style w:type="character" w:customStyle="1" w:styleId="2996">
    <w:name w:val="style61"/>
    <w:qFormat/>
    <w:uiPriority w:val="0"/>
    <w:rPr>
      <w:b/>
      <w:bCs/>
      <w:sz w:val="23"/>
      <w:szCs w:val="23"/>
    </w:rPr>
  </w:style>
  <w:style w:type="character" w:customStyle="1" w:styleId="2997">
    <w:name w:val="pt91"/>
    <w:qFormat/>
    <w:uiPriority w:val="0"/>
    <w:rPr>
      <w:rFonts w:hint="eastAsia" w:ascii="宋体" w:hAnsi="宋体" w:eastAsia="宋体"/>
      <w:color w:val="000000"/>
      <w:sz w:val="18"/>
      <w:szCs w:val="18"/>
      <w:u w:val="none"/>
    </w:rPr>
  </w:style>
  <w:style w:type="character" w:customStyle="1" w:styleId="2998">
    <w:name w:val="正文文字缩进 3 Char Char1"/>
    <w:qFormat/>
    <w:uiPriority w:val="0"/>
    <w:rPr>
      <w:rFonts w:hint="eastAsia" w:ascii="宋体" w:hAnsi="宋体" w:eastAsia="宋体"/>
      <w:color w:val="FF0000"/>
      <w:kern w:val="2"/>
      <w:sz w:val="28"/>
      <w:lang w:val="en-US" w:eastAsia="zh-CN" w:bidi="ar-SA"/>
    </w:rPr>
  </w:style>
  <w:style w:type="character" w:customStyle="1" w:styleId="2999">
    <w:name w:val="newsf1"/>
    <w:qFormat/>
    <w:uiPriority w:val="0"/>
    <w:rPr>
      <w:sz w:val="21"/>
      <w:szCs w:val="21"/>
    </w:rPr>
  </w:style>
  <w:style w:type="character" w:customStyle="1" w:styleId="3000">
    <w:name w:val="dlscore"/>
    <w:qFormat/>
    <w:uiPriority w:val="0"/>
  </w:style>
  <w:style w:type="character" w:customStyle="1" w:styleId="3001">
    <w:name w:val="yyp Char Char"/>
    <w:qFormat/>
    <w:uiPriority w:val="0"/>
    <w:rPr>
      <w:rFonts w:hint="default" w:ascii="Calibri" w:hAnsi="Calibri" w:eastAsia="宋体"/>
      <w:sz w:val="24"/>
      <w:lang w:bidi="ar-SA"/>
    </w:rPr>
  </w:style>
  <w:style w:type="character" w:customStyle="1" w:styleId="3002">
    <w:name w:val="样式 正文 +"/>
    <w:qFormat/>
    <w:uiPriority w:val="0"/>
    <w:rPr>
      <w:kern w:val="0"/>
      <w:sz w:val="24"/>
    </w:rPr>
  </w:style>
  <w:style w:type="character" w:customStyle="1" w:styleId="3003">
    <w:name w:val="font01"/>
    <w:qFormat/>
    <w:uiPriority w:val="0"/>
    <w:rPr>
      <w:rFonts w:hint="eastAsia" w:ascii="宋体" w:hAnsi="宋体" w:eastAsia="宋体"/>
      <w:color w:val="000000"/>
      <w:sz w:val="24"/>
      <w:szCs w:val="24"/>
      <w:u w:val="none"/>
    </w:rPr>
  </w:style>
  <w:style w:type="character" w:customStyle="1" w:styleId="3004">
    <w:name w:val="Char Char Char Char Char41"/>
    <w:qFormat/>
    <w:uiPriority w:val="0"/>
    <w:rPr>
      <w:rFonts w:hint="default" w:ascii="Arial" w:hAnsi="Arial" w:eastAsia="黑体" w:cs="Arial"/>
      <w:b/>
      <w:bCs/>
      <w:kern w:val="2"/>
      <w:sz w:val="32"/>
      <w:szCs w:val="32"/>
      <w:lang w:val="en-US" w:eastAsia="zh-CN" w:bidi="ar-SA"/>
    </w:rPr>
  </w:style>
  <w:style w:type="character" w:customStyle="1" w:styleId="3005">
    <w:name w:val="Char Char141"/>
    <w:qFormat/>
    <w:uiPriority w:val="0"/>
    <w:rPr>
      <w:rFonts w:hint="default" w:ascii="Times New Roman" w:hAnsi="Times New Roman" w:cs="Times New Roman"/>
      <w:kern w:val="2"/>
      <w:sz w:val="21"/>
      <w:szCs w:val="24"/>
    </w:rPr>
  </w:style>
  <w:style w:type="character" w:customStyle="1" w:styleId="3006">
    <w:name w:val="页码2"/>
    <w:qFormat/>
    <w:uiPriority w:val="0"/>
  </w:style>
  <w:style w:type="paragraph" w:customStyle="1" w:styleId="3007">
    <w:name w:val="样式 样式18 + 黑色 行距: 固定值 23 磅"/>
    <w:basedOn w:val="1262"/>
    <w:qFormat/>
    <w:uiPriority w:val="0"/>
    <w:pPr>
      <w:keepNext/>
      <w:keepLines/>
      <w:tabs>
        <w:tab w:val="left" w:pos="1800"/>
      </w:tabs>
      <w:overflowPunct w:val="0"/>
      <w:topLinePunct/>
      <w:autoSpaceDE w:val="0"/>
      <w:autoSpaceDN w:val="0"/>
      <w:adjustRightInd w:val="0"/>
      <w:snapToGrid w:val="0"/>
      <w:ind w:firstLine="0" w:firstLineChars="0"/>
      <w:jc w:val="left"/>
      <w:outlineLvl w:val="3"/>
    </w:pPr>
    <w:rPr>
      <w:rFonts w:hAnsi="宋体"/>
      <w:szCs w:val="20"/>
    </w:rPr>
  </w:style>
  <w:style w:type="paragraph" w:customStyle="1" w:styleId="3008">
    <w:name w:val="说明-表格用字1"/>
    <w:basedOn w:val="2458"/>
    <w:qFormat/>
    <w:uiPriority w:val="0"/>
  </w:style>
  <w:style w:type="paragraph" w:customStyle="1" w:styleId="3009">
    <w:name w:val="样式 样式 样式9 + 段前: 0.5 行 段后: 0.5 行 + 段前: 1 行 段后: 0.5 行"/>
    <w:basedOn w:val="2875"/>
    <w:qFormat/>
    <w:uiPriority w:val="0"/>
  </w:style>
  <w:style w:type="paragraph" w:customStyle="1" w:styleId="3010">
    <w:name w:val="样式 样式 样式 样式9 + 段前: 0.5 行 段后: 0.5 行 + 段前: 1 行 段后: 0.5 行 + 段前: 1 行..."/>
    <w:basedOn w:val="3009"/>
    <w:qFormat/>
    <w:uiPriority w:val="0"/>
  </w:style>
  <w:style w:type="paragraph" w:customStyle="1" w:styleId="3011">
    <w:name w:val="样式 样式 样式 样式 样式9 + 段前: 0.5 行 段后: 0.5 行 + 段前: 1 行 段后: 0.5 行 + 段前: ...1"/>
    <w:basedOn w:val="3010"/>
    <w:qFormat/>
    <w:uiPriority w:val="0"/>
    <w:pPr>
      <w:tabs>
        <w:tab w:val="left" w:pos="567"/>
      </w:tabs>
    </w:pPr>
  </w:style>
  <w:style w:type="paragraph" w:customStyle="1" w:styleId="3012">
    <w:name w:val="样式 样式 样式 样式 样式9 + 段前: 0.5 行 段后: 0.5 行 + 段前: 1 行 段后: 0.5 行 + 段前: ..."/>
    <w:basedOn w:val="3010"/>
    <w:qFormat/>
    <w:uiPriority w:val="0"/>
  </w:style>
  <w:style w:type="paragraph" w:customStyle="1" w:styleId="3013">
    <w:name w:val="样式 样式 样式 样式 样式 样式9 + 段前: 0.5 行 段后: 0.5 行 + 段前: 1 行 段后: 0.5 行 + 段..."/>
    <w:basedOn w:val="3012"/>
    <w:qFormat/>
    <w:uiPriority w:val="0"/>
    <w:pPr>
      <w:jc w:val="left"/>
    </w:pPr>
  </w:style>
  <w:style w:type="paragraph" w:customStyle="1" w:styleId="3014">
    <w:name w:val="样式 样式 样式 样式 样式 样式 样式9 + 段前: 0.5 行 段后: 0.5 行 + 段前: 1 行 段后: 0.5 行 ..."/>
    <w:basedOn w:val="3013"/>
    <w:qFormat/>
    <w:uiPriority w:val="0"/>
  </w:style>
  <w:style w:type="paragraph" w:customStyle="1" w:styleId="3015">
    <w:name w:val="样式 样式 样式 样式 样式 样式 样式 样式9 + 段前: 0.5 行 段后: 0.5 行 + 段前: 1 行 段后: 0.5...3"/>
    <w:basedOn w:val="3014"/>
    <w:qFormat/>
    <w:uiPriority w:val="0"/>
    <w:pPr>
      <w:tabs>
        <w:tab w:val="left" w:pos="567"/>
      </w:tabs>
    </w:pPr>
    <w:rPr>
      <w:color w:val="000000"/>
    </w:rPr>
  </w:style>
  <w:style w:type="paragraph" w:customStyle="1" w:styleId="3016">
    <w:name w:val="样式 样式 样式 样式 样式 样式 样式 样式9 + 段前: 0.5 行 段后: 0.5 行 + 段前: 1 行 段后: 0.5...2"/>
    <w:basedOn w:val="3014"/>
    <w:qFormat/>
    <w:uiPriority w:val="0"/>
    <w:rPr>
      <w:color w:val="000000"/>
    </w:rPr>
  </w:style>
  <w:style w:type="paragraph" w:customStyle="1" w:styleId="3017">
    <w:name w:val="样式 样式 样式 样式 样式 样式 样式 样式9 + 段前: 0.5 行 段后: 0.5 行 + 段前: 1 行 段后: 0.5...1"/>
    <w:basedOn w:val="3014"/>
    <w:qFormat/>
    <w:uiPriority w:val="0"/>
    <w:rPr>
      <w:color w:val="000000"/>
    </w:rPr>
  </w:style>
  <w:style w:type="paragraph" w:customStyle="1" w:styleId="3018">
    <w:name w:val="样式 样式 标题 4 + 首行缩进:  2 字符1 + 首行缩进:  2 字符"/>
    <w:basedOn w:val="2802"/>
    <w:qFormat/>
    <w:uiPriority w:val="0"/>
    <w:pPr>
      <w:ind w:firstLine="482"/>
    </w:pPr>
    <w:rPr>
      <w:rFonts w:ascii="Times New Roman" w:hAnsi="Times New Roman"/>
      <w:bCs/>
    </w:rPr>
  </w:style>
  <w:style w:type="character" w:customStyle="1" w:styleId="3019">
    <w:name w:val="1正文段落 Char Char"/>
    <w:qFormat/>
    <w:uiPriority w:val="0"/>
    <w:rPr>
      <w:rFonts w:eastAsia="宋体"/>
      <w:snapToGrid w:val="0"/>
      <w:sz w:val="24"/>
      <w:szCs w:val="24"/>
      <w:lang w:val="en-US" w:eastAsia="zh-CN" w:bidi="ar-SA"/>
    </w:rPr>
  </w:style>
  <w:style w:type="character" w:customStyle="1" w:styleId="3020">
    <w:name w:val="text_black_100_14px1"/>
    <w:qFormat/>
    <w:uiPriority w:val="0"/>
    <w:rPr>
      <w:rFonts w:hint="eastAsia" w:ascii="宋体" w:hAnsi="宋体" w:eastAsia="宋体"/>
      <w:color w:val="000000"/>
      <w:sz w:val="21"/>
      <w:szCs w:val="21"/>
      <w:u w:val="none"/>
    </w:rPr>
  </w:style>
  <w:style w:type="character" w:customStyle="1" w:styleId="3021">
    <w:name w:val="正文文字 2 Char Char"/>
    <w:qFormat/>
    <w:uiPriority w:val="0"/>
    <w:rPr>
      <w:rFonts w:ascii="Times New Roman" w:hAnsi="Times New Roman" w:eastAsia="宋体" w:cs="Times New Roman"/>
      <w:szCs w:val="24"/>
    </w:rPr>
  </w:style>
  <w:style w:type="paragraph" w:customStyle="1" w:styleId="3022">
    <w:name w:val="font14g"/>
    <w:basedOn w:val="1"/>
    <w:qFormat/>
    <w:uiPriority w:val="0"/>
    <w:pPr>
      <w:widowControl/>
      <w:adjustRightInd/>
      <w:snapToGrid/>
      <w:spacing w:before="150" w:after="105" w:line="450" w:lineRule="atLeast"/>
      <w:ind w:left="15" w:right="15" w:firstLine="480" w:firstLineChars="0"/>
    </w:pPr>
    <w:rPr>
      <w:rFonts w:ascii="宋体" w:hAnsi="宋体" w:cs="宋体"/>
      <w:color w:val="3E3E3E"/>
      <w:kern w:val="0"/>
      <w:sz w:val="21"/>
      <w:szCs w:val="21"/>
    </w:rPr>
  </w:style>
  <w:style w:type="table" w:customStyle="1" w:styleId="3023">
    <w:name w:val="网格型 13"/>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character" w:customStyle="1" w:styleId="3024">
    <w:name w:val="163s2"/>
    <w:qFormat/>
    <w:uiPriority w:val="0"/>
    <w:rPr>
      <w:sz w:val="18"/>
      <w:szCs w:val="18"/>
    </w:rPr>
  </w:style>
  <w:style w:type="character" w:customStyle="1" w:styleId="3025">
    <w:name w:val="H9 Char Char"/>
    <w:qFormat/>
    <w:uiPriority w:val="0"/>
    <w:rPr>
      <w:rFonts w:ascii="Arial" w:hAnsi="Arial" w:eastAsia="黑体"/>
      <w:kern w:val="2"/>
      <w:sz w:val="21"/>
    </w:rPr>
  </w:style>
  <w:style w:type="table" w:customStyle="1" w:styleId="3026">
    <w:name w:val="网格型 54"/>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paragraph" w:customStyle="1" w:styleId="3027">
    <w:name w:val="正文首行缩进3"/>
    <w:basedOn w:val="34"/>
    <w:qFormat/>
    <w:uiPriority w:val="0"/>
    <w:pPr>
      <w:snapToGrid/>
      <w:spacing w:beforeLines="0" w:line="312" w:lineRule="auto"/>
      <w:ind w:firstLine="567"/>
      <w:jc w:val="left"/>
      <w:textAlignment w:val="baseline"/>
    </w:pPr>
    <w:rPr>
      <w:snapToGrid/>
      <w:sz w:val="28"/>
      <w:szCs w:val="20"/>
    </w:rPr>
  </w:style>
  <w:style w:type="paragraph" w:customStyle="1" w:styleId="3028">
    <w:name w:val="正文文本缩进 23"/>
    <w:basedOn w:val="1"/>
    <w:qFormat/>
    <w:uiPriority w:val="0"/>
    <w:pPr>
      <w:snapToGrid/>
      <w:spacing w:line="348" w:lineRule="auto"/>
      <w:ind w:firstLine="573" w:firstLineChars="0"/>
      <w:jc w:val="both"/>
      <w:textAlignment w:val="baseline"/>
    </w:pPr>
    <w:rPr>
      <w:rFonts w:eastAsia="Wingdings"/>
      <w:sz w:val="28"/>
      <w:szCs w:val="20"/>
    </w:rPr>
  </w:style>
  <w:style w:type="table" w:customStyle="1" w:styleId="3029">
    <w:name w:val="列表型 53"/>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030">
    <w:name w:val="网格型3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1">
    <w:name w:val="网格型4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2">
    <w:name w:val="网格型5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3">
    <w:name w:val="网格型 513"/>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034">
    <w:name w:val="网格型61"/>
    <w:basedOn w:val="88"/>
    <w:qFormat/>
    <w:uiPriority w:val="0"/>
    <w:pPr>
      <w:widowControl w:val="0"/>
      <w:adjustRightInd w:val="0"/>
      <w:snapToGrid w:val="0"/>
      <w:spacing w:line="348"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5">
    <w:name w:val="网格型 75"/>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036">
    <w:name w:val="网格型71"/>
    <w:basedOn w:val="88"/>
    <w:qFormat/>
    <w:uiPriority w:val="0"/>
    <w:pPr>
      <w:widowControl w:val="0"/>
      <w:adjustRightInd w:val="0"/>
      <w:snapToGrid w:val="0"/>
      <w:spacing w:line="348" w:lineRule="auto"/>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7">
    <w:name w:val="网格型 521"/>
    <w:basedOn w:val="88"/>
    <w:qFormat/>
    <w:uiPriority w:val="0"/>
    <w:pPr>
      <w:widowControl w:val="0"/>
      <w:adjustRightInd w:val="0"/>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038">
    <w:name w:val="三线表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039">
    <w:name w:val="样式14 Char"/>
    <w:link w:val="402"/>
    <w:qFormat/>
    <w:uiPriority w:val="0"/>
    <w:rPr>
      <w:rFonts w:ascii="Times New Roman" w:hAnsi="Times New Roman"/>
      <w:kern w:val="2"/>
      <w:sz w:val="22"/>
      <w:szCs w:val="22"/>
      <w:lang w:val="zh-CN"/>
    </w:rPr>
  </w:style>
  <w:style w:type="table" w:customStyle="1" w:styleId="3040">
    <w:name w:val="三线表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1">
    <w:name w:val="网格型1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042">
    <w:name w:val="正文首行缩进4"/>
    <w:basedOn w:val="34"/>
    <w:qFormat/>
    <w:uiPriority w:val="0"/>
    <w:pPr>
      <w:snapToGrid/>
      <w:spacing w:beforeLines="0" w:line="312" w:lineRule="auto"/>
      <w:ind w:firstLine="567"/>
      <w:jc w:val="left"/>
      <w:textAlignment w:val="baseline"/>
    </w:pPr>
    <w:rPr>
      <w:snapToGrid/>
      <w:sz w:val="28"/>
      <w:szCs w:val="20"/>
    </w:rPr>
  </w:style>
  <w:style w:type="paragraph" w:customStyle="1" w:styleId="3043">
    <w:name w:val="正文文本缩进 24"/>
    <w:basedOn w:val="1"/>
    <w:qFormat/>
    <w:uiPriority w:val="0"/>
    <w:pPr>
      <w:snapToGrid/>
      <w:spacing w:line="348" w:lineRule="auto"/>
      <w:ind w:firstLine="573" w:firstLineChars="0"/>
      <w:jc w:val="both"/>
      <w:textAlignment w:val="baseline"/>
    </w:pPr>
    <w:rPr>
      <w:rFonts w:eastAsia="Wingdings"/>
      <w:sz w:val="28"/>
      <w:szCs w:val="20"/>
    </w:rPr>
  </w:style>
  <w:style w:type="paragraph" w:customStyle="1" w:styleId="3044">
    <w:name w:val="文档结构图2"/>
    <w:basedOn w:val="1"/>
    <w:qFormat/>
    <w:uiPriority w:val="0"/>
    <w:pPr>
      <w:shd w:val="clear" w:color="auto" w:fill="000080"/>
      <w:snapToGrid/>
      <w:spacing w:line="360" w:lineRule="atLeast"/>
      <w:ind w:firstLine="0" w:firstLineChars="0"/>
      <w:textAlignment w:val="baseline"/>
    </w:pPr>
    <w:rPr>
      <w:rFonts w:eastAsia="Wingdings"/>
      <w:kern w:val="0"/>
      <w:sz w:val="24"/>
      <w:szCs w:val="20"/>
    </w:rPr>
  </w:style>
  <w:style w:type="table" w:customStyle="1" w:styleId="3045">
    <w:name w:val="网格型10"/>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6">
    <w:name w:val="彩色型 21"/>
    <w:basedOn w:val="88"/>
    <w:semiHidden/>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bottom w:val="single" w:color="000000" w:sz="12" w:space="0"/>
          <w:tl2br w:val="nil"/>
          <w:tr2bl w:val="nil"/>
        </w:tcBorders>
        <w:shd w:val="solid" w:color="800000" w:fill="FFFFFF"/>
      </w:tcPr>
    </w:tblStylePr>
    <w:tblStylePr w:type="firstCol">
      <w:rPr>
        <w:b/>
        <w:bCs/>
        <w:i/>
        <w:iCs/>
      </w:rPr>
      <w:tcPr>
        <w:tcBorders>
          <w:tl2br w:val="nil"/>
          <w:tr2bl w:val="nil"/>
        </w:tcBorders>
      </w:tcPr>
    </w:tblStylePr>
    <w:tblStylePr w:type="lastCol">
      <w:tcPr>
        <w:tcBorders>
          <w:tl2br w:val="nil"/>
          <w:tr2bl w:val="nil"/>
        </w:tcBorders>
        <w:shd w:val="solid" w:color="C0C0C0" w:fill="FFFFFF"/>
      </w:tcPr>
    </w:tblStylePr>
    <w:tblStylePr w:type="swCell">
      <w:rPr>
        <w:b/>
        <w:bCs/>
        <w:i w:val="0"/>
        <w:iCs w:val="0"/>
      </w:rPr>
      <w:tcPr>
        <w:tcBorders>
          <w:tl2br w:val="nil"/>
          <w:tr2bl w:val="nil"/>
        </w:tcBorders>
      </w:tcPr>
    </w:tblStylePr>
  </w:style>
  <w:style w:type="table" w:customStyle="1" w:styleId="3047">
    <w:name w:val="彩色型 31"/>
    <w:basedOn w:val="88"/>
    <w:semiHidden/>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cPr>
        <w:tcBorders>
          <w:bottom w:val="single" w:color="000000" w:sz="6" w:space="0"/>
          <w:tl2br w:val="nil"/>
          <w:tr2bl w:val="nil"/>
        </w:tcBorders>
        <w:shd w:val="solid" w:color="008080" w:fill="FFFFFF"/>
      </w:tcPr>
    </w:tblStylePr>
    <w:tblStylePr w:type="firstCol">
      <w:tcPr>
        <w:tcBorders>
          <w:left w:val="single" w:color="000000" w:sz="36" w:space="0"/>
          <w:right w:val="single" w:color="000000" w:sz="6" w:space="0"/>
          <w:tl2br w:val="nil"/>
          <w:tr2bl w:val="nil"/>
        </w:tcBorders>
        <w:shd w:val="solid" w:color="008080" w:fill="FFFFFF"/>
      </w:tcPr>
    </w:tblStylePr>
    <w:tblStylePr w:type="nwCell">
      <w:rPr>
        <w:b/>
        <w:bCs/>
        <w:color w:val="FFFFFF"/>
      </w:rPr>
      <w:tcPr>
        <w:tcBorders>
          <w:tl2br w:val="nil"/>
          <w:tr2bl w:val="nil"/>
        </w:tcBorders>
        <w:shd w:val="solid" w:color="000000" w:fill="FFFFFF"/>
      </w:tcPr>
    </w:tblStylePr>
  </w:style>
  <w:style w:type="table" w:customStyle="1" w:styleId="3048">
    <w:name w:val="典雅型1"/>
    <w:basedOn w:val="88"/>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l2br w:val="nil"/>
          <w:tr2bl w:val="nil"/>
        </w:tcBorders>
      </w:tcPr>
    </w:tblStylePr>
  </w:style>
  <w:style w:type="table" w:customStyle="1" w:styleId="3049">
    <w:name w:val="古典型 11"/>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bottom w:val="single" w:color="000000" w:sz="6" w:space="0"/>
          <w:tl2br w:val="nil"/>
          <w:tr2bl w:val="nil"/>
        </w:tcBorders>
      </w:tcPr>
    </w:tblStylePr>
    <w:tblStylePr w:type="lastRow">
      <w:rPr>
        <w:color w:val="auto"/>
      </w:rPr>
      <w:tcPr>
        <w:tcBorders>
          <w:top w:val="single" w:color="000000" w:sz="6" w:space="0"/>
          <w:tl2br w:val="nil"/>
          <w:tr2bl w:val="nil"/>
        </w:tcBorders>
      </w:tcPr>
    </w:tblStylePr>
    <w:tblStylePr w:type="firstCol">
      <w:tcPr>
        <w:tcBorders>
          <w:right w:val="single" w:color="000000" w:sz="6" w:space="0"/>
          <w:tl2br w:val="nil"/>
          <w:tr2bl w:val="nil"/>
        </w:tcBorders>
      </w:tcPr>
    </w:tblStylePr>
    <w:tblStylePr w:type="neCell">
      <w:rPr>
        <w:b/>
        <w:bCs/>
        <w:i w:val="0"/>
        <w:iCs w:val="0"/>
      </w:rPr>
      <w:tcPr>
        <w:tcBorders>
          <w:tl2br w:val="nil"/>
          <w:tr2bl w:val="nil"/>
        </w:tcBorders>
      </w:tcPr>
    </w:tblStylePr>
    <w:tblStylePr w:type="swCell">
      <w:rPr>
        <w:b/>
        <w:bCs/>
      </w:rPr>
      <w:tcPr>
        <w:tcBorders>
          <w:tl2br w:val="nil"/>
          <w:tr2bl w:val="nil"/>
        </w:tcBorders>
      </w:tcPr>
    </w:tblStylePr>
  </w:style>
  <w:style w:type="table" w:customStyle="1" w:styleId="3050">
    <w:name w:val="古典型 21"/>
    <w:basedOn w:val="88"/>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cPr>
        <w:tcBorders>
          <w:bottom w:val="single" w:color="000000" w:sz="6" w:space="0"/>
          <w:tl2br w:val="nil"/>
          <w:tr2bl w:val="nil"/>
        </w:tcBorders>
        <w:shd w:val="solid" w:color="800080" w:fill="FFFFFF"/>
      </w:tcPr>
    </w:tblStylePr>
    <w:tblStylePr w:type="lastRow">
      <w:tcPr>
        <w:tcBorders>
          <w:top w:val="single" w:color="000000" w:sz="6" w:space="0"/>
          <w:tl2br w:val="nil"/>
          <w:tr2bl w:val="nil"/>
        </w:tcBorders>
      </w:tcPr>
    </w:tblStylePr>
    <w:tblStylePr w:type="firstCol">
      <w:rPr>
        <w:b/>
        <w:bCs/>
      </w:rPr>
      <w:tcPr>
        <w:tcBorders>
          <w:tl2br w:val="nil"/>
          <w:tr2bl w:val="nil"/>
        </w:tcBorders>
        <w:shd w:val="solid" w:color="C0C0C0" w:fill="FFFFFF"/>
      </w:tcPr>
    </w:tblStylePr>
    <w:tblStylePr w:type="neCell">
      <w:rPr>
        <w:b/>
        <w:bCs/>
      </w:rPr>
      <w:tcPr>
        <w:tcBorders>
          <w:tl2br w:val="nil"/>
          <w:tr2bl w:val="nil"/>
        </w:tcBorders>
      </w:tcPr>
    </w:tblStylePr>
    <w:tblStylePr w:type="nwCell">
      <w:tcPr>
        <w:tcBorders>
          <w:tl2br w:val="nil"/>
          <w:tr2bl w:val="nil"/>
        </w:tcBorders>
        <w:shd w:val="solid" w:color="800080" w:fill="FFFFFF"/>
      </w:tcPr>
    </w:tblStylePr>
    <w:tblStylePr w:type="swCell">
      <w:rPr>
        <w:color w:val="000080"/>
      </w:rPr>
      <w:tcPr>
        <w:tcBorders>
          <w:tl2br w:val="nil"/>
          <w:tr2bl w:val="nil"/>
        </w:tcBorders>
      </w:tcPr>
    </w:tblStylePr>
  </w:style>
  <w:style w:type="table" w:customStyle="1" w:styleId="3051">
    <w:name w:val="古典型 31"/>
    <w:basedOn w:val="88"/>
    <w:semiHidden/>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cPr>
        <w:tcBorders>
          <w:bottom w:val="single" w:color="000000" w:sz="6" w:space="0"/>
          <w:tl2br w:val="nil"/>
          <w:tr2bl w:val="nil"/>
        </w:tcBorders>
        <w:shd w:val="solid" w:color="000080" w:fill="FFFFFF"/>
      </w:tcPr>
    </w:tblStylePr>
    <w:tblStylePr w:type="lastRow">
      <w:rPr>
        <w:color w:val="000080"/>
      </w:rPr>
      <w:tcPr>
        <w:tcBorders>
          <w:top w:val="single" w:color="000000" w:sz="12" w:space="0"/>
          <w:tl2br w:val="nil"/>
          <w:tr2bl w:val="nil"/>
        </w:tcBorders>
        <w:shd w:val="solid" w:color="FFFFFF" w:fill="FFFFFF"/>
      </w:tcPr>
    </w:tblStylePr>
    <w:tblStylePr w:type="firstCol">
      <w:rPr>
        <w:b/>
        <w:bCs/>
        <w:color w:val="000000"/>
      </w:rPr>
      <w:tcPr>
        <w:tcBorders>
          <w:tl2br w:val="nil"/>
          <w:tr2bl w:val="nil"/>
        </w:tcBorders>
      </w:tcPr>
    </w:tblStylePr>
  </w:style>
  <w:style w:type="table" w:customStyle="1" w:styleId="3052">
    <w:name w:val="古典型 41"/>
    <w:basedOn w:val="88"/>
    <w:semiHidden/>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cPr>
        <w:tcBorders>
          <w:bottom w:val="single" w:color="000000" w:sz="6" w:space="0"/>
          <w:tl2br w:val="nil"/>
          <w:tr2bl w:val="nil"/>
        </w:tcBorders>
        <w:shd w:val="pct50" w:color="000080" w:fill="FFFFFF"/>
      </w:tcPr>
    </w:tblStylePr>
    <w:tblStylePr w:type="lastRow">
      <w:rPr>
        <w:color w:val="000080"/>
      </w:rPr>
      <w:tcPr>
        <w:tcBorders>
          <w:bottom w:val="single" w:color="000000" w:sz="6" w:space="0"/>
          <w:tl2br w:val="nil"/>
          <w:tr2bl w:val="nil"/>
        </w:tcBorders>
        <w:shd w:val="pct50" w:color="000000" w:fill="FFFFFF"/>
      </w:tcPr>
    </w:tblStylePr>
    <w:tblStylePr w:type="firstCol">
      <w:rPr>
        <w:b/>
        <w:bCs/>
      </w:rPr>
      <w:tcPr>
        <w:tcBorders>
          <w:tl2br w:val="nil"/>
          <w:tr2bl w:val="nil"/>
        </w:tcBorders>
      </w:tcPr>
    </w:tblStylePr>
    <w:tblStylePr w:type="nwCell">
      <w:rPr>
        <w:b/>
        <w:bCs/>
      </w:rPr>
      <w:tcPr>
        <w:tcBorders>
          <w:tl2br w:val="nil"/>
          <w:tr2bl w:val="nil"/>
        </w:tcBorders>
      </w:tcPr>
    </w:tblStylePr>
    <w:tblStylePr w:type="swCell">
      <w:rPr>
        <w:color w:val="000080"/>
      </w:rPr>
      <w:tcPr>
        <w:tcBorders>
          <w:tl2br w:val="nil"/>
          <w:tr2bl w:val="nil"/>
        </w:tcBorders>
      </w:tcPr>
    </w:tblStylePr>
  </w:style>
  <w:style w:type="table" w:customStyle="1" w:styleId="3053">
    <w:name w:val="简明型 11"/>
    <w:basedOn w:val="88"/>
    <w:qFormat/>
    <w:uiPriority w:val="0"/>
    <w:pPr>
      <w:widowControl w:val="0"/>
      <w:adjustRightInd w:val="0"/>
      <w:textAlignment w:val="baseline"/>
    </w:pPr>
    <w:tblPr>
      <w:tblBorders>
        <w:top w:val="single" w:color="008000" w:sz="12" w:space="0"/>
        <w:bottom w:val="single" w:color="008000" w:sz="12" w:space="0"/>
      </w:tblBorders>
    </w:tblPr>
    <w:tcPr>
      <w:shd w:val="clear" w:color="auto" w:fill="auto"/>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3054">
    <w:name w:val="简明型 21"/>
    <w:basedOn w:val="88"/>
    <w:semiHidden/>
    <w:qFormat/>
    <w:uiPriority w:val="0"/>
    <w:pPr>
      <w:widowControl w:val="0"/>
      <w:jc w:val="both"/>
    </w:pPr>
    <w:tblStylePr w:type="firstRow">
      <w:rPr>
        <w:b/>
        <w:bCs/>
      </w:rPr>
      <w:tcPr>
        <w:tcBorders>
          <w:bottom w:val="single" w:color="000000" w:sz="12" w:space="0"/>
          <w:tl2br w:val="nil"/>
          <w:tr2bl w:val="nil"/>
        </w:tcBorders>
      </w:tcPr>
    </w:tblStylePr>
    <w:tblStylePr w:type="lastRow">
      <w:rPr>
        <w:b/>
        <w:bCs/>
        <w:color w:val="auto"/>
      </w:rPr>
      <w:tcPr>
        <w:tcBorders>
          <w:top w:val="single" w:color="000000" w:sz="6" w:space="0"/>
          <w:tl2br w:val="nil"/>
          <w:tr2bl w:val="nil"/>
        </w:tcBorders>
      </w:tcPr>
    </w:tblStylePr>
    <w:tblStylePr w:type="firstCol">
      <w:rPr>
        <w:b/>
        <w:bCs/>
      </w:rPr>
      <w:tcPr>
        <w:tcBorders>
          <w:right w:val="single" w:color="000000" w:sz="12" w:space="0"/>
          <w:tl2br w:val="nil"/>
          <w:tr2bl w:val="nil"/>
        </w:tcBorders>
      </w:tcPr>
    </w:tblStylePr>
    <w:tblStylePr w:type="lastCol">
      <w:rPr>
        <w:b/>
        <w:bCs/>
      </w:rPr>
      <w:tcPr>
        <w:tcBorders>
          <w:left w:val="single" w:color="000000" w:sz="6" w:space="0"/>
          <w:tl2br w:val="nil"/>
          <w:tr2bl w:val="nil"/>
        </w:tcBorders>
      </w:tcPr>
    </w:tblStylePr>
    <w:tblStylePr w:type="neCell">
      <w:rPr>
        <w:b/>
        <w:bCs/>
      </w:rPr>
      <w:tcPr>
        <w:tcBorders>
          <w:left w:val="nil"/>
          <w:tl2br w:val="nil"/>
          <w:tr2bl w:val="nil"/>
        </w:tcBorders>
      </w:tcPr>
    </w:tblStylePr>
    <w:tblStylePr w:type="swCell">
      <w:rPr>
        <w:b/>
        <w:bCs/>
      </w:rPr>
      <w:tcPr>
        <w:tcBorders>
          <w:top w:val="nil"/>
          <w:tl2br w:val="nil"/>
          <w:tr2bl w:val="nil"/>
        </w:tcBorders>
      </w:tcPr>
    </w:tblStylePr>
  </w:style>
  <w:style w:type="table" w:customStyle="1" w:styleId="3055">
    <w:name w:val="简明型 3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l2br w:val="nil"/>
          <w:tr2bl w:val="nil"/>
        </w:tcBorders>
        <w:shd w:val="solid" w:color="000000" w:fill="FFFFFF"/>
      </w:tcPr>
    </w:tblStylePr>
  </w:style>
  <w:style w:type="table" w:customStyle="1" w:styleId="3056">
    <w:name w:val="精巧型 11"/>
    <w:basedOn w:val="88"/>
    <w:semiHidden/>
    <w:qFormat/>
    <w:uiPriority w:val="0"/>
    <w:pPr>
      <w:widowControl w:val="0"/>
      <w:jc w:val="both"/>
    </w:pPr>
    <w:tblStylePr w:type="firstRow">
      <w:tcPr>
        <w:tcBorders>
          <w:top w:val="single" w:color="000000" w:sz="6" w:space="0"/>
          <w:bottom w:val="single" w:color="000000" w:sz="12" w:space="0"/>
          <w:tl2br w:val="nil"/>
          <w:tr2bl w:val="nil"/>
        </w:tcBorders>
      </w:tcPr>
    </w:tblStylePr>
    <w:tblStylePr w:type="lastRow">
      <w:tcPr>
        <w:tcBorders>
          <w:top w:val="single" w:color="000000" w:sz="12" w:space="0"/>
          <w:tl2br w:val="nil"/>
          <w:tr2bl w:val="nil"/>
        </w:tcBorders>
        <w:shd w:val="pct25" w:color="800080" w:fill="FFFFFF"/>
      </w:tcPr>
    </w:tblStylePr>
    <w:tblStylePr w:type="firstCol">
      <w:tcPr>
        <w:tcBorders>
          <w:right w:val="single" w:color="000000" w:sz="12" w:space="0"/>
          <w:tl2br w:val="nil"/>
          <w:tr2bl w:val="nil"/>
        </w:tcBorders>
      </w:tcPr>
    </w:tblStylePr>
    <w:tblStylePr w:type="lastCol">
      <w:tcPr>
        <w:tcBorders>
          <w:left w:val="single" w:color="000000" w:sz="12" w:space="0"/>
          <w:tl2br w:val="nil"/>
          <w:tr2bl w:val="nil"/>
        </w:tcBorders>
      </w:tcPr>
    </w:tblStylePr>
    <w:tblStylePr w:type="band1Horz">
      <w:tcPr>
        <w:tcBorders>
          <w:bottom w:val="single" w:color="000000" w:sz="6" w:space="0"/>
          <w:tl2br w:val="nil"/>
          <w:tr2bl w:val="nil"/>
        </w:tcBorders>
        <w:shd w:val="pct25" w:color="8080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057">
    <w:name w:val="精巧型 21"/>
    <w:basedOn w:val="88"/>
    <w:semiHidden/>
    <w:qFormat/>
    <w:uiPriority w:val="0"/>
    <w:pPr>
      <w:widowControl w:val="0"/>
      <w:jc w:val="both"/>
    </w:pPr>
    <w:tblPr>
      <w:tblBorders>
        <w:left w:val="single" w:color="000000" w:sz="6" w:space="0"/>
        <w:right w:val="single" w:color="000000" w:sz="6" w:space="0"/>
      </w:tblBorders>
    </w:tblPr>
    <w:tblStylePr w:type="firstRow">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firstCol">
      <w:tcPr>
        <w:tcBorders>
          <w:right w:val="single" w:color="000000" w:sz="12" w:space="0"/>
          <w:tl2br w:val="nil"/>
          <w:tr2bl w:val="nil"/>
        </w:tcBorders>
        <w:shd w:val="pct25" w:color="008000" w:fill="FFFFFF"/>
      </w:tcPr>
    </w:tblStylePr>
    <w:tblStylePr w:type="lastCol">
      <w:tcPr>
        <w:tcBorders>
          <w:left w:val="single" w:color="000000" w:sz="12" w:space="0"/>
          <w:tl2br w:val="nil"/>
          <w:tr2bl w:val="nil"/>
        </w:tcBorders>
        <w:shd w:val="pct25" w:color="8080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058">
    <w:name w:val="立体型 11"/>
    <w:basedOn w:val="88"/>
    <w:semiHidden/>
    <w:qFormat/>
    <w:uiPriority w:val="0"/>
    <w:pPr>
      <w:widowControl w:val="0"/>
      <w:jc w:val="both"/>
    </w:pPr>
    <w:tcPr>
      <w:shd w:val="solid" w:color="C0C0C0" w:fill="FFFFFF"/>
    </w:tcPr>
    <w:tblStylePr w:type="firstRow">
      <w:rPr>
        <w:b/>
        <w:bCs/>
        <w:color w:val="800080"/>
      </w:rPr>
      <w:tcPr>
        <w:tcBorders>
          <w:bottom w:val="single" w:color="808080" w:sz="6" w:space="0"/>
          <w:tl2br w:val="nil"/>
          <w:tr2bl w:val="nil"/>
        </w:tcBorders>
      </w:tcPr>
    </w:tblStylePr>
    <w:tblStylePr w:type="lastRow">
      <w:tcPr>
        <w:tcBorders>
          <w:top w:val="single" w:color="FFFFFF" w:sz="6" w:space="0"/>
          <w:tl2br w:val="nil"/>
          <w:tr2bl w:val="nil"/>
        </w:tcBorders>
      </w:tcPr>
    </w:tblStylePr>
    <w:tblStylePr w:type="firstCol">
      <w:rPr>
        <w:b/>
        <w:bCs/>
      </w:rPr>
      <w:tcPr>
        <w:tcBorders>
          <w:right w:val="single" w:color="808080" w:sz="6" w:space="0"/>
          <w:tl2br w:val="nil"/>
          <w:tr2bl w:val="nil"/>
        </w:tcBorders>
      </w:tcPr>
    </w:tblStylePr>
    <w:tblStylePr w:type="lastCol">
      <w:tcPr>
        <w:tcBorders>
          <w:left w:val="single" w:color="FFFFFF" w:sz="6" w:space="0"/>
          <w:tl2br w:val="nil"/>
          <w:tr2bl w:val="nil"/>
        </w:tcBorders>
      </w:tcPr>
    </w:tblStylePr>
    <w:tblStylePr w:type="neCell">
      <w:tcPr>
        <w:tcBorders>
          <w:left w:val="nil"/>
          <w:bottom w:val="nil"/>
          <w:tl2br w:val="nil"/>
          <w:tr2bl w:val="nil"/>
        </w:tcBorders>
      </w:tcPr>
    </w:tblStylePr>
    <w:tblStylePr w:type="nwCell">
      <w:tcPr>
        <w:tcBorders>
          <w:bottom w:val="nil"/>
          <w:right w:val="nil"/>
          <w:tl2br w:val="nil"/>
          <w:tr2bl w:val="nil"/>
        </w:tcBorders>
      </w:tcPr>
    </w:tblStylePr>
    <w:tblStylePr w:type="seCell">
      <w:tcPr>
        <w:tcBorders>
          <w:top w:val="nil"/>
          <w:left w:val="nil"/>
          <w:tl2br w:val="nil"/>
          <w:tr2bl w:val="nil"/>
        </w:tcBorders>
      </w:tcPr>
    </w:tblStylePr>
    <w:tblStylePr w:type="swCell">
      <w:rPr>
        <w:color w:val="000080"/>
      </w:rPr>
      <w:tcPr>
        <w:tcBorders>
          <w:top w:val="nil"/>
          <w:right w:val="nil"/>
          <w:tl2br w:val="nil"/>
          <w:tr2bl w:val="nil"/>
        </w:tcBorders>
      </w:tcPr>
    </w:tblStylePr>
  </w:style>
  <w:style w:type="table" w:customStyle="1" w:styleId="3059">
    <w:name w:val="立体型 21"/>
    <w:basedOn w:val="88"/>
    <w:semiHidden/>
    <w:qFormat/>
    <w:uiPriority w:val="0"/>
    <w:pPr>
      <w:widowControl w:val="0"/>
      <w:jc w:val="both"/>
    </w:pPr>
    <w:tcPr>
      <w:shd w:val="solid" w:color="C0C0C0" w:fill="FFFFFF"/>
    </w:tcPr>
    <w:tblStylePr w:type="firstRow">
      <w:rPr>
        <w:b/>
        <w:bCs/>
      </w:rPr>
      <w:tcPr>
        <w:tcBorders>
          <w:tl2br w:val="nil"/>
          <w:tr2bl w:val="nil"/>
        </w:tcBorders>
      </w:tcPr>
    </w:tblStylePr>
    <w:tblStylePr w:type="firstCol">
      <w:tcPr>
        <w:tcBorders>
          <w:top w:val="nil"/>
          <w:bottom w:val="nil"/>
          <w:right w:val="single" w:color="808080" w:sz="6" w:space="0"/>
          <w:tl2br w:val="nil"/>
          <w:tr2bl w:val="nil"/>
        </w:tcBorders>
      </w:tcPr>
    </w:tblStylePr>
    <w:tblStylePr w:type="lastCol">
      <w:tcPr>
        <w:tcBorders>
          <w:right w:val="single" w:color="FFFFFF" w:sz="6" w:space="0"/>
          <w:tl2br w:val="nil"/>
          <w:tr2bl w:val="nil"/>
        </w:tcBorders>
      </w:tcPr>
    </w:tblStylePr>
    <w:tblStylePr w:type="band1Horz">
      <w:tcPr>
        <w:tcBorders>
          <w:top w:val="single" w:color="808080" w:sz="6" w:space="0"/>
          <w:bottom w:val="single" w:color="FFFFFF" w:sz="6" w:space="0"/>
          <w:tl2br w:val="nil"/>
          <w:tr2bl w:val="nil"/>
        </w:tcBorders>
      </w:tcPr>
    </w:tblStylePr>
    <w:tblStylePr w:type="swCell">
      <w:rPr>
        <w:b/>
        <w:bCs/>
      </w:rPr>
      <w:tcPr>
        <w:tcBorders>
          <w:tl2br w:val="nil"/>
          <w:tr2bl w:val="nil"/>
        </w:tcBorders>
      </w:tcPr>
    </w:tblStylePr>
  </w:style>
  <w:style w:type="table" w:customStyle="1" w:styleId="3060">
    <w:name w:val="立体型 31"/>
    <w:basedOn w:val="88"/>
    <w:semiHidden/>
    <w:qFormat/>
    <w:uiPriority w:val="0"/>
    <w:pPr>
      <w:widowControl w:val="0"/>
      <w:jc w:val="both"/>
    </w:pPr>
    <w:tblStylePr w:type="firstRow">
      <w:rPr>
        <w:b/>
        <w:bCs/>
      </w:rPr>
      <w:tcPr>
        <w:tcBorders>
          <w:tl2br w:val="nil"/>
          <w:tr2bl w:val="nil"/>
        </w:tcBorders>
      </w:tcPr>
    </w:tblStylePr>
    <w:tblStylePr w:type="firstCol">
      <w:tcPr>
        <w:tcBorders>
          <w:top w:val="nil"/>
          <w:bottom w:val="nil"/>
          <w:right w:val="single" w:color="808080" w:sz="6" w:space="0"/>
          <w:tl2br w:val="nil"/>
          <w:tr2bl w:val="nil"/>
        </w:tcBorders>
      </w:tcPr>
    </w:tblStylePr>
    <w:tblStylePr w:type="lastCol">
      <w:tcPr>
        <w:tcBorders>
          <w:right w:val="single" w:color="FFFFFF" w:sz="6" w:space="0"/>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bottom w:val="single" w:color="FFFFFF" w:sz="6" w:space="0"/>
          <w:tl2br w:val="nil"/>
          <w:tr2bl w:val="nil"/>
        </w:tcBorders>
      </w:tcPr>
    </w:tblStylePr>
    <w:tblStylePr w:type="swCell">
      <w:rPr>
        <w:b/>
        <w:bCs/>
      </w:rPr>
      <w:tcPr>
        <w:tcBorders>
          <w:tl2br w:val="nil"/>
          <w:tr2bl w:val="nil"/>
        </w:tcBorders>
      </w:tcPr>
    </w:tblStylePr>
  </w:style>
  <w:style w:type="table" w:customStyle="1" w:styleId="3061">
    <w:name w:val="列表型 11"/>
    <w:basedOn w:val="88"/>
    <w:semiHidden/>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cPr>
        <w:tcBorders>
          <w:bottom w:val="single" w:color="000000" w:sz="6" w:space="0"/>
          <w:tl2br w:val="nil"/>
          <w:tr2bl w:val="nil"/>
        </w:tcBorders>
        <w:shd w:val="solid" w:color="C0C0C0" w:fill="FFFFFF"/>
      </w:tcPr>
    </w:tblStylePr>
    <w:tblStylePr w:type="lastRow">
      <w:tcPr>
        <w:tcBorders>
          <w:top w:val="single" w:color="000000" w:sz="6" w:space="0"/>
          <w:tl2br w:val="nil"/>
          <w:tr2bl w:val="nil"/>
        </w:tcBorders>
      </w:tcPr>
    </w:tblStylePr>
    <w:tblStylePr w:type="band1Horz">
      <w:rPr>
        <w:color w:val="auto"/>
      </w:rPr>
      <w:tcPr>
        <w:tcBorders>
          <w:tl2br w:val="nil"/>
          <w:tr2bl w:val="nil"/>
        </w:tcBorders>
        <w:shd w:val="solid" w:color="C0C0C0" w:fill="FFFFFF"/>
      </w:tcPr>
    </w:tblStylePr>
    <w:tblStylePr w:type="band2Horz">
      <w:rPr>
        <w:color w:val="auto"/>
      </w:rPr>
      <w:tcPr>
        <w:tcBorders>
          <w:tl2br w:val="nil"/>
          <w:tr2bl w:val="nil"/>
        </w:tcBorders>
      </w:tcPr>
    </w:tblStylePr>
    <w:tblStylePr w:type="swCell">
      <w:rPr>
        <w:b/>
        <w:bCs/>
      </w:rPr>
      <w:tcPr>
        <w:tcBorders>
          <w:tl2br w:val="nil"/>
          <w:tr2bl w:val="nil"/>
        </w:tcBorders>
      </w:tcPr>
    </w:tblStylePr>
  </w:style>
  <w:style w:type="table" w:customStyle="1" w:styleId="3062">
    <w:name w:val="列表型 21"/>
    <w:basedOn w:val="88"/>
    <w:semiHidden/>
    <w:qFormat/>
    <w:uiPriority w:val="0"/>
    <w:pPr>
      <w:widowControl w:val="0"/>
      <w:jc w:val="both"/>
    </w:pPr>
    <w:tblPr>
      <w:tblBorders>
        <w:bottom w:val="single" w:color="808080" w:sz="12" w:space="0"/>
      </w:tblBorders>
    </w:tblPr>
    <w:tblStylePr w:type="firstRow">
      <w:rPr>
        <w:b/>
        <w:bCs/>
        <w:color w:val="FFFFFF"/>
      </w:rPr>
      <w:tcPr>
        <w:tcBorders>
          <w:bottom w:val="single" w:color="000000" w:sz="6" w:space="0"/>
          <w:tl2br w:val="nil"/>
          <w:tr2bl w:val="nil"/>
        </w:tcBorders>
        <w:shd w:val="pct75" w:color="008080" w:fill="008000"/>
      </w:tcPr>
    </w:tblStylePr>
    <w:tblStylePr w:type="lastRow">
      <w:tcPr>
        <w:tcBorders>
          <w:top w:val="single" w:color="000000" w:sz="6" w:space="0"/>
          <w:tl2br w:val="nil"/>
          <w:tr2bl w:val="nil"/>
        </w:tcBorders>
      </w:tcPr>
    </w:tblStylePr>
    <w:tblStylePr w:type="band1Horz">
      <w:rPr>
        <w:color w:val="auto"/>
      </w:rPr>
      <w:tcPr>
        <w:tcBorders>
          <w:tl2br w:val="nil"/>
          <w:tr2bl w:val="nil"/>
        </w:tcBorders>
        <w:shd w:val="pct20" w:color="00FF00" w:fill="FFFFFF"/>
      </w:tcPr>
    </w:tblStylePr>
    <w:tblStylePr w:type="band2Horz">
      <w:rPr>
        <w:color w:val="auto"/>
      </w:rPr>
      <w:tcPr>
        <w:tcBorders>
          <w:tl2br w:val="nil"/>
          <w:tr2bl w:val="nil"/>
        </w:tcBorders>
      </w:tcPr>
    </w:tblStylePr>
    <w:tblStylePr w:type="swCell">
      <w:rPr>
        <w:b/>
        <w:bCs/>
      </w:rPr>
      <w:tcPr>
        <w:tcBorders>
          <w:tl2br w:val="nil"/>
          <w:tr2bl w:val="nil"/>
        </w:tcBorders>
      </w:tcPr>
    </w:tblStylePr>
  </w:style>
  <w:style w:type="table" w:customStyle="1" w:styleId="3063">
    <w:name w:val="列表型 31"/>
    <w:basedOn w:val="88"/>
    <w:semiHidden/>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table" w:customStyle="1" w:styleId="3064">
    <w:name w:val="列表型 4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bottom w:val="single" w:color="000000" w:sz="12" w:space="0"/>
          <w:tl2br w:val="nil"/>
          <w:tr2bl w:val="nil"/>
        </w:tcBorders>
        <w:shd w:val="solid" w:color="808080" w:fill="FFFFFF"/>
      </w:tcPr>
    </w:tblStylePr>
  </w:style>
  <w:style w:type="table" w:customStyle="1" w:styleId="3065">
    <w:name w:val="列表型 54"/>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066">
    <w:name w:val="列表型 6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cPr>
        <w:tcBorders>
          <w:bottom w:val="single" w:color="000000" w:sz="12" w:space="0"/>
          <w:tl2br w:val="nil"/>
          <w:tr2bl w:val="nil"/>
        </w:tcBorders>
      </w:tcPr>
    </w:tblStylePr>
    <w:tblStylePr w:type="firstCol">
      <w:rPr>
        <w:b/>
        <w:bCs/>
      </w:rPr>
      <w:tcPr>
        <w:tcBorders>
          <w:right w:val="single" w:color="000000" w:sz="12" w:space="0"/>
          <w:tl2br w:val="nil"/>
          <w:tr2bl w:val="nil"/>
        </w:tcBorders>
      </w:tcPr>
    </w:tblStylePr>
    <w:tblStylePr w:type="band1Horz">
      <w:tcPr>
        <w:tcBorders>
          <w:tl2br w:val="nil"/>
          <w:tr2bl w:val="nil"/>
        </w:tcBorders>
        <w:shd w:val="pct25" w:color="000000" w:fill="FFFFFF"/>
      </w:tcPr>
    </w:tblStylePr>
    <w:tblStylePr w:type="nwCell">
      <w:tcPr>
        <w:tcBorders>
          <w:tl2br w:val="single" w:color="000000" w:sz="6" w:space="0"/>
          <w:tr2bl w:val="nil"/>
        </w:tcBorders>
      </w:tcPr>
    </w:tblStylePr>
  </w:style>
  <w:style w:type="table" w:customStyle="1" w:styleId="3067">
    <w:name w:val="列表型 71"/>
    <w:basedOn w:val="88"/>
    <w:semiHidden/>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bottom w:val="single" w:color="008000" w:sz="12" w:space="0"/>
          <w:tl2br w:val="nil"/>
          <w:tr2bl w:val="nil"/>
        </w:tcBorders>
        <w:shd w:val="solid" w:color="C0C0C0" w:fill="FFFFFF"/>
      </w:tcPr>
    </w:tblStylePr>
    <w:tblStylePr w:type="lastRow">
      <w:rPr>
        <w:b/>
        <w:bCs/>
      </w:rPr>
      <w:tcPr>
        <w:tcBorders>
          <w:top w:val="single" w:color="008000" w:sz="12"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Horz">
      <w:rPr>
        <w:color w:val="auto"/>
      </w:rPr>
      <w:tcPr>
        <w:tcBorders>
          <w:tl2br w:val="nil"/>
          <w:tr2bl w:val="nil"/>
        </w:tcBorders>
        <w:shd w:val="pct20" w:color="000000" w:fill="FFFFFF"/>
      </w:tcPr>
    </w:tblStylePr>
    <w:tblStylePr w:type="band2Horz">
      <w:tcPr>
        <w:tcBorders>
          <w:tl2br w:val="nil"/>
          <w:tr2bl w:val="nil"/>
        </w:tcBorders>
        <w:shd w:val="pct25" w:color="FFFF00" w:fill="FFFFFF"/>
      </w:tcPr>
    </w:tblStylePr>
  </w:style>
  <w:style w:type="table" w:customStyle="1" w:styleId="3068">
    <w:name w:val="列表型 8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cPr>
        <w:tcBorders>
          <w:bottom w:val="single" w:color="000000" w:sz="6" w:space="0"/>
          <w:tl2br w:val="nil"/>
          <w:tr2bl w:val="nil"/>
        </w:tcBorders>
        <w:shd w:val="solid" w:color="FFFF00" w:fill="FFFFFF"/>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Horz">
      <w:rPr>
        <w:color w:val="auto"/>
      </w:rPr>
      <w:tcPr>
        <w:tcBorders>
          <w:tl2br w:val="nil"/>
          <w:tr2bl w:val="nil"/>
        </w:tcBorders>
        <w:shd w:val="pct25" w:color="FFFF00" w:fill="FFFFFF"/>
      </w:tcPr>
    </w:tblStylePr>
    <w:tblStylePr w:type="band2Horz">
      <w:tcPr>
        <w:tcBorders>
          <w:tl2br w:val="nil"/>
          <w:tr2bl w:val="nil"/>
        </w:tcBorders>
        <w:shd w:val="pct50" w:color="FF0000" w:fill="FFFFFF"/>
      </w:tcPr>
    </w:tblStylePr>
    <w:tblStylePr w:type="nwCell">
      <w:tcPr>
        <w:tcBorders>
          <w:tl2br w:val="single" w:color="auto" w:sz="6" w:space="0"/>
          <w:tr2bl w:val="nil"/>
        </w:tcBorders>
      </w:tcPr>
    </w:tblStylePr>
  </w:style>
  <w:style w:type="table" w:customStyle="1" w:styleId="3069">
    <w:name w:val="流行型1"/>
    <w:basedOn w:val="88"/>
    <w:semiHidden/>
    <w:qFormat/>
    <w:uiPriority w:val="0"/>
    <w:pPr>
      <w:widowControl w:val="0"/>
      <w:jc w:val="both"/>
    </w:pPr>
    <w:tblPr>
      <w:tblBorders>
        <w:insideH w:val="single" w:color="FFFFFF" w:sz="18" w:space="0"/>
        <w:insideV w:val="single" w:color="FFFFFF" w:sz="18" w:space="0"/>
      </w:tblBorders>
    </w:tblPr>
    <w:tblStylePr w:type="firstRow">
      <w:rPr>
        <w:b/>
        <w:bCs/>
        <w:color w:val="auto"/>
      </w:rPr>
      <w:tcPr>
        <w:tcBorders>
          <w:tl2br w:val="nil"/>
          <w:tr2bl w:val="nil"/>
        </w:tcBorders>
        <w:shd w:val="pct20" w:color="000000" w:fill="FFFFFF"/>
      </w:tcPr>
    </w:tblStylePr>
    <w:tblStylePr w:type="band1Horz">
      <w:rPr>
        <w:color w:val="auto"/>
      </w:rPr>
      <w:tcPr>
        <w:tcBorders>
          <w:tl2br w:val="nil"/>
          <w:tr2bl w:val="nil"/>
        </w:tcBorders>
        <w:shd w:val="pct5" w:color="000000" w:fill="FFFFFF"/>
      </w:tcPr>
    </w:tblStylePr>
    <w:tblStylePr w:type="band2Horz">
      <w:rPr>
        <w:color w:val="auto"/>
      </w:rPr>
      <w:tcPr>
        <w:tcBorders>
          <w:tl2br w:val="nil"/>
          <w:tr2bl w:val="nil"/>
        </w:tcBorders>
        <w:shd w:val="pct20" w:color="000000" w:fill="FFFFFF"/>
      </w:tcPr>
    </w:tblStylePr>
  </w:style>
  <w:style w:type="table" w:customStyle="1" w:styleId="3070">
    <w:name w:val="竖列型 11"/>
    <w:basedOn w:val="88"/>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cPr>
        <w:tcBorders>
          <w:bottom w:val="double" w:color="000000" w:sz="6" w:space="0"/>
          <w:tl2br w:val="nil"/>
          <w:tr2bl w:val="nil"/>
        </w:tcBorders>
      </w:tcPr>
    </w:tblStylePr>
    <w:tblStylePr w:type="lastRow">
      <w:rPr>
        <w:b w:val="0"/>
        <w:bCs w:val="0"/>
      </w:rPr>
      <w:tcPr>
        <w:tcBorders>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071">
    <w:name w:val="竖列型 21"/>
    <w:basedOn w:val="88"/>
    <w:semiHidden/>
    <w:qFormat/>
    <w:uiPriority w:val="0"/>
    <w:pPr>
      <w:widowControl w:val="0"/>
      <w:jc w:val="both"/>
    </w:pPr>
    <w:rPr>
      <w:b/>
      <w:bCs/>
    </w:rPr>
    <w:tblStylePr w:type="firstRow">
      <w:rPr>
        <w:color w:val="FFFFFF"/>
      </w:rPr>
      <w:tcPr>
        <w:tcBorders>
          <w:tl2br w:val="nil"/>
          <w:tr2bl w:val="nil"/>
        </w:tcBorders>
        <w:shd w:val="solid" w:color="000080" w:fill="FFFFFF"/>
      </w:tcPr>
    </w:tblStylePr>
    <w:tblStylePr w:type="lastRow">
      <w:rPr>
        <w:b w:val="0"/>
        <w:bCs w:val="0"/>
      </w:rPr>
      <w:tcPr>
        <w:tcBorders>
          <w:tl2br w:val="nil"/>
          <w:tr2bl w:val="nil"/>
        </w:tcBorders>
      </w:tcPr>
    </w:tblStylePr>
    <w:tblStylePr w:type="firstCol">
      <w:rPr>
        <w:b w:val="0"/>
        <w:bCs w:val="0"/>
        <w:color w:val="00000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072">
    <w:name w:val="竖列型 31"/>
    <w:basedOn w:val="88"/>
    <w:semiHidden/>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cPr>
        <w:tcBorders>
          <w:tl2br w:val="nil"/>
          <w:tr2bl w:val="nil"/>
        </w:tcBorders>
        <w:shd w:val="solid" w:color="000080" w:fill="FFFFFF"/>
      </w:tcPr>
    </w:tblStylePr>
    <w:tblStylePr w:type="lastRow">
      <w:rPr>
        <w:b w:val="0"/>
        <w:bCs w:val="0"/>
      </w:rPr>
      <w:tcPr>
        <w:tcBorders>
          <w:top w:val="single" w:color="00008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l2br w:val="nil"/>
          <w:tr2bl w:val="nil"/>
        </w:tcBorders>
      </w:tcPr>
    </w:tblStylePr>
  </w:style>
  <w:style w:type="table" w:customStyle="1" w:styleId="3073">
    <w:name w:val="竖列型 41"/>
    <w:basedOn w:val="88"/>
    <w:semiHidden/>
    <w:qFormat/>
    <w:uiPriority w:val="0"/>
    <w:pPr>
      <w:widowControl w:val="0"/>
      <w:jc w:val="both"/>
    </w:pPr>
    <w:tblStylePr w:type="firstRow">
      <w:rPr>
        <w:color w:val="FFFFFF"/>
      </w:rPr>
      <w:tcPr>
        <w:tcBorders>
          <w:tl2br w:val="nil"/>
          <w:tr2bl w:val="nil"/>
        </w:tcBorders>
        <w:shd w:val="solid" w:color="000000" w:fill="FFFFFF"/>
      </w:tcPr>
    </w:tblStylePr>
    <w:tblStylePr w:type="lastRow">
      <w:rPr>
        <w:b/>
        <w:bCs/>
      </w:rPr>
      <w:tcPr>
        <w:tcBorders>
          <w:tl2br w:val="nil"/>
          <w:tr2bl w:val="nil"/>
        </w:tcBorders>
      </w:tcPr>
    </w:tblStylePr>
    <w:tblStylePr w:type="lastCol">
      <w:rPr>
        <w:b/>
        <w:bCs/>
      </w:rPr>
      <w:tcPr>
        <w:tcBorders>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074">
    <w:name w:val="竖列型 51"/>
    <w:basedOn w:val="88"/>
    <w:semiHidden/>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cPr>
        <w:tcBorders>
          <w:bottom w:val="single" w:color="808080" w:sz="6" w:space="0"/>
          <w:tl2br w:val="nil"/>
          <w:tr2bl w:val="nil"/>
        </w:tcBorders>
      </w:tcPr>
    </w:tblStylePr>
    <w:tblStylePr w:type="lastRow">
      <w:rPr>
        <w:b/>
        <w:bCs/>
      </w:rPr>
      <w:tcPr>
        <w:tcBorders>
          <w:top w:val="single" w:color="80808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075">
    <w:name w:val="网格型 14"/>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076">
    <w:name w:val="网格型 21"/>
    <w:basedOn w:val="88"/>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cPr>
        <w:tcBorders>
          <w:tl2br w:val="nil"/>
          <w:tr2bl w:val="nil"/>
        </w:tcBorders>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style>
  <w:style w:type="table" w:customStyle="1" w:styleId="3077">
    <w:name w:val="网格型 31"/>
    <w:basedOn w:val="88"/>
    <w:semiHidden/>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cPr>
        <w:tcBorders>
          <w:bottom w:val="single" w:color="000000" w:sz="6" w:space="0"/>
          <w:tl2br w:val="nil"/>
          <w:tr2bl w:val="nil"/>
        </w:tcBorders>
        <w:shd w:val="pct30" w:color="FFFF00" w:fill="FFFFFF"/>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078">
    <w:name w:val="网格型 41"/>
    <w:basedOn w:val="88"/>
    <w:semiHidden/>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cPr>
        <w:tcBorders>
          <w:bottom w:val="single" w:color="000000" w:sz="6" w:space="0"/>
          <w:tl2br w:val="nil"/>
          <w:tr2bl w:val="nil"/>
        </w:tcBorders>
        <w:shd w:val="pct30" w:color="FFFF00" w:fill="FFFFFF"/>
      </w:tcPr>
    </w:tblStylePr>
    <w:tblStylePr w:type="lastRow">
      <w:rPr>
        <w:b/>
        <w:bCs/>
        <w:color w:val="auto"/>
      </w:rPr>
      <w:tcPr>
        <w:tcBorders>
          <w:top w:val="single" w:color="000000" w:sz="6" w:space="0"/>
          <w:tl2br w:val="nil"/>
          <w:tr2bl w:val="nil"/>
        </w:tcBorders>
        <w:shd w:val="pct30" w:color="FFFF00" w:fill="FFFFFF"/>
      </w:tcPr>
    </w:tblStylePr>
    <w:tblStylePr w:type="lastCol">
      <w:rPr>
        <w:b/>
        <w:bCs/>
        <w:color w:val="auto"/>
      </w:rPr>
      <w:tcPr>
        <w:tcBorders>
          <w:tl2br w:val="nil"/>
          <w:tr2bl w:val="nil"/>
        </w:tcBorders>
      </w:tcPr>
    </w:tblStylePr>
  </w:style>
  <w:style w:type="table" w:customStyle="1" w:styleId="3079">
    <w:name w:val="网格型 55"/>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080">
    <w:name w:val="网格型 61"/>
    <w:basedOn w:val="88"/>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cPr>
        <w:tcBorders>
          <w:bottom w:val="single" w:color="000000" w:sz="6" w:space="0"/>
          <w:tl2br w:val="nil"/>
          <w:tr2bl w:val="nil"/>
        </w:tcBorders>
      </w:tcPr>
    </w:tblStylePr>
    <w:tblStylePr w:type="lastRow">
      <w:rPr>
        <w:color w:val="auto"/>
      </w:rPr>
      <w:tcPr>
        <w:tcBorders>
          <w:top w:val="single" w:color="000000" w:sz="6" w:space="0"/>
          <w:tl2br w:val="nil"/>
          <w:tr2bl w:val="nil"/>
        </w:tcBorders>
      </w:tcPr>
    </w:tblStylePr>
    <w:tblStylePr w:type="firstCol">
      <w:rPr>
        <w:b/>
        <w:bCs/>
      </w:rPr>
      <w:tcPr>
        <w:tcBorders>
          <w:tl2br w:val="nil"/>
          <w:tr2bl w:val="nil"/>
        </w:tcBorders>
      </w:tcPr>
    </w:tblStylePr>
    <w:tblStylePr w:type="nwCell">
      <w:tcPr>
        <w:tcBorders>
          <w:tl2br w:val="single" w:color="000000" w:sz="6" w:space="0"/>
          <w:tr2bl w:val="nil"/>
        </w:tcBorders>
      </w:tcPr>
    </w:tblStylePr>
  </w:style>
  <w:style w:type="table" w:customStyle="1" w:styleId="3081">
    <w:name w:val="网格型 76"/>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082">
    <w:name w:val="网格型 81"/>
    <w:basedOn w:val="88"/>
    <w:semiHidden/>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cPr>
        <w:tcBorders>
          <w:tl2br w:val="nil"/>
          <w:tr2bl w:val="nil"/>
        </w:tcBorders>
        <w:shd w:val="solid" w:color="000080" w:fill="FFFFFF"/>
      </w:tcPr>
    </w:tblStylePr>
    <w:tblStylePr w:type="lastRow">
      <w:rPr>
        <w:b/>
        <w:bCs/>
        <w:color w:val="auto"/>
      </w:rPr>
      <w:tcPr>
        <w:tcBorders>
          <w:tl2br w:val="nil"/>
          <w:tr2bl w:val="nil"/>
        </w:tcBorders>
      </w:tcPr>
    </w:tblStylePr>
    <w:tblStylePr w:type="lastCol">
      <w:rPr>
        <w:b/>
        <w:bCs/>
        <w:color w:val="auto"/>
      </w:rPr>
      <w:tcPr>
        <w:tcBorders>
          <w:tl2br w:val="nil"/>
          <w:tr2bl w:val="nil"/>
        </w:tcBorders>
      </w:tcPr>
    </w:tblStylePr>
  </w:style>
  <w:style w:type="table" w:customStyle="1" w:styleId="3083">
    <w:name w:val="网页型 11"/>
    <w:basedOn w:val="88"/>
    <w:semiHidden/>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cPr>
        <w:tcBorders>
          <w:tl2br w:val="nil"/>
          <w:tr2bl w:val="nil"/>
        </w:tcBorders>
      </w:tcPr>
    </w:tblStylePr>
  </w:style>
  <w:style w:type="table" w:customStyle="1" w:styleId="3084">
    <w:name w:val="网页型 21"/>
    <w:basedOn w:val="88"/>
    <w:semiHidden/>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cPr>
        <w:tcBorders>
          <w:tl2br w:val="nil"/>
          <w:tr2bl w:val="nil"/>
        </w:tcBorders>
      </w:tcPr>
    </w:tblStylePr>
  </w:style>
  <w:style w:type="table" w:customStyle="1" w:styleId="3085">
    <w:name w:val="网页型 31"/>
    <w:basedOn w:val="88"/>
    <w:semiHidden/>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cPr>
        <w:tcBorders>
          <w:tl2br w:val="nil"/>
          <w:tr2bl w:val="nil"/>
        </w:tcBorders>
      </w:tcPr>
    </w:tblStylePr>
  </w:style>
  <w:style w:type="table" w:customStyle="1" w:styleId="3086">
    <w:name w:val="专业型1"/>
    <w:basedOn w:val="88"/>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3087">
    <w:name w:val="表格样式13"/>
    <w:basedOn w:val="88"/>
    <w:qFormat/>
    <w:uiPriority w:val="0"/>
  </w:style>
  <w:style w:type="table" w:customStyle="1" w:styleId="3088">
    <w:name w:val="表格样式-ls1"/>
    <w:basedOn w:val="88"/>
    <w:qFormat/>
    <w:uiPriority w:val="0"/>
    <w:pPr>
      <w:widowControl w:val="0"/>
      <w:adjustRightInd w:val="0"/>
      <w:spacing w:line="360" w:lineRule="exact"/>
      <w:jc w:val="center"/>
      <w:textAlignment w:val="center"/>
    </w:pPr>
    <w:rPr>
      <w:szCs w:val="21"/>
    </w:rPr>
    <w:tblPr>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rPr>
      <w:jc w:val="center"/>
    </w:trPr>
    <w:tcPr>
      <w:shd w:val="clear" w:color="auto" w:fill="auto"/>
      <w:tcMar>
        <w:left w:w="0" w:type="dxa"/>
        <w:right w:w="0" w:type="dxa"/>
      </w:tcMar>
      <w:vAlign w:val="center"/>
    </w:tcPr>
    <w:tblStylePr w:type="firstRow">
      <w:pPr>
        <w:jc w:val="center"/>
      </w:pPr>
      <w:rPr>
        <w:rFonts w:eastAsia="宋体"/>
        <w:b w:val="0"/>
        <w:bCs/>
        <w:color w:val="auto"/>
        <w:sz w:val="21"/>
      </w:rPr>
      <w:tcPr>
        <w:tcBorders>
          <w:tl2br w:val="nil"/>
          <w:tr2bl w:val="nil"/>
        </w:tcBorders>
        <w:shd w:val="pct20" w:color="000000" w:fill="FFFFFF"/>
      </w:tcPr>
    </w:tblStylePr>
  </w:style>
  <w:style w:type="table" w:customStyle="1" w:styleId="3089">
    <w:name w:val="自定义11"/>
    <w:basedOn w:val="124"/>
    <w:qFormat/>
    <w:uiPriority w:val="0"/>
    <w:pPr>
      <w:jc w:val="center"/>
    </w:pPr>
    <w:rPr>
      <w:sz w:val="21"/>
      <w:szCs w:val="21"/>
    </w:rPr>
    <w:tblPr>
      <w:tblBorders>
        <w:top w:val="thinThickSmallGap" w:color="auto" w:sz="12" w:space="0"/>
        <w:left w:val="thinThickSmallGap" w:color="auto" w:sz="12" w:space="0"/>
        <w:bottom w:val="thickThinSmallGap" w:color="auto" w:sz="12" w:space="0"/>
        <w:right w:val="thickThinSmallGap" w:color="auto" w:sz="12" w:space="0"/>
      </w:tblBorders>
      <w:tblCellMar>
        <w:left w:w="0" w:type="dxa"/>
        <w:right w:w="0" w:type="dxa"/>
      </w:tblCellMar>
    </w:tblPr>
    <w:tcPr>
      <w:shd w:val="clear" w:color="auto" w:fill="auto"/>
      <w:vAlign w:val="center"/>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090">
    <w:name w:val="自定义2"/>
    <w:basedOn w:val="93"/>
    <w:qFormat/>
    <w:uiPriority w:val="0"/>
    <w:pPr>
      <w:jc w:val="center"/>
    </w:pPr>
    <w:rPr>
      <w:sz w:val="21"/>
    </w:rPr>
    <w:tblPr>
      <w:tblBorders>
        <w:top w:val="thinThickSmallGap" w:color="auto" w:sz="12" w:space="0"/>
        <w:left w:val="thinThickSmallGap" w:color="auto" w:sz="12" w:space="0"/>
        <w:bottom w:val="thickThinSmallGap" w:color="auto" w:sz="12" w:space="0"/>
        <w:right w:val="thickThinSmallGap" w:color="auto" w:sz="12" w:space="0"/>
      </w:tblBorders>
      <w:tblCellMar>
        <w:left w:w="0" w:type="dxa"/>
        <w:right w:w="0" w:type="dxa"/>
      </w:tblCellMar>
    </w:tblPr>
    <w:tcPr>
      <w:shd w:val="clear" w:color="auto" w:fill="auto"/>
      <w:vAlign w:val="center"/>
    </w:tcPr>
    <w:tblStylePr w:type="firstRow">
      <w:rPr>
        <w:caps/>
        <w:color w:val="auto"/>
      </w:rPr>
      <w:tcPr>
        <w:tcBorders>
          <w:tl2br w:val="nil"/>
          <w:tr2bl w:val="nil"/>
        </w:tcBorders>
      </w:tcPr>
    </w:tblStylePr>
  </w:style>
  <w:style w:type="table" w:customStyle="1" w:styleId="3091">
    <w:name w:val="普通表格11"/>
    <w:semiHidden/>
    <w:qFormat/>
    <w:uiPriority w:val="0"/>
    <w:rPr>
      <w:rFonts w:eastAsia="Times New Roman"/>
    </w:rPr>
    <w:tblPr>
      <w:tblCellMar>
        <w:top w:w="0" w:type="dxa"/>
        <w:left w:w="108" w:type="dxa"/>
        <w:bottom w:w="0" w:type="dxa"/>
        <w:right w:w="108" w:type="dxa"/>
      </w:tblCellMar>
    </w:tblPr>
  </w:style>
  <w:style w:type="table" w:customStyle="1" w:styleId="3092">
    <w:name w:val="Table Normal2"/>
    <w:unhideWhenUsed/>
    <w:qFormat/>
    <w:uiPriority w:val="2"/>
    <w:pPr>
      <w:widowControl w:val="0"/>
    </w:pPr>
    <w:rPr>
      <w:sz w:val="22"/>
      <w:lang w:eastAsia="en-US"/>
    </w:rPr>
    <w:tblPr>
      <w:tblCellMar>
        <w:top w:w="0" w:type="dxa"/>
        <w:left w:w="0" w:type="dxa"/>
        <w:bottom w:w="0" w:type="dxa"/>
        <w:right w:w="0" w:type="dxa"/>
      </w:tblCellMar>
    </w:tblPr>
  </w:style>
  <w:style w:type="table" w:customStyle="1" w:styleId="3093">
    <w:name w:val="AAA1"/>
    <w:basedOn w:val="89"/>
    <w:qFormat/>
    <w:uiPriority w:val="0"/>
    <w:pPr>
      <w:widowControl w:val="0"/>
      <w:jc w:val="center"/>
    </w:pPr>
    <w:rPr>
      <w:kern w:val="0"/>
      <w:sz w:val="20"/>
      <w:szCs w:val="20"/>
    </w:rPr>
    <w:tblPr>
      <w:tblBorders>
        <w:top w:val="single" w:color="auto" w:sz="12" w:space="0"/>
        <w:bottom w:val="single" w:color="auto" w:sz="12" w:space="0"/>
      </w:tblBorders>
    </w:tblPr>
    <w:tcPr>
      <w:vAlign w:val="center"/>
    </w:tcPr>
  </w:style>
  <w:style w:type="table" w:customStyle="1" w:styleId="3094">
    <w:name w:val="Table Normal11"/>
    <w:unhideWhenUsed/>
    <w:qFormat/>
    <w:uiPriority w:val="2"/>
    <w:pPr>
      <w:widowControl w:val="0"/>
    </w:pPr>
    <w:rPr>
      <w:sz w:val="22"/>
      <w:lang w:eastAsia="en-US"/>
    </w:rPr>
    <w:tblPr>
      <w:tblCellMar>
        <w:top w:w="0" w:type="dxa"/>
        <w:left w:w="0" w:type="dxa"/>
        <w:bottom w:w="0" w:type="dxa"/>
        <w:right w:w="0" w:type="dxa"/>
      </w:tblCellMar>
    </w:tblPr>
  </w:style>
  <w:style w:type="table" w:customStyle="1" w:styleId="3095">
    <w:name w:val="专业网格13"/>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6">
    <w:name w:val="专业网格23"/>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7">
    <w:name w:val="cucd-table1"/>
    <w:basedOn w:val="88"/>
    <w:qFormat/>
    <w:uiPriority w:val="0"/>
    <w:pPr>
      <w:jc w:val="center"/>
    </w:p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3098">
    <w:name w:val="专业网格3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9">
    <w:name w:val="网格型 11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100">
    <w:name w:val="网格型 514"/>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01">
    <w:name w:val="网格型1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2">
    <w:name w:val="列表型 511"/>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103">
    <w:name w:val="网格型22"/>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4">
    <w:name w:val="网格型32"/>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5">
    <w:name w:val="网格型42"/>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6">
    <w:name w:val="网格型52"/>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7">
    <w:name w:val="网格型 5111"/>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08">
    <w:name w:val="网格型62"/>
    <w:basedOn w:val="88"/>
    <w:qFormat/>
    <w:uiPriority w:val="0"/>
    <w:pPr>
      <w:widowControl w:val="0"/>
      <w:adjustRightInd w:val="0"/>
      <w:snapToGrid w:val="0"/>
      <w:spacing w:line="348"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9">
    <w:name w:val="网格型 713"/>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10">
    <w:name w:val="网格型72"/>
    <w:basedOn w:val="88"/>
    <w:qFormat/>
    <w:uiPriority w:val="0"/>
    <w:pPr>
      <w:widowControl w:val="0"/>
      <w:adjustRightInd w:val="0"/>
      <w:snapToGrid w:val="0"/>
      <w:spacing w:line="348" w:lineRule="auto"/>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1">
    <w:name w:val="网格型 522"/>
    <w:basedOn w:val="88"/>
    <w:qFormat/>
    <w:uiPriority w:val="0"/>
    <w:pPr>
      <w:widowControl w:val="0"/>
      <w:adjustRightInd w:val="0"/>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12">
    <w:name w:val="专业网格111"/>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113">
    <w:name w:val="表格样式111"/>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table" w:customStyle="1" w:styleId="3114">
    <w:name w:val="专业网格211"/>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115">
    <w:name w:val="表格样式21"/>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table" w:customStyle="1" w:styleId="3116">
    <w:name w:val="专业网格311"/>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7">
    <w:name w:val="网格型 7111"/>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18">
    <w:name w:val="专业网格41"/>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9">
    <w:name w:val="网格型 721"/>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20">
    <w:name w:val="专业网格51"/>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1">
    <w:name w:val="网格型 731"/>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22">
    <w:name w:val="网格型模版11"/>
    <w:basedOn w:val="88"/>
    <w:semiHidden/>
    <w:qFormat/>
    <w:uiPriority w:val="0"/>
    <w:pPr>
      <w:widowControl w:val="0"/>
      <w:adjustRightInd w:val="0"/>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3">
    <w:name w:val="网格型81"/>
    <w:basedOn w:val="88"/>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4">
    <w:name w:val="网格型91"/>
    <w:basedOn w:val="88"/>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5">
    <w:name w:val="专业网格6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6">
    <w:name w:val="网格型 12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127">
    <w:name w:val="网格型 531"/>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28">
    <w:name w:val="列表型 521"/>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129">
    <w:name w:val="网格型 5121"/>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30">
    <w:name w:val="网格型 741"/>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31">
    <w:name w:val="专业网格121"/>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132">
    <w:name w:val="表格样式121"/>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table" w:customStyle="1" w:styleId="3133">
    <w:name w:val="专业网格221"/>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134">
    <w:name w:val="专业网格321"/>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5">
    <w:name w:val="网格型 7121"/>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36">
    <w:name w:val="网格型-无边竖线11"/>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7">
    <w:name w:val="网格型 13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138">
    <w:name w:val="网格型 541"/>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39">
    <w:name w:val="列表型 531"/>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140">
    <w:name w:val="网格型21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1">
    <w:name w:val="网格型31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2">
    <w:name w:val="网格型41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3">
    <w:name w:val="网格型511"/>
    <w:basedOn w:val="88"/>
    <w:qFormat/>
    <w:uiPriority w:val="0"/>
    <w:pPr>
      <w:widowControl w:val="0"/>
      <w:adjustRightInd w:val="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4">
    <w:name w:val="网格型 5131"/>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45">
    <w:name w:val="网格型611"/>
    <w:basedOn w:val="88"/>
    <w:qFormat/>
    <w:uiPriority w:val="0"/>
    <w:pPr>
      <w:widowControl w:val="0"/>
      <w:adjustRightInd w:val="0"/>
      <w:snapToGrid w:val="0"/>
      <w:spacing w:line="348"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6">
    <w:name w:val="网格型 751"/>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147">
    <w:name w:val="网格型711"/>
    <w:basedOn w:val="88"/>
    <w:qFormat/>
    <w:uiPriority w:val="0"/>
    <w:pPr>
      <w:widowControl w:val="0"/>
      <w:adjustRightInd w:val="0"/>
      <w:snapToGrid w:val="0"/>
      <w:spacing w:line="348" w:lineRule="auto"/>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8">
    <w:name w:val="网格型 5211"/>
    <w:basedOn w:val="88"/>
    <w:qFormat/>
    <w:uiPriority w:val="0"/>
    <w:pPr>
      <w:widowControl w:val="0"/>
      <w:adjustRightInd w:val="0"/>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49">
    <w:name w:val="三线表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0">
    <w:name w:val="网格型12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1">
    <w:name w:val="三线表2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2">
    <w:name w:val="网格型13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3">
    <w:name w:val="专业网格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4">
    <w:name w:val="网格型 15"/>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155">
    <w:name w:val="网格型 56"/>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paragraph" w:customStyle="1" w:styleId="3156">
    <w:name w:val="正文文本 24"/>
    <w:basedOn w:val="1"/>
    <w:qFormat/>
    <w:uiPriority w:val="0"/>
    <w:pPr>
      <w:tabs>
        <w:tab w:val="left" w:pos="567"/>
      </w:tabs>
      <w:snapToGrid/>
      <w:spacing w:line="410" w:lineRule="atLeast"/>
      <w:ind w:firstLine="480" w:firstLineChars="0"/>
      <w:jc w:val="both"/>
      <w:textAlignment w:val="baseline"/>
    </w:pPr>
    <w:rPr>
      <w:rFonts w:ascii="宋体"/>
      <w:kern w:val="0"/>
      <w:sz w:val="24"/>
      <w:szCs w:val="20"/>
    </w:rPr>
  </w:style>
  <w:style w:type="paragraph" w:customStyle="1" w:styleId="3157">
    <w:name w:val="纯文本6"/>
    <w:basedOn w:val="1"/>
    <w:qFormat/>
    <w:uiPriority w:val="0"/>
    <w:pPr>
      <w:snapToGrid/>
      <w:spacing w:line="240" w:lineRule="auto"/>
      <w:ind w:firstLine="0" w:firstLineChars="0"/>
      <w:jc w:val="both"/>
      <w:textAlignment w:val="baseline"/>
    </w:pPr>
    <w:rPr>
      <w:rFonts w:ascii="宋体" w:hAnsi="Courier New"/>
      <w:sz w:val="21"/>
      <w:szCs w:val="20"/>
    </w:rPr>
  </w:style>
  <w:style w:type="character" w:customStyle="1" w:styleId="3158">
    <w:name w:val="标题13"/>
    <w:basedOn w:val="132"/>
    <w:qFormat/>
    <w:uiPriority w:val="0"/>
  </w:style>
  <w:style w:type="paragraph" w:customStyle="1" w:styleId="3159">
    <w:name w:val="正文首行缩进5"/>
    <w:basedOn w:val="34"/>
    <w:qFormat/>
    <w:uiPriority w:val="0"/>
    <w:pPr>
      <w:snapToGrid/>
      <w:spacing w:beforeLines="0" w:line="312" w:lineRule="auto"/>
      <w:ind w:firstLine="567"/>
      <w:jc w:val="left"/>
      <w:textAlignment w:val="baseline"/>
    </w:pPr>
    <w:rPr>
      <w:snapToGrid/>
      <w:sz w:val="28"/>
      <w:szCs w:val="20"/>
    </w:rPr>
  </w:style>
  <w:style w:type="paragraph" w:customStyle="1" w:styleId="3160">
    <w:name w:val="正文文本缩进 25"/>
    <w:basedOn w:val="1"/>
    <w:qFormat/>
    <w:uiPriority w:val="0"/>
    <w:pPr>
      <w:snapToGrid/>
      <w:spacing w:line="348" w:lineRule="auto"/>
      <w:ind w:firstLine="573" w:firstLineChars="0"/>
      <w:jc w:val="both"/>
      <w:textAlignment w:val="baseline"/>
    </w:pPr>
    <w:rPr>
      <w:rFonts w:eastAsia="Wingdings"/>
      <w:sz w:val="28"/>
      <w:szCs w:val="20"/>
    </w:rPr>
  </w:style>
  <w:style w:type="paragraph" w:customStyle="1" w:styleId="3161">
    <w:name w:val="文档结构图3"/>
    <w:basedOn w:val="1"/>
    <w:qFormat/>
    <w:uiPriority w:val="0"/>
    <w:pPr>
      <w:shd w:val="clear" w:color="auto" w:fill="000080"/>
      <w:snapToGrid/>
      <w:spacing w:line="360" w:lineRule="atLeast"/>
      <w:ind w:firstLine="0" w:firstLineChars="0"/>
      <w:textAlignment w:val="baseline"/>
    </w:pPr>
    <w:rPr>
      <w:rFonts w:eastAsia="Wingdings"/>
      <w:kern w:val="0"/>
      <w:sz w:val="24"/>
      <w:szCs w:val="20"/>
    </w:rPr>
  </w:style>
  <w:style w:type="table" w:customStyle="1" w:styleId="3162">
    <w:name w:val="列表型 55"/>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163">
    <w:name w:val="网格型 515"/>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64">
    <w:name w:val="网格型 77"/>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paragraph" w:customStyle="1" w:styleId="3165">
    <w:name w:val="正文17"/>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table" w:customStyle="1" w:styleId="3166">
    <w:name w:val="专业网格14"/>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167">
    <w:name w:val="表格样式14"/>
    <w:basedOn w:val="88"/>
    <w:qFormat/>
    <w:uiPriority w:val="0"/>
    <w:pPr>
      <w:snapToGrid w:val="0"/>
      <w:jc w:val="center"/>
      <w:textAlignment w:val="center"/>
    </w:pPr>
    <w:rPr>
      <w:rFonts w:eastAsia="仿宋_GB2312"/>
      <w:snapToGrid w:val="0"/>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Pr>
    <w:trPr>
      <w:jc w:val="center"/>
    </w:trPr>
    <w:tcPr>
      <w:vAlign w:val="center"/>
    </w:tcPr>
  </w:style>
  <w:style w:type="table" w:customStyle="1" w:styleId="3168">
    <w:name w:val="专业网格24"/>
    <w:basedOn w:val="8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169">
    <w:name w:val="专业网格34"/>
    <w:basedOn w:val="88"/>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0">
    <w:name w:val="网格型 714"/>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paragraph" w:customStyle="1" w:styleId="3171">
    <w:name w:val="正文18"/>
    <w:basedOn w:val="1"/>
    <w:qFormat/>
    <w:uiPriority w:val="0"/>
    <w:pPr>
      <w:snapToGrid/>
      <w:spacing w:before="120" w:line="315" w:lineRule="atLeast"/>
      <w:ind w:firstLine="0" w:firstLineChars="0"/>
      <w:textAlignment w:val="baseline"/>
    </w:pPr>
    <w:rPr>
      <w:rFonts w:ascii="宋体"/>
      <w:kern w:val="0"/>
      <w:sz w:val="24"/>
      <w:szCs w:val="20"/>
    </w:rPr>
  </w:style>
  <w:style w:type="paragraph" w:customStyle="1" w:styleId="3172">
    <w:name w:val="正文文本缩进 33"/>
    <w:basedOn w:val="1"/>
    <w:qFormat/>
    <w:uiPriority w:val="0"/>
    <w:pPr>
      <w:adjustRightInd/>
      <w:snapToGrid/>
      <w:spacing w:after="120" w:line="240" w:lineRule="auto"/>
      <w:ind w:left="420" w:leftChars="200" w:firstLine="0" w:firstLineChars="0"/>
      <w:jc w:val="both"/>
    </w:pPr>
    <w:rPr>
      <w:sz w:val="16"/>
      <w:szCs w:val="16"/>
    </w:rPr>
  </w:style>
  <w:style w:type="paragraph" w:customStyle="1" w:styleId="3173">
    <w:name w:val="无间隔3"/>
    <w:qFormat/>
    <w:uiPriority w:val="0"/>
    <w:pPr>
      <w:widowControl w:val="0"/>
      <w:tabs>
        <w:tab w:val="left" w:pos="360"/>
      </w:tabs>
      <w:jc w:val="both"/>
    </w:pPr>
    <w:rPr>
      <w:rFonts w:ascii="宋体" w:hAnsi="宋体" w:eastAsia="宋体" w:cs="Times New Roman"/>
      <w:kern w:val="2"/>
      <w:sz w:val="32"/>
      <w:szCs w:val="32"/>
      <w:lang w:val="en-US" w:eastAsia="zh-CN" w:bidi="ar-SA"/>
    </w:rPr>
  </w:style>
  <w:style w:type="table" w:customStyle="1" w:styleId="3174">
    <w:name w:val="专业网格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5">
    <w:name w:val="网格型 16"/>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176">
    <w:name w:val="网格型 57"/>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77">
    <w:name w:val="列表型 56"/>
    <w:basedOn w:val="88"/>
    <w:qFormat/>
    <w:uiPriority w:val="0"/>
    <w:pPr>
      <w:widowControl w:val="0"/>
      <w:adjustRightInd w:val="0"/>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178">
    <w:name w:val="网格型 516"/>
    <w:basedOn w:val="88"/>
    <w:qFormat/>
    <w:uiPriority w:val="0"/>
    <w:pPr>
      <w:widowControl w:val="0"/>
      <w:adjustRightInd w:val="0"/>
      <w:snapToGrid w:val="0"/>
      <w:spacing w:line="348" w:lineRule="auto"/>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179">
    <w:name w:val="网格型 78"/>
    <w:basedOn w:val="88"/>
    <w:qFormat/>
    <w:uiPriority w:val="0"/>
    <w:pPr>
      <w:widowControl w:val="0"/>
      <w:snapToGrid w:val="0"/>
      <w:spacing w:line="348"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paragraph" w:customStyle="1" w:styleId="3180">
    <w:name w:val="标题2-hao"/>
    <w:qFormat/>
    <w:uiPriority w:val="0"/>
    <w:pPr>
      <w:adjustRightInd w:val="0"/>
      <w:snapToGrid w:val="0"/>
      <w:spacing w:line="348" w:lineRule="auto"/>
      <w:outlineLvl w:val="1"/>
    </w:pPr>
    <w:rPr>
      <w:rFonts w:ascii="Times New Roman" w:hAnsi="Times New Roman" w:eastAsia="宋体" w:cs="Times New Roman"/>
      <w:b/>
      <w:sz w:val="28"/>
      <w:szCs w:val="28"/>
      <w:lang w:val="en-US" w:eastAsia="zh-CN" w:bidi="ar-SA"/>
    </w:rPr>
  </w:style>
  <w:style w:type="character" w:customStyle="1" w:styleId="3181">
    <w:name w:val="00-正文 Char Char Char"/>
    <w:link w:val="3182"/>
    <w:qFormat/>
    <w:uiPriority w:val="0"/>
    <w:rPr>
      <w:sz w:val="28"/>
      <w:szCs w:val="28"/>
    </w:rPr>
  </w:style>
  <w:style w:type="paragraph" w:customStyle="1" w:styleId="3182">
    <w:name w:val="00-正文 Char Char"/>
    <w:basedOn w:val="1"/>
    <w:link w:val="3181"/>
    <w:qFormat/>
    <w:uiPriority w:val="0"/>
    <w:pPr>
      <w:adjustRightInd/>
      <w:spacing w:line="348" w:lineRule="auto"/>
      <w:jc w:val="both"/>
    </w:pPr>
    <w:rPr>
      <w:rFonts w:ascii="Calibri" w:hAnsi="Calibri"/>
      <w:kern w:val="0"/>
      <w:sz w:val="28"/>
      <w:szCs w:val="28"/>
    </w:rPr>
  </w:style>
  <w:style w:type="paragraph" w:customStyle="1" w:styleId="3183">
    <w:name w:val="样式 五号 居中 行距: 单倍行距"/>
    <w:basedOn w:val="1"/>
    <w:qFormat/>
    <w:uiPriority w:val="0"/>
    <w:pPr>
      <w:spacing w:line="240" w:lineRule="auto"/>
      <w:ind w:firstLine="0" w:firstLineChars="0"/>
      <w:jc w:val="center"/>
      <w:textAlignment w:val="baseline"/>
    </w:pPr>
    <w:rPr>
      <w:rFonts w:cs="宋体"/>
      <w:kern w:val="0"/>
      <w:sz w:val="21"/>
      <w:szCs w:val="21"/>
    </w:rPr>
  </w:style>
  <w:style w:type="paragraph" w:customStyle="1" w:styleId="3184">
    <w:name w:val="A正文（带序号）"/>
    <w:basedOn w:val="1"/>
    <w:link w:val="3186"/>
    <w:qFormat/>
    <w:uiPriority w:val="0"/>
    <w:pPr>
      <w:widowControl/>
      <w:numPr>
        <w:ilvl w:val="0"/>
        <w:numId w:val="16"/>
      </w:numPr>
      <w:spacing w:line="360" w:lineRule="auto"/>
      <w:ind w:firstLine="0" w:firstLineChars="0"/>
      <w:jc w:val="both"/>
    </w:pPr>
    <w:rPr>
      <w:bCs/>
      <w:szCs w:val="26"/>
    </w:rPr>
  </w:style>
  <w:style w:type="paragraph" w:customStyle="1" w:styleId="3185">
    <w:name w:val="A表格后空格"/>
    <w:basedOn w:val="222"/>
    <w:link w:val="3189"/>
    <w:qFormat/>
    <w:uiPriority w:val="0"/>
    <w:pPr>
      <w:spacing w:line="320" w:lineRule="exact"/>
      <w:ind w:firstLine="0" w:firstLineChars="0"/>
    </w:pPr>
    <w:rPr>
      <w:sz w:val="22"/>
      <w:szCs w:val="21"/>
    </w:rPr>
  </w:style>
  <w:style w:type="character" w:customStyle="1" w:styleId="3186">
    <w:name w:val="A正文（带序号） 字符"/>
    <w:basedOn w:val="132"/>
    <w:link w:val="3184"/>
    <w:qFormat/>
    <w:uiPriority w:val="0"/>
    <w:rPr>
      <w:bCs/>
      <w:kern w:val="2"/>
      <w:sz w:val="26"/>
      <w:szCs w:val="26"/>
    </w:rPr>
  </w:style>
  <w:style w:type="character" w:customStyle="1" w:styleId="3187">
    <w:name w:val="样式6565656 Char"/>
    <w:link w:val="3188"/>
    <w:qFormat/>
    <w:uiPriority w:val="0"/>
    <w:rPr>
      <w:rFonts w:hAnsi="宋体"/>
      <w:bCs/>
      <w:kern w:val="2"/>
      <w:sz w:val="24"/>
      <w:szCs w:val="24"/>
    </w:rPr>
  </w:style>
  <w:style w:type="paragraph" w:customStyle="1" w:styleId="3188">
    <w:name w:val="样式6565656"/>
    <w:basedOn w:val="1"/>
    <w:link w:val="3187"/>
    <w:qFormat/>
    <w:uiPriority w:val="0"/>
    <w:pPr>
      <w:spacing w:line="460" w:lineRule="atLeast"/>
      <w:ind w:firstLine="480"/>
    </w:pPr>
    <w:rPr>
      <w:rFonts w:ascii="Calibri" w:hAnsi="宋体"/>
      <w:bCs/>
      <w:sz w:val="24"/>
      <w:szCs w:val="24"/>
    </w:rPr>
  </w:style>
  <w:style w:type="character" w:customStyle="1" w:styleId="3189">
    <w:name w:val="A表格后空格 字符"/>
    <w:basedOn w:val="223"/>
    <w:link w:val="3185"/>
    <w:qFormat/>
    <w:uiPriority w:val="0"/>
    <w:rPr>
      <w:rFonts w:ascii="Times New Roman" w:hAnsi="Times New Roman"/>
      <w:color w:val="000000"/>
      <w:kern w:val="2"/>
      <w:sz w:val="22"/>
      <w:szCs w:val="21"/>
    </w:rPr>
  </w:style>
  <w:style w:type="character" w:customStyle="1" w:styleId="3190">
    <w:name w:val="环评正文 字符"/>
    <w:qFormat/>
    <w:uiPriority w:val="3"/>
    <w:rPr>
      <w:rFonts w:ascii="Times New Roman" w:hAnsi="Times New Roman"/>
      <w:kern w:val="2"/>
      <w:sz w:val="26"/>
      <w:szCs w:val="21"/>
    </w:rPr>
  </w:style>
  <w:style w:type="table" w:customStyle="1" w:styleId="3191">
    <w:name w:val="lily 表格1"/>
    <w:basedOn w:val="88"/>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192">
    <w:name w:val="报告表正文 字符"/>
    <w:qFormat/>
    <w:uiPriority w:val="0"/>
    <w:rPr>
      <w:rFonts w:hAnsi="宋体"/>
      <w:bCs/>
      <w:kern w:val="2"/>
      <w:sz w:val="24"/>
      <w:szCs w:val="24"/>
    </w:rPr>
  </w:style>
  <w:style w:type="table" w:customStyle="1" w:styleId="3193">
    <w:name w:val="网格型（pxg）1"/>
    <w:basedOn w:val="88"/>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194">
    <w:name w:val="样式105"/>
    <w:basedOn w:val="215"/>
    <w:link w:val="3195"/>
    <w:qFormat/>
    <w:uiPriority w:val="0"/>
    <w:pPr>
      <w:widowControl/>
      <w:spacing w:line="460" w:lineRule="exact"/>
      <w:jc w:val="left"/>
    </w:pPr>
    <w:rPr>
      <w:rFonts w:ascii="宋体" w:hAnsi="宋体" w:cs="宋体"/>
      <w:kern w:val="0"/>
    </w:rPr>
  </w:style>
  <w:style w:type="character" w:customStyle="1" w:styleId="3195">
    <w:name w:val="样式105 Char"/>
    <w:link w:val="3194"/>
    <w:qFormat/>
    <w:uiPriority w:val="0"/>
    <w:rPr>
      <w:rFonts w:ascii="宋体" w:hAnsi="宋体" w:cs="宋体"/>
      <w:sz w:val="26"/>
      <w:szCs w:val="26"/>
    </w:rPr>
  </w:style>
  <w:style w:type="character" w:customStyle="1" w:styleId="3196">
    <w:name w:val="标题 Char"/>
    <w:qFormat/>
    <w:uiPriority w:val="0"/>
    <w:rPr>
      <w:rFonts w:ascii="Arial" w:hAnsi="Arial" w:cs="Times New Roman"/>
      <w:bCs/>
      <w:kern w:val="2"/>
      <w:sz w:val="24"/>
      <w:szCs w:val="32"/>
    </w:rPr>
  </w:style>
  <w:style w:type="character" w:customStyle="1" w:styleId="3197">
    <w:name w:val="样式18 Char"/>
    <w:link w:val="1262"/>
    <w:qFormat/>
    <w:uiPriority w:val="0"/>
    <w:rPr>
      <w:rFonts w:ascii="Times New Roman" w:hAnsi="Times New Roman"/>
      <w:color w:val="000000"/>
      <w:sz w:val="24"/>
      <w:szCs w:val="24"/>
    </w:rPr>
  </w:style>
  <w:style w:type="character" w:customStyle="1" w:styleId="3198">
    <w:name w:val="二级标题 字符"/>
    <w:link w:val="258"/>
    <w:qFormat/>
    <w:uiPriority w:val="2"/>
    <w:rPr>
      <w:rFonts w:ascii="Times New Roman" w:hAnsi="Times New Roman"/>
      <w:b/>
      <w:sz w:val="28"/>
    </w:rPr>
  </w:style>
  <w:style w:type="character" w:customStyle="1" w:styleId="3199">
    <w:name w:val="表格文字 Char Char"/>
    <w:qFormat/>
    <w:uiPriority w:val="99"/>
    <w:rPr>
      <w:rFonts w:ascii="Times New Roman" w:hAnsi="Times New Roman"/>
      <w:sz w:val="21"/>
      <w:szCs w:val="21"/>
    </w:rPr>
  </w:style>
  <w:style w:type="paragraph" w:customStyle="1" w:styleId="3200">
    <w:name w:val="A环评正文"/>
    <w:basedOn w:val="1"/>
    <w:link w:val="3201"/>
    <w:qFormat/>
    <w:uiPriority w:val="3"/>
    <w:pPr>
      <w:adjustRightInd/>
      <w:snapToGrid/>
      <w:ind w:firstLine="520"/>
      <w:jc w:val="both"/>
    </w:pPr>
    <w:rPr>
      <w:szCs w:val="21"/>
    </w:rPr>
  </w:style>
  <w:style w:type="character" w:customStyle="1" w:styleId="3201">
    <w:name w:val="A环评正文 字符"/>
    <w:link w:val="3200"/>
    <w:qFormat/>
    <w:uiPriority w:val="3"/>
    <w:rPr>
      <w:rFonts w:ascii="Times New Roman" w:hAnsi="Times New Roman"/>
      <w:kern w:val="2"/>
      <w:sz w:val="26"/>
      <w:szCs w:val="21"/>
    </w:rPr>
  </w:style>
  <w:style w:type="paragraph" w:customStyle="1" w:styleId="3202">
    <w:name w:val="A表内字"/>
    <w:basedOn w:val="1"/>
    <w:link w:val="3203"/>
    <w:qFormat/>
    <w:uiPriority w:val="0"/>
    <w:pPr>
      <w:adjustRightInd/>
      <w:snapToGrid/>
      <w:spacing w:line="240" w:lineRule="auto"/>
      <w:ind w:firstLine="0" w:firstLineChars="0"/>
      <w:jc w:val="center"/>
    </w:pPr>
    <w:rPr>
      <w:sz w:val="22"/>
      <w:szCs w:val="21"/>
    </w:rPr>
  </w:style>
  <w:style w:type="character" w:customStyle="1" w:styleId="3203">
    <w:name w:val="A表内字 字符"/>
    <w:link w:val="3202"/>
    <w:qFormat/>
    <w:uiPriority w:val="0"/>
    <w:rPr>
      <w:rFonts w:ascii="Times New Roman" w:hAnsi="Times New Roman"/>
      <w:kern w:val="2"/>
      <w:sz w:val="22"/>
      <w:szCs w:val="21"/>
    </w:rPr>
  </w:style>
  <w:style w:type="paragraph" w:customStyle="1" w:styleId="3204">
    <w:name w:val="报告表表格样式"/>
    <w:basedOn w:val="1"/>
    <w:link w:val="3205"/>
    <w:qFormat/>
    <w:uiPriority w:val="0"/>
    <w:pPr>
      <w:spacing w:line="360" w:lineRule="atLeast"/>
      <w:ind w:firstLine="0" w:firstLineChars="0"/>
    </w:pPr>
    <w:rPr>
      <w:bCs/>
      <w:snapToGrid w:val="0"/>
      <w:sz w:val="21"/>
      <w:szCs w:val="21"/>
    </w:rPr>
  </w:style>
  <w:style w:type="character" w:customStyle="1" w:styleId="3205">
    <w:name w:val="报告表表格样式 字符"/>
    <w:link w:val="3204"/>
    <w:qFormat/>
    <w:uiPriority w:val="0"/>
    <w:rPr>
      <w:rFonts w:ascii="Times New Roman" w:hAnsi="Times New Roman"/>
      <w:bCs/>
      <w:snapToGrid w:val="0"/>
      <w:kern w:val="2"/>
      <w:sz w:val="21"/>
      <w:szCs w:val="21"/>
    </w:rPr>
  </w:style>
  <w:style w:type="paragraph" w:customStyle="1" w:styleId="3206">
    <w:name w:val="h正文"/>
    <w:basedOn w:val="1"/>
    <w:qFormat/>
    <w:uiPriority w:val="0"/>
    <w:pPr>
      <w:autoSpaceDE w:val="0"/>
      <w:autoSpaceDN w:val="0"/>
      <w:snapToGrid/>
      <w:spacing w:line="312" w:lineRule="atLeast"/>
      <w:ind w:firstLine="0" w:firstLineChars="0"/>
      <w:jc w:val="both"/>
      <w:textAlignment w:val="baseline"/>
    </w:pPr>
    <w:rPr>
      <w:kern w:val="21"/>
      <w:sz w:val="21"/>
      <w:szCs w:val="20"/>
    </w:rPr>
  </w:style>
  <w:style w:type="paragraph" w:customStyle="1" w:styleId="3207">
    <w:name w:val="表内字1"/>
    <w:basedOn w:val="1"/>
    <w:link w:val="3208"/>
    <w:qFormat/>
    <w:uiPriority w:val="0"/>
    <w:pPr>
      <w:spacing w:line="300" w:lineRule="exact"/>
      <w:ind w:firstLine="0" w:firstLineChars="0"/>
      <w:jc w:val="center"/>
    </w:pPr>
    <w:rPr>
      <w:color w:val="000000"/>
      <w:sz w:val="22"/>
      <w:szCs w:val="21"/>
    </w:rPr>
  </w:style>
  <w:style w:type="character" w:customStyle="1" w:styleId="3208">
    <w:name w:val="表内字1 Char"/>
    <w:link w:val="3207"/>
    <w:qFormat/>
    <w:uiPriority w:val="0"/>
    <w:rPr>
      <w:rFonts w:ascii="Times New Roman" w:hAnsi="Times New Roman"/>
      <w:color w:val="000000"/>
      <w:kern w:val="2"/>
      <w:sz w:val="22"/>
      <w:szCs w:val="21"/>
    </w:rPr>
  </w:style>
  <w:style w:type="paragraph" w:customStyle="1" w:styleId="3209">
    <w:name w:val="G正文"/>
    <w:basedOn w:val="1"/>
    <w:link w:val="3210"/>
    <w:qFormat/>
    <w:uiPriority w:val="0"/>
    <w:pPr>
      <w:spacing w:line="460" w:lineRule="exact"/>
      <w:jc w:val="both"/>
    </w:pPr>
    <w:rPr>
      <w:color w:val="000000"/>
      <w:szCs w:val="26"/>
    </w:rPr>
  </w:style>
  <w:style w:type="character" w:customStyle="1" w:styleId="3210">
    <w:name w:val="G正文 字符"/>
    <w:link w:val="3209"/>
    <w:qFormat/>
    <w:uiPriority w:val="0"/>
    <w:rPr>
      <w:rFonts w:ascii="Times New Roman" w:hAnsi="Times New Roman"/>
      <w:color w:val="000000"/>
      <w:kern w:val="2"/>
      <w:sz w:val="26"/>
      <w:szCs w:val="26"/>
    </w:rPr>
  </w:style>
  <w:style w:type="paragraph" w:customStyle="1" w:styleId="3211">
    <w:name w:val="G表格内居中文字"/>
    <w:basedOn w:val="1"/>
    <w:qFormat/>
    <w:uiPriority w:val="0"/>
    <w:pPr>
      <w:spacing w:line="360" w:lineRule="atLeast"/>
      <w:ind w:firstLine="0" w:firstLineChars="0"/>
      <w:jc w:val="center"/>
    </w:pPr>
    <w:rPr>
      <w:sz w:val="22"/>
      <w:szCs w:val="24"/>
    </w:rPr>
  </w:style>
  <w:style w:type="paragraph" w:customStyle="1" w:styleId="3212">
    <w:name w:val="G表格后空格"/>
    <w:basedOn w:val="3209"/>
    <w:link w:val="3213"/>
    <w:qFormat/>
    <w:uiPriority w:val="0"/>
    <w:pPr>
      <w:spacing w:line="320" w:lineRule="exact"/>
      <w:ind w:firstLine="0" w:firstLineChars="0"/>
    </w:pPr>
    <w:rPr>
      <w:sz w:val="22"/>
      <w:szCs w:val="21"/>
    </w:rPr>
  </w:style>
  <w:style w:type="character" w:customStyle="1" w:styleId="3213">
    <w:name w:val="G表格后空格 字符"/>
    <w:basedOn w:val="3210"/>
    <w:link w:val="3212"/>
    <w:qFormat/>
    <w:uiPriority w:val="0"/>
    <w:rPr>
      <w:rFonts w:ascii="Times New Roman" w:hAnsi="Times New Roman"/>
      <w:color w:val="000000"/>
      <w:kern w:val="2"/>
      <w:sz w:val="22"/>
      <w:szCs w:val="21"/>
    </w:rPr>
  </w:style>
  <w:style w:type="table" w:customStyle="1" w:styleId="3214">
    <w:name w:val="网格型15"/>
    <w:basedOn w:val="88"/>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5">
    <w:name w:val="网格型16"/>
    <w:basedOn w:val="88"/>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6">
    <w:name w:val="网格型17"/>
    <w:basedOn w:val="88"/>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217">
    <w:name w:val="表内字 Char"/>
    <w:link w:val="388"/>
    <w:qFormat/>
    <w:uiPriority w:val="0"/>
    <w:rPr>
      <w:rFonts w:ascii="宋体" w:hAnsi="宋体"/>
      <w:w w:val="95"/>
      <w:sz w:val="21"/>
      <w:szCs w:val="21"/>
    </w:rPr>
  </w:style>
  <w:style w:type="character" w:customStyle="1" w:styleId="3218">
    <w:name w:val="表格 字符"/>
    <w:qFormat/>
    <w:uiPriority w:val="0"/>
    <w:rPr>
      <w:kern w:val="2"/>
      <w:sz w:val="21"/>
    </w:rPr>
  </w:style>
  <w:style w:type="paragraph" w:customStyle="1" w:styleId="3219">
    <w:name w:val="0正文"/>
    <w:basedOn w:val="1"/>
    <w:link w:val="3229"/>
    <w:qFormat/>
    <w:uiPriority w:val="0"/>
    <w:pPr>
      <w:spacing w:line="360" w:lineRule="auto"/>
      <w:ind w:firstLine="480"/>
    </w:pPr>
    <w:rPr>
      <w:color w:val="000000"/>
      <w:sz w:val="24"/>
      <w:szCs w:val="26"/>
      <w:lang w:val="zh-CN"/>
    </w:rPr>
  </w:style>
  <w:style w:type="character" w:customStyle="1" w:styleId="3220">
    <w:name w:val="正文   1 Char"/>
    <w:link w:val="3221"/>
    <w:qFormat/>
    <w:uiPriority w:val="0"/>
    <w:rPr>
      <w:bCs/>
      <w:kern w:val="2"/>
      <w:sz w:val="26"/>
      <w:szCs w:val="24"/>
    </w:rPr>
  </w:style>
  <w:style w:type="paragraph" w:customStyle="1" w:styleId="3221">
    <w:name w:val="正文   1"/>
    <w:basedOn w:val="1"/>
    <w:link w:val="3220"/>
    <w:qFormat/>
    <w:uiPriority w:val="0"/>
    <w:pPr>
      <w:adjustRightInd/>
      <w:spacing w:line="460" w:lineRule="atLeast"/>
      <w:ind w:firstLine="520"/>
      <w:jc w:val="both"/>
    </w:pPr>
    <w:rPr>
      <w:rFonts w:ascii="Calibri" w:hAnsi="Calibri"/>
      <w:bCs/>
      <w:szCs w:val="24"/>
    </w:rPr>
  </w:style>
  <w:style w:type="table" w:customStyle="1" w:styleId="3222">
    <w:name w:val="网格型c1"/>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23">
    <w:name w:val="样式正文"/>
    <w:basedOn w:val="1"/>
    <w:link w:val="3224"/>
    <w:qFormat/>
    <w:uiPriority w:val="0"/>
    <w:pPr>
      <w:spacing w:line="460" w:lineRule="atLeast"/>
      <w:ind w:firstLine="480"/>
    </w:pPr>
    <w:rPr>
      <w:rFonts w:hAnsi="宋体"/>
      <w:bCs/>
      <w:sz w:val="24"/>
      <w:szCs w:val="24"/>
    </w:rPr>
  </w:style>
  <w:style w:type="character" w:customStyle="1" w:styleId="3224">
    <w:name w:val="样式正文 Char"/>
    <w:link w:val="3223"/>
    <w:qFormat/>
    <w:uiPriority w:val="0"/>
    <w:rPr>
      <w:rFonts w:ascii="Times New Roman" w:hAnsi="宋体"/>
      <w:bCs/>
      <w:kern w:val="2"/>
      <w:sz w:val="24"/>
      <w:szCs w:val="24"/>
    </w:rPr>
  </w:style>
  <w:style w:type="paragraph" w:customStyle="1" w:styleId="3225">
    <w:name w:val="A正文（带编号）"/>
    <w:basedOn w:val="3184"/>
    <w:link w:val="3226"/>
    <w:qFormat/>
    <w:uiPriority w:val="0"/>
  </w:style>
  <w:style w:type="character" w:customStyle="1" w:styleId="3226">
    <w:name w:val="A正文（带编号） 字符"/>
    <w:basedOn w:val="3186"/>
    <w:link w:val="3225"/>
    <w:qFormat/>
    <w:uiPriority w:val="0"/>
    <w:rPr>
      <w:rFonts w:ascii="Times New Roman" w:hAnsi="Times New Roman"/>
      <w:kern w:val="2"/>
      <w:sz w:val="26"/>
      <w:szCs w:val="26"/>
    </w:rPr>
  </w:style>
  <w:style w:type="paragraph" w:customStyle="1" w:styleId="3227">
    <w:name w:val="正文（带编号）"/>
    <w:basedOn w:val="3184"/>
    <w:link w:val="3228"/>
    <w:qFormat/>
    <w:uiPriority w:val="0"/>
  </w:style>
  <w:style w:type="character" w:customStyle="1" w:styleId="3228">
    <w:name w:val="正文（带编号） 字符"/>
    <w:basedOn w:val="3186"/>
    <w:link w:val="3227"/>
    <w:qFormat/>
    <w:uiPriority w:val="0"/>
    <w:rPr>
      <w:rFonts w:ascii="Times New Roman" w:hAnsi="Times New Roman"/>
      <w:kern w:val="2"/>
      <w:sz w:val="26"/>
      <w:szCs w:val="26"/>
    </w:rPr>
  </w:style>
  <w:style w:type="character" w:customStyle="1" w:styleId="3229">
    <w:name w:val="0正文 Char"/>
    <w:link w:val="3219"/>
    <w:qFormat/>
    <w:uiPriority w:val="0"/>
    <w:rPr>
      <w:color w:val="000000"/>
      <w:kern w:val="2"/>
      <w:sz w:val="24"/>
      <w:szCs w:val="26"/>
      <w:lang w:val="zh-CN"/>
    </w:rPr>
  </w:style>
  <w:style w:type="paragraph" w:customStyle="1" w:styleId="3230">
    <w:name w:val="正文（带序号）"/>
    <w:basedOn w:val="1"/>
    <w:link w:val="3231"/>
    <w:qFormat/>
    <w:uiPriority w:val="0"/>
    <w:pPr>
      <w:spacing w:beforeLines="10" w:line="460" w:lineRule="exact"/>
      <w:ind w:firstLine="0" w:firstLineChars="0"/>
      <w:jc w:val="both"/>
    </w:pPr>
    <w:rPr>
      <w:bCs/>
      <w:color w:val="000000" w:themeColor="text1"/>
      <w:szCs w:val="26"/>
      <w14:textFill>
        <w14:solidFill>
          <w14:schemeClr w14:val="tx1"/>
        </w14:solidFill>
      </w14:textFill>
    </w:rPr>
  </w:style>
  <w:style w:type="character" w:customStyle="1" w:styleId="3231">
    <w:name w:val="正文（带序号） 字符"/>
    <w:basedOn w:val="132"/>
    <w:link w:val="3230"/>
    <w:qFormat/>
    <w:uiPriority w:val="0"/>
    <w:rPr>
      <w:rFonts w:ascii="Times New Roman" w:hAnsi="Times New Roman"/>
      <w:bCs/>
      <w:color w:val="000000" w:themeColor="text1"/>
      <w:kern w:val="2"/>
      <w:sz w:val="26"/>
      <w:szCs w:val="26"/>
      <w14:textFill>
        <w14:solidFill>
          <w14:schemeClr w14:val="tx1"/>
        </w14:solidFill>
      </w14:textFill>
    </w:rPr>
  </w:style>
  <w:style w:type="paragraph" w:customStyle="1" w:styleId="3232">
    <w:name w:val="A表格样式"/>
    <w:basedOn w:val="219"/>
    <w:link w:val="3235"/>
    <w:qFormat/>
    <w:uiPriority w:val="0"/>
    <w:pPr>
      <w:jc w:val="left"/>
    </w:pPr>
    <w:rPr>
      <w:color w:val="0000FF"/>
      <w:kern w:val="0"/>
      <w:szCs w:val="22"/>
    </w:rPr>
  </w:style>
  <w:style w:type="table" w:customStyle="1" w:styleId="3233">
    <w:name w:val="表格类型1"/>
    <w:basedOn w:val="88"/>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234">
    <w:name w:val="A表格内居中文字 字符"/>
    <w:basedOn w:val="132"/>
    <w:link w:val="219"/>
    <w:qFormat/>
    <w:uiPriority w:val="0"/>
    <w:rPr>
      <w:kern w:val="2"/>
      <w:sz w:val="22"/>
      <w:szCs w:val="24"/>
    </w:rPr>
  </w:style>
  <w:style w:type="character" w:customStyle="1" w:styleId="3235">
    <w:name w:val="A表格样式 字符"/>
    <w:basedOn w:val="3234"/>
    <w:link w:val="3232"/>
    <w:qFormat/>
    <w:uiPriority w:val="0"/>
    <w:rPr>
      <w:color w:val="0000FF"/>
      <w:kern w:val="2"/>
      <w:sz w:val="22"/>
      <w:szCs w:val="22"/>
    </w:rPr>
  </w:style>
  <w:style w:type="table" w:customStyle="1" w:styleId="3236">
    <w:name w:val="表格主题2"/>
    <w:basedOn w:val="88"/>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7">
    <w:name w:val="网格型（pxg）2"/>
    <w:basedOn w:val="88"/>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38">
    <w:name w:val="表格内居中文字"/>
    <w:basedOn w:val="1"/>
    <w:qFormat/>
    <w:uiPriority w:val="0"/>
    <w:pPr>
      <w:spacing w:line="240" w:lineRule="auto"/>
      <w:ind w:firstLine="0" w:firstLineChars="0"/>
      <w:jc w:val="center"/>
    </w:pPr>
    <w:rPr>
      <w:bCs/>
      <w:sz w:val="21"/>
      <w:szCs w:val="21"/>
    </w:rPr>
  </w:style>
  <w:style w:type="character" w:customStyle="1" w:styleId="3239">
    <w:name w:val="未处理的提及1"/>
    <w:basedOn w:val="132"/>
    <w:semiHidden/>
    <w:unhideWhenUsed/>
    <w:qFormat/>
    <w:uiPriority w:val="99"/>
    <w:rPr>
      <w:color w:val="605E5C"/>
      <w:shd w:val="clear" w:color="auto" w:fill="E1DFDD"/>
    </w:rPr>
  </w:style>
  <w:style w:type="paragraph" w:customStyle="1" w:styleId="3240">
    <w:name w:val="！正文"/>
    <w:basedOn w:val="1"/>
    <w:qFormat/>
    <w:uiPriority w:val="1"/>
    <w:pPr>
      <w:spacing w:line="460" w:lineRule="exact"/>
      <w:ind w:firstLine="480"/>
      <w:jc w:val="both"/>
    </w:pPr>
    <w:rPr>
      <w:rFonts w:ascii="Arial" w:hAnsi="Arial" w:cs="宋体"/>
      <w:sz w:val="21"/>
    </w:rPr>
  </w:style>
  <w:style w:type="paragraph" w:customStyle="1" w:styleId="3241">
    <w:name w:val="Revision"/>
    <w:hidden/>
    <w:unhideWhenUsed/>
    <w:qFormat/>
    <w:uiPriority w:val="99"/>
    <w:rPr>
      <w:rFonts w:ascii="Times New Roman" w:hAnsi="Times New Roman" w:eastAsia="宋体" w:cs="Times New Roman"/>
      <w:kern w:val="2"/>
      <w:sz w:val="26"/>
      <w:szCs w:val="22"/>
      <w:lang w:val="en-US" w:eastAsia="zh-CN" w:bidi="ar-SA"/>
    </w:rPr>
  </w:style>
  <w:style w:type="character" w:customStyle="1" w:styleId="3242">
    <w:name w:val="text_utvkh"/>
    <w:basedOn w:val="132"/>
    <w:qFormat/>
    <w:uiPriority w:val="0"/>
  </w:style>
  <w:style w:type="character" w:customStyle="1" w:styleId="3243">
    <w:name w:val="text_iklgd"/>
    <w:basedOn w:val="132"/>
    <w:qFormat/>
    <w:uiPriority w:val="0"/>
  </w:style>
  <w:style w:type="character" w:customStyle="1" w:styleId="3244">
    <w:name w:val="supwrap_vr4yt"/>
    <w:basedOn w:val="132"/>
    <w:qFormat/>
    <w:uiPriority w:val="0"/>
  </w:style>
  <w:style w:type="character" w:customStyle="1" w:styleId="3245">
    <w:name w:val="text_keo1f"/>
    <w:basedOn w:val="132"/>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46.png"/><Relationship Id="rId98" Type="http://schemas.openxmlformats.org/officeDocument/2006/relationships/image" Target="media/image45.wmf"/><Relationship Id="rId97" Type="http://schemas.openxmlformats.org/officeDocument/2006/relationships/image" Target="media/image44.wmf"/><Relationship Id="rId96" Type="http://schemas.openxmlformats.org/officeDocument/2006/relationships/oleObject" Target="embeddings/oleObject7.bin"/><Relationship Id="rId95" Type="http://schemas.openxmlformats.org/officeDocument/2006/relationships/image" Target="media/image43.wmf"/><Relationship Id="rId94" Type="http://schemas.openxmlformats.org/officeDocument/2006/relationships/oleObject" Target="embeddings/oleObject6.bin"/><Relationship Id="rId93" Type="http://schemas.openxmlformats.org/officeDocument/2006/relationships/image" Target="media/image42.png"/><Relationship Id="rId92" Type="http://schemas.openxmlformats.org/officeDocument/2006/relationships/image" Target="media/image41.png"/><Relationship Id="rId91" Type="http://schemas.openxmlformats.org/officeDocument/2006/relationships/image" Target="media/image40.png"/><Relationship Id="rId90" Type="http://schemas.openxmlformats.org/officeDocument/2006/relationships/image" Target="media/image39.png"/><Relationship Id="rId9" Type="http://schemas.openxmlformats.org/officeDocument/2006/relationships/footer" Target="footer2.xml"/><Relationship Id="rId89" Type="http://schemas.openxmlformats.org/officeDocument/2006/relationships/chart" Target="charts/chart3.xml"/><Relationship Id="rId88" Type="http://schemas.openxmlformats.org/officeDocument/2006/relationships/chart" Target="charts/chart2.xml"/><Relationship Id="rId87" Type="http://schemas.openxmlformats.org/officeDocument/2006/relationships/chart" Target="charts/chart1.xml"/><Relationship Id="rId86" Type="http://schemas.openxmlformats.org/officeDocument/2006/relationships/image" Target="media/image38.emf"/><Relationship Id="rId85" Type="http://schemas.openxmlformats.org/officeDocument/2006/relationships/image" Target="media/image37.png"/><Relationship Id="rId84" Type="http://schemas.openxmlformats.org/officeDocument/2006/relationships/image" Target="media/image36.png"/><Relationship Id="rId83" Type="http://schemas.openxmlformats.org/officeDocument/2006/relationships/image" Target="media/image35.jpeg"/><Relationship Id="rId82" Type="http://schemas.openxmlformats.org/officeDocument/2006/relationships/image" Target="media/image34.jpeg"/><Relationship Id="rId81" Type="http://schemas.openxmlformats.org/officeDocument/2006/relationships/image" Target="media/image33.jpeg"/><Relationship Id="rId80" Type="http://schemas.openxmlformats.org/officeDocument/2006/relationships/image" Target="media/image32.jpeg"/><Relationship Id="rId8" Type="http://schemas.openxmlformats.org/officeDocument/2006/relationships/footer" Target="footer1.xml"/><Relationship Id="rId79" Type="http://schemas.openxmlformats.org/officeDocument/2006/relationships/image" Target="media/image31.jpeg"/><Relationship Id="rId78" Type="http://schemas.openxmlformats.org/officeDocument/2006/relationships/image" Target="media/image30.jpeg"/><Relationship Id="rId77" Type="http://schemas.openxmlformats.org/officeDocument/2006/relationships/image" Target="media/image29.jpeg"/><Relationship Id="rId76" Type="http://schemas.openxmlformats.org/officeDocument/2006/relationships/image" Target="media/image28.jpeg"/><Relationship Id="rId75" Type="http://schemas.openxmlformats.org/officeDocument/2006/relationships/image" Target="media/image27.jpeg"/><Relationship Id="rId74" Type="http://schemas.openxmlformats.org/officeDocument/2006/relationships/image" Target="media/image26.jpeg"/><Relationship Id="rId73" Type="http://schemas.openxmlformats.org/officeDocument/2006/relationships/image" Target="media/image25.jpeg"/><Relationship Id="rId72" Type="http://schemas.openxmlformats.org/officeDocument/2006/relationships/image" Target="media/image24.jpeg"/><Relationship Id="rId71" Type="http://schemas.openxmlformats.org/officeDocument/2006/relationships/image" Target="media/image23.jpeg"/><Relationship Id="rId70" Type="http://schemas.openxmlformats.org/officeDocument/2006/relationships/image" Target="media/image22.jpeg"/><Relationship Id="rId7" Type="http://schemas.openxmlformats.org/officeDocument/2006/relationships/header" Target="header3.xml"/><Relationship Id="rId69" Type="http://schemas.openxmlformats.org/officeDocument/2006/relationships/image" Target="media/image21.jpeg"/><Relationship Id="rId68" Type="http://schemas.openxmlformats.org/officeDocument/2006/relationships/image" Target="media/image20.jpeg"/><Relationship Id="rId67" Type="http://schemas.openxmlformats.org/officeDocument/2006/relationships/image" Target="media/image19.jpeg"/><Relationship Id="rId66" Type="http://schemas.openxmlformats.org/officeDocument/2006/relationships/image" Target="media/image18.jpeg"/><Relationship Id="rId65" Type="http://schemas.openxmlformats.org/officeDocument/2006/relationships/image" Target="media/image17.jpeg"/><Relationship Id="rId64" Type="http://schemas.openxmlformats.org/officeDocument/2006/relationships/image" Target="media/image16.png"/><Relationship Id="rId63" Type="http://schemas.openxmlformats.org/officeDocument/2006/relationships/image" Target="media/image15.jpeg"/><Relationship Id="rId62" Type="http://schemas.openxmlformats.org/officeDocument/2006/relationships/image" Target="media/image14.png"/><Relationship Id="rId61" Type="http://schemas.openxmlformats.org/officeDocument/2006/relationships/image" Target="media/image13.jpeg"/><Relationship Id="rId60" Type="http://schemas.openxmlformats.org/officeDocument/2006/relationships/image" Target="media/image12.wmf"/><Relationship Id="rId6" Type="http://schemas.openxmlformats.org/officeDocument/2006/relationships/header" Target="header2.xml"/><Relationship Id="rId59" Type="http://schemas.openxmlformats.org/officeDocument/2006/relationships/oleObject" Target="embeddings/oleObject5.bin"/><Relationship Id="rId58" Type="http://schemas.openxmlformats.org/officeDocument/2006/relationships/image" Target="media/image11.wmf"/><Relationship Id="rId57" Type="http://schemas.openxmlformats.org/officeDocument/2006/relationships/oleObject" Target="embeddings/oleObject4.bin"/><Relationship Id="rId56" Type="http://schemas.openxmlformats.org/officeDocument/2006/relationships/image" Target="media/image10.emf"/><Relationship Id="rId55" Type="http://schemas.openxmlformats.org/officeDocument/2006/relationships/oleObject" Target="embeddings/oleObject3.bin"/><Relationship Id="rId54" Type="http://schemas.openxmlformats.org/officeDocument/2006/relationships/image" Target="media/image9.emf"/><Relationship Id="rId53" Type="http://schemas.openxmlformats.org/officeDocument/2006/relationships/image" Target="media/image8.emf"/><Relationship Id="rId52" Type="http://schemas.openxmlformats.org/officeDocument/2006/relationships/oleObject" Target="embeddings/oleObject2.bin"/><Relationship Id="rId51" Type="http://schemas.openxmlformats.org/officeDocument/2006/relationships/image" Target="media/image7.png"/><Relationship Id="rId50" Type="http://schemas.openxmlformats.org/officeDocument/2006/relationships/image" Target="media/image6.wmf"/><Relationship Id="rId5" Type="http://schemas.openxmlformats.org/officeDocument/2006/relationships/header" Target="header1.xml"/><Relationship Id="rId49" Type="http://schemas.openxmlformats.org/officeDocument/2006/relationships/oleObject" Target="embeddings/oleObject1.bin"/><Relationship Id="rId48" Type="http://schemas.openxmlformats.org/officeDocument/2006/relationships/image" Target="media/image5.png"/><Relationship Id="rId47" Type="http://schemas.openxmlformats.org/officeDocument/2006/relationships/image" Target="media/image4.png"/><Relationship Id="rId46" Type="http://schemas.openxmlformats.org/officeDocument/2006/relationships/image" Target="media/image3.png"/><Relationship Id="rId45" Type="http://schemas.openxmlformats.org/officeDocument/2006/relationships/image" Target="media/image2.emf"/><Relationship Id="rId44" Type="http://schemas.openxmlformats.org/officeDocument/2006/relationships/image" Target="media/image1.png"/><Relationship Id="rId43" Type="http://schemas.openxmlformats.org/officeDocument/2006/relationships/theme" Target="theme/theme1.xml"/><Relationship Id="rId42" Type="http://schemas.openxmlformats.org/officeDocument/2006/relationships/footer" Target="footer19.xml"/><Relationship Id="rId41" Type="http://schemas.openxmlformats.org/officeDocument/2006/relationships/header" Target="header19.xml"/><Relationship Id="rId40" Type="http://schemas.openxmlformats.org/officeDocument/2006/relationships/footer" Target="footer18.xml"/><Relationship Id="rId4" Type="http://schemas.openxmlformats.org/officeDocument/2006/relationships/endnotes" Target="endnotes.xml"/><Relationship Id="rId39" Type="http://schemas.openxmlformats.org/officeDocument/2006/relationships/header" Target="header18.xml"/><Relationship Id="rId38" Type="http://schemas.openxmlformats.org/officeDocument/2006/relationships/footer" Target="footer17.xml"/><Relationship Id="rId37" Type="http://schemas.openxmlformats.org/officeDocument/2006/relationships/footer" Target="footer16.xml"/><Relationship Id="rId36" Type="http://schemas.openxmlformats.org/officeDocument/2006/relationships/header" Target="header17.xml"/><Relationship Id="rId35" Type="http://schemas.openxmlformats.org/officeDocument/2006/relationships/header" Target="header16.xml"/><Relationship Id="rId34" Type="http://schemas.openxmlformats.org/officeDocument/2006/relationships/footer" Target="footer15.xml"/><Relationship Id="rId33" Type="http://schemas.openxmlformats.org/officeDocument/2006/relationships/footer" Target="footer14.xml"/><Relationship Id="rId32" Type="http://schemas.openxmlformats.org/officeDocument/2006/relationships/header" Target="header15.xml"/><Relationship Id="rId31" Type="http://schemas.openxmlformats.org/officeDocument/2006/relationships/header" Target="header14.xml"/><Relationship Id="rId30" Type="http://schemas.openxmlformats.org/officeDocument/2006/relationships/footer" Target="footer13.xml"/><Relationship Id="rId3" Type="http://schemas.openxmlformats.org/officeDocument/2006/relationships/footnotes" Target="footnotes.xml"/><Relationship Id="rId29" Type="http://schemas.openxmlformats.org/officeDocument/2006/relationships/footer" Target="footer12.xml"/><Relationship Id="rId28" Type="http://schemas.openxmlformats.org/officeDocument/2006/relationships/footer" Target="footer11.xml"/><Relationship Id="rId27" Type="http://schemas.openxmlformats.org/officeDocument/2006/relationships/header" Target="header13.xml"/><Relationship Id="rId26" Type="http://schemas.openxmlformats.org/officeDocument/2006/relationships/header" Target="header12.xml"/><Relationship Id="rId25" Type="http://schemas.openxmlformats.org/officeDocument/2006/relationships/footer" Target="footer10.xml"/><Relationship Id="rId24" Type="http://schemas.openxmlformats.org/officeDocument/2006/relationships/footer" Target="footer9.xml"/><Relationship Id="rId23" Type="http://schemas.openxmlformats.org/officeDocument/2006/relationships/header" Target="header11.xml"/><Relationship Id="rId22" Type="http://schemas.openxmlformats.org/officeDocument/2006/relationships/header" Target="header10.xml"/><Relationship Id="rId21" Type="http://schemas.openxmlformats.org/officeDocument/2006/relationships/footer" Target="footer8.xml"/><Relationship Id="rId20" Type="http://schemas.openxmlformats.org/officeDocument/2006/relationships/footer" Target="footer7.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footer" Target="footer6.xml"/><Relationship Id="rId16" Type="http://schemas.openxmlformats.org/officeDocument/2006/relationships/footer" Target="footer5.xml"/><Relationship Id="rId15" Type="http://schemas.openxmlformats.org/officeDocument/2006/relationships/header" Target="head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49.emf"/><Relationship Id="rId103" Type="http://schemas.openxmlformats.org/officeDocument/2006/relationships/oleObject" Target="embeddings/oleObject9.bin"/><Relationship Id="rId102" Type="http://schemas.openxmlformats.org/officeDocument/2006/relationships/image" Target="media/image48.wmf"/><Relationship Id="rId101" Type="http://schemas.openxmlformats.org/officeDocument/2006/relationships/oleObject" Target="embeddings/oleObject8.bin"/><Relationship Id="rId100" Type="http://schemas.openxmlformats.org/officeDocument/2006/relationships/image" Target="media/image47.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22823;&#27668;&#27668;&#35937;&#25968;&#25454;&#12289;&#30417;&#27979;&#25968;&#25454;\57512&#21512;&#24029;2022&#24180;\2003-2022&#24180;&#22320;&#38754;&#27668;&#35937;&#32479;&#35745;\57512.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22823;&#27668;&#27668;&#35937;&#25968;&#25454;&#12289;&#30417;&#27979;&#25968;&#25454;\57512&#21512;&#24029;2022&#24180;\2003-2022&#24180;&#22320;&#38754;&#27668;&#35937;&#32479;&#35745;\57512.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22823;&#27668;&#27668;&#35937;&#25968;&#25454;&#12289;&#30417;&#27979;&#25968;&#25454;\57512&#21512;&#24029;2022&#24180;\2003-2022&#24180;&#22320;&#38754;&#27668;&#35937;&#32479;&#35745;\575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lineChart>
        <c:grouping val="standard"/>
        <c:varyColors val="false"/>
        <c:ser>
          <c:idx val="0"/>
          <c:order val="0"/>
          <c:spPr>
            <a:ln w="28575" cap="rnd">
              <a:solidFill>
                <a:schemeClr val="accent1"/>
              </a:solidFill>
              <a:round/>
            </a:ln>
            <a:effectLst/>
          </c:spPr>
          <c:marker>
            <c:symbol val="none"/>
          </c:marker>
          <c:dLbls>
            <c:delete val="true"/>
          </c:dLbls>
          <c:cat>
            <c:strRef>
              <c:f>[57512.xlsx]Sheet2!$E$4:$P$4</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[57512.xlsx]Sheet2!$E$5:$P$5</c:f>
              <c:numCache>
                <c:formatCode>General</c:formatCode>
                <c:ptCount val="12"/>
                <c:pt idx="0">
                  <c:v>1.14</c:v>
                </c:pt>
                <c:pt idx="1">
                  <c:v>1.27</c:v>
                </c:pt>
                <c:pt idx="2">
                  <c:v>1.45</c:v>
                </c:pt>
                <c:pt idx="3">
                  <c:v>1.47</c:v>
                </c:pt>
                <c:pt idx="4">
                  <c:v>1.42</c:v>
                </c:pt>
                <c:pt idx="5">
                  <c:v>1.25</c:v>
                </c:pt>
                <c:pt idx="6">
                  <c:v>1.41</c:v>
                </c:pt>
                <c:pt idx="7">
                  <c:v>1.46</c:v>
                </c:pt>
                <c:pt idx="8">
                  <c:v>1.34</c:v>
                </c:pt>
                <c:pt idx="9">
                  <c:v>1.14</c:v>
                </c:pt>
                <c:pt idx="10">
                  <c:v>1.1</c:v>
                </c:pt>
                <c:pt idx="11">
                  <c:v>1.07</c:v>
                </c:pt>
              </c:numCache>
            </c:numRef>
          </c:val>
          <c:smooth val="false"/>
        </c:ser>
        <c:dLbls>
          <c:showLegendKey val="false"/>
          <c:showVal val="false"/>
          <c:showCatName val="false"/>
          <c:showSerName val="false"/>
          <c:showPercent val="false"/>
          <c:showBubbleSize val="false"/>
        </c:dLbls>
        <c:marker val="false"/>
        <c:smooth val="false"/>
        <c:axId val="539410506"/>
        <c:axId val="993450542"/>
      </c:lineChart>
      <c:catAx>
        <c:axId val="539410506"/>
        <c:scaling>
          <c:orientation val="minMax"/>
        </c:scaling>
        <c:delete val="false"/>
        <c:axPos val="b"/>
        <c:title>
          <c:tx>
            <c:rich>
              <a:bodyPr rot="0" spcFirstLastPara="0" vertOverflow="ellipsis" vert="horz" wrap="square" anchor="ctr" anchorCtr="true"/>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月份</a:t>
                </a:r>
                <a:endParaRPr lang="zh-CN" altLang="en-US"/>
              </a:p>
            </c:rich>
          </c:tx>
          <c:layout/>
          <c:overlay val="false"/>
          <c:spPr>
            <a:noFill/>
            <a:ln>
              <a:noFill/>
            </a:ln>
            <a:effectLst/>
          </c:spPr>
        </c:title>
        <c:numFmt formatCode="General" sourceLinked="false"/>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993450542"/>
        <c:crosses val="autoZero"/>
        <c:auto val="true"/>
        <c:lblAlgn val="ctr"/>
        <c:lblOffset val="100"/>
        <c:noMultiLvlLbl val="false"/>
      </c:catAx>
      <c:valAx>
        <c:axId val="993450542"/>
        <c:scaling>
          <c:orientation val="minMax"/>
        </c:scaling>
        <c:delete val="false"/>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true"/>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风速（</a:t>
                </a:r>
                <a:r>
                  <a:rPr lang="en-US" altLang="zh-CN"/>
                  <a:t>m/s)</a:t>
                </a:r>
                <a:endParaRPr lang="en-US" altLang="zh-CN"/>
              </a:p>
            </c:rich>
          </c:tx>
          <c:layout/>
          <c:overlay val="false"/>
          <c:spPr>
            <a:noFill/>
            <a:ln>
              <a:noFill/>
            </a:ln>
            <a:effectLst/>
          </c:spPr>
        </c:title>
        <c:numFmt formatCode="General" sourceLinked="true"/>
        <c:majorTickMark val="out"/>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539410506"/>
        <c:crosses val="autoZero"/>
        <c:crossBetween val="between"/>
      </c:valAx>
      <c:spPr>
        <a:noFill/>
        <a:ln>
          <a:noFill/>
        </a:ln>
        <a:effectLst/>
      </c:spPr>
    </c:plotArea>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lineChart>
        <c:grouping val="standard"/>
        <c:varyColors val="false"/>
        <c:ser>
          <c:idx val="0"/>
          <c:order val="0"/>
          <c:spPr>
            <a:ln w="28575" cap="rnd">
              <a:solidFill>
                <a:schemeClr val="accent1"/>
              </a:solidFill>
              <a:round/>
            </a:ln>
            <a:effectLst/>
          </c:spPr>
          <c:marker>
            <c:symbol val="none"/>
          </c:marker>
          <c:dLbls>
            <c:delete val="true"/>
          </c:dLbls>
          <c:cat>
            <c:strRef>
              <c:f>[57512.xlsx]Sheet2!$F$30:$Q$30</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[57512.xlsx]Sheet2!$F$31:$Q$31</c:f>
              <c:numCache>
                <c:formatCode>General</c:formatCode>
                <c:ptCount val="12"/>
                <c:pt idx="0">
                  <c:v>7.29</c:v>
                </c:pt>
                <c:pt idx="1">
                  <c:v>9.81</c:v>
                </c:pt>
                <c:pt idx="2">
                  <c:v>14.34</c:v>
                </c:pt>
                <c:pt idx="3">
                  <c:v>18.85</c:v>
                </c:pt>
                <c:pt idx="4">
                  <c:v>22.13</c:v>
                </c:pt>
                <c:pt idx="5">
                  <c:v>24.87</c:v>
                </c:pt>
                <c:pt idx="6">
                  <c:v>28.43</c:v>
                </c:pt>
                <c:pt idx="7">
                  <c:v>28.63</c:v>
                </c:pt>
                <c:pt idx="8">
                  <c:v>23.55</c:v>
                </c:pt>
                <c:pt idx="9">
                  <c:v>18.24</c:v>
                </c:pt>
                <c:pt idx="10">
                  <c:v>13.62</c:v>
                </c:pt>
                <c:pt idx="11">
                  <c:v>8.67</c:v>
                </c:pt>
              </c:numCache>
            </c:numRef>
          </c:val>
          <c:smooth val="false"/>
        </c:ser>
        <c:dLbls>
          <c:showLegendKey val="false"/>
          <c:showVal val="false"/>
          <c:showCatName val="false"/>
          <c:showSerName val="false"/>
          <c:showPercent val="false"/>
          <c:showBubbleSize val="false"/>
        </c:dLbls>
        <c:marker val="false"/>
        <c:smooth val="false"/>
        <c:axId val="680425439"/>
        <c:axId val="416929088"/>
      </c:lineChart>
      <c:catAx>
        <c:axId val="680425439"/>
        <c:scaling>
          <c:orientation val="minMax"/>
        </c:scaling>
        <c:delete val="false"/>
        <c:axPos val="b"/>
        <c:title>
          <c:tx>
            <c:rich>
              <a:bodyPr rot="0" spcFirstLastPara="0" vertOverflow="ellipsis" vert="horz" wrap="square" anchor="ctr" anchorCtr="true"/>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月份</a:t>
                </a:r>
                <a:endParaRPr lang="zh-CN" altLang="en-US"/>
              </a:p>
            </c:rich>
          </c:tx>
          <c:layout/>
          <c:overlay val="false"/>
          <c:spPr>
            <a:noFill/>
            <a:ln>
              <a:noFill/>
            </a:ln>
            <a:effectLst/>
          </c:spPr>
        </c:title>
        <c:numFmt formatCode="General" sourceLinked="fals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416929088"/>
        <c:crosses val="autoZero"/>
        <c:auto val="true"/>
        <c:lblAlgn val="ctr"/>
        <c:lblOffset val="100"/>
        <c:noMultiLvlLbl val="false"/>
      </c:catAx>
      <c:valAx>
        <c:axId val="416929088"/>
        <c:scaling>
          <c:orientation val="minMax"/>
        </c:scaling>
        <c:delete val="false"/>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true"/>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温度（℃）</a:t>
                </a:r>
                <a:endParaRPr lang="zh-CN" altLang="en-US"/>
              </a:p>
            </c:rich>
          </c:tx>
          <c:layout/>
          <c:overlay val="false"/>
          <c:spPr>
            <a:noFill/>
            <a:ln>
              <a:noFill/>
            </a:ln>
            <a:effectLst/>
          </c:spPr>
        </c:title>
        <c:numFmt formatCode="General" sourceLinked="true"/>
        <c:majorTickMark val="none"/>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680425439"/>
        <c:crosses val="autoZero"/>
        <c:crossBetween val="between"/>
      </c:valAx>
      <c:spPr>
        <a:noFill/>
        <a:ln>
          <a:noFill/>
        </a:ln>
        <a:effectLst/>
      </c:spPr>
    </c:plotArea>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lineChart>
        <c:grouping val="standard"/>
        <c:varyColors val="false"/>
        <c:ser>
          <c:idx val="0"/>
          <c:order val="0"/>
          <c:spPr>
            <a:ln w="28575" cap="rnd">
              <a:solidFill>
                <a:schemeClr val="accent1"/>
              </a:solidFill>
              <a:round/>
            </a:ln>
            <a:effectLst/>
          </c:spPr>
          <c:marker>
            <c:symbol val="none"/>
          </c:marker>
          <c:dLbls>
            <c:delete val="true"/>
          </c:dLbls>
          <c:cat>
            <c:strRef>
              <c:f>[57512.xlsx]Sheet2!$G$53:$R$53</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[57512.xlsx]Sheet2!$G$54:$R$54</c:f>
              <c:numCache>
                <c:formatCode>General</c:formatCode>
                <c:ptCount val="12"/>
                <c:pt idx="0">
                  <c:v>85.92</c:v>
                </c:pt>
                <c:pt idx="1">
                  <c:v>81.36</c:v>
                </c:pt>
                <c:pt idx="2">
                  <c:v>77.85</c:v>
                </c:pt>
                <c:pt idx="3">
                  <c:v>77.84</c:v>
                </c:pt>
                <c:pt idx="4">
                  <c:v>79.31</c:v>
                </c:pt>
                <c:pt idx="5">
                  <c:v>83.14</c:v>
                </c:pt>
                <c:pt idx="6">
                  <c:v>76.72</c:v>
                </c:pt>
                <c:pt idx="7">
                  <c:v>72.51</c:v>
                </c:pt>
                <c:pt idx="8">
                  <c:v>83</c:v>
                </c:pt>
                <c:pt idx="9">
                  <c:v>87.7</c:v>
                </c:pt>
                <c:pt idx="10">
                  <c:v>87.94</c:v>
                </c:pt>
                <c:pt idx="11">
                  <c:v>87.52</c:v>
                </c:pt>
              </c:numCache>
            </c:numRef>
          </c:val>
          <c:smooth val="false"/>
        </c:ser>
        <c:dLbls>
          <c:showLegendKey val="false"/>
          <c:showVal val="false"/>
          <c:showCatName val="false"/>
          <c:showSerName val="false"/>
          <c:showPercent val="false"/>
          <c:showBubbleSize val="false"/>
        </c:dLbls>
        <c:marker val="false"/>
        <c:smooth val="false"/>
        <c:axId val="324793954"/>
        <c:axId val="971834612"/>
      </c:lineChart>
      <c:catAx>
        <c:axId val="324793954"/>
        <c:scaling>
          <c:orientation val="minMax"/>
        </c:scaling>
        <c:delete val="false"/>
        <c:axPos val="b"/>
        <c:title>
          <c:tx>
            <c:rich>
              <a:bodyPr rot="0" spcFirstLastPara="0" vertOverflow="ellipsis" vert="horz" wrap="square" anchor="ctr" anchorCtr="true"/>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月份</a:t>
                </a:r>
                <a:endParaRPr lang="zh-CN" altLang="en-US"/>
              </a:p>
            </c:rich>
          </c:tx>
          <c:layout/>
          <c:overlay val="false"/>
          <c:spPr>
            <a:noFill/>
            <a:ln>
              <a:noFill/>
            </a:ln>
            <a:effectLst/>
          </c:spPr>
        </c:title>
        <c:numFmt formatCode="General" sourceLinked="fals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971834612"/>
        <c:crosses val="autoZero"/>
        <c:auto val="true"/>
        <c:lblAlgn val="ctr"/>
        <c:lblOffset val="100"/>
        <c:noMultiLvlLbl val="false"/>
      </c:catAx>
      <c:valAx>
        <c:axId val="971834612"/>
        <c:scaling>
          <c:orientation val="minMax"/>
        </c:scaling>
        <c:delete val="false"/>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true"/>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湿度（</a:t>
                </a:r>
                <a:r>
                  <a:rPr lang="en-US" altLang="zh-CN"/>
                  <a:t>%</a:t>
                </a:r>
                <a:r>
                  <a:rPr lang="zh-CN" altLang="en-US"/>
                  <a:t>）</a:t>
                </a:r>
                <a:endParaRPr lang="zh-CN" altLang="en-US"/>
              </a:p>
            </c:rich>
          </c:tx>
          <c:layout/>
          <c:overlay val="false"/>
          <c:spPr>
            <a:noFill/>
            <a:ln>
              <a:noFill/>
            </a:ln>
            <a:effectLst/>
          </c:spPr>
        </c:title>
        <c:numFmt formatCode="General" sourceLinked="true"/>
        <c:majorTickMark val="none"/>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324793954"/>
        <c:crosses val="autoZero"/>
        <c:crossBetween val="between"/>
      </c:valAx>
      <c:spPr>
        <a:noFill/>
        <a:ln>
          <a:noFill/>
        </a:ln>
        <a:effectLst/>
      </c:spPr>
    </c:plotArea>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45</Pages>
  <Words>26836</Words>
  <Characters>152971</Characters>
  <Lines>1274</Lines>
  <Paragraphs>358</Paragraphs>
  <TotalTime>3</TotalTime>
  <ScaleCrop>false</ScaleCrop>
  <LinksUpToDate>false</LinksUpToDate>
  <CharactersWithSpaces>179449</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2024-03-26T16:38:00Z</dcterms:created>
  <dc:creator>环二院李刚</dc:creator>
  <cp:lastModifiedBy>user</cp:lastModifiedBy>
  <cp:lastPrinted>2024-03-26T16:43:00Z</cp:lastPrinted>
  <dcterms:modified xsi:type="dcterms:W3CDTF">2024-04-08T11:05:18Z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2BFE01F97B904EE5B00A16FB4CEDAC11_12</vt:lpwstr>
  </property>
</Properties>
</file>