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jc w:val="center"/>
        <w:rPr>
          <w:rFonts w:ascii="方正小标宋_GBK" w:eastAsia="方正小标宋_GBK"/>
          <w:sz w:val="44"/>
          <w:szCs w:val="44"/>
        </w:rPr>
      </w:pPr>
      <w:r>
        <w:rPr>
          <w:rFonts w:hint="eastAsia" w:ascii="方正小标宋_GBK" w:eastAsia="方正小标宋_GBK"/>
          <w:sz w:val="44"/>
          <w:szCs w:val="44"/>
          <w:shd w:val="clear" w:color="auto" w:fill="FFFFFF"/>
        </w:rPr>
        <w:t>重庆市合川区科学技术局</w:t>
      </w:r>
    </w:p>
    <w:p>
      <w:pPr>
        <w:pStyle w:val="2"/>
        <w:spacing w:before="0" w:beforeAutospacing="0"/>
        <w:jc w:val="center"/>
        <w:rPr>
          <w:rFonts w:hint="eastAsia" w:ascii="方正小标宋_GBK" w:eastAsia="方正小标宋_GBK"/>
          <w:sz w:val="44"/>
          <w:szCs w:val="44"/>
          <w:lang w:eastAsia="zh-CN"/>
        </w:rPr>
      </w:pPr>
      <w:r>
        <w:rPr>
          <w:rFonts w:hint="eastAsia" w:ascii="方正小标宋_GBK" w:eastAsia="方正小标宋_GBK"/>
          <w:sz w:val="44"/>
          <w:szCs w:val="44"/>
          <w:shd w:val="clear" w:color="auto" w:fill="FFFFFF"/>
        </w:rPr>
        <w:t>2020年度部门决算</w:t>
      </w:r>
      <w:r>
        <w:rPr>
          <w:rFonts w:hint="eastAsia" w:ascii="方正小标宋_GBK" w:eastAsia="方正小标宋_GBK"/>
          <w:sz w:val="44"/>
          <w:szCs w:val="44"/>
          <w:shd w:val="clear" w:color="auto" w:fill="FFFFFF"/>
          <w:lang w:eastAsia="zh-CN"/>
        </w:rPr>
        <w:t>公开报告</w:t>
      </w:r>
    </w:p>
    <w:p>
      <w:pPr>
        <w:pStyle w:val="2"/>
        <w:numPr>
          <w:ilvl w:val="0"/>
          <w:numId w:val="1"/>
        </w:numPr>
        <w:spacing w:before="0" w:beforeAutospacing="0"/>
        <w:rPr>
          <w:rStyle w:val="5"/>
          <w:rFonts w:hint="eastAsia" w:ascii="方正黑体_GBK" w:eastAsia="方正黑体_GBK"/>
          <w:b w:val="0"/>
          <w:bCs w:val="0"/>
          <w:sz w:val="32"/>
          <w:szCs w:val="32"/>
          <w:shd w:val="clear" w:color="auto" w:fill="FFFFFF"/>
        </w:rPr>
      </w:pPr>
      <w:r>
        <w:rPr>
          <w:rStyle w:val="5"/>
          <w:rFonts w:hint="eastAsia" w:ascii="方正黑体_GBK" w:eastAsia="方正黑体_GBK"/>
          <w:b w:val="0"/>
          <w:bCs w:val="0"/>
          <w:sz w:val="32"/>
          <w:szCs w:val="32"/>
          <w:shd w:val="clear" w:color="auto" w:fill="FFFFFF"/>
        </w:rPr>
        <w:t>部门基本情况</w:t>
      </w:r>
    </w:p>
    <w:p>
      <w:pPr>
        <w:pStyle w:val="2"/>
        <w:autoSpaceDE w:val="0"/>
        <w:spacing w:before="0" w:beforeAutospacing="0"/>
        <w:rPr>
          <w:rFonts w:hint="eastAsia" w:ascii="方正楷体_GBK" w:eastAsia="方正楷体_GBK"/>
        </w:rPr>
      </w:pPr>
      <w:r>
        <w:rPr>
          <w:rStyle w:val="5"/>
          <w:rFonts w:hint="eastAsia" w:ascii="方正楷体_GBK" w:eastAsia="方正楷体_GBK"/>
          <w:b w:val="0"/>
          <w:bCs w:val="0"/>
          <w:sz w:val="32"/>
          <w:szCs w:val="32"/>
          <w:shd w:val="clear" w:color="auto" w:fill="FFFFFF"/>
        </w:rPr>
        <w:t>（一）职能职责</w:t>
      </w:r>
    </w:p>
    <w:p>
      <w:pPr>
        <w:pStyle w:val="2"/>
        <w:autoSpaceDE w:val="0"/>
        <w:spacing w:before="0" w:beforeAutospacing="0"/>
        <w:ind w:firstLine="640" w:firstLineChars="200"/>
        <w:rPr>
          <w:rFonts w:hint="eastAsia" w:ascii="方正仿宋_GBK" w:eastAsia="方正仿宋_GBK"/>
          <w:color w:val="333333"/>
          <w:kern w:val="2"/>
          <w:sz w:val="32"/>
          <w:szCs w:val="32"/>
        </w:rPr>
      </w:pPr>
      <w:r>
        <w:rPr>
          <w:rFonts w:hint="eastAsia" w:ascii="方正仿宋_GBK" w:eastAsia="方正仿宋_GBK"/>
          <w:sz w:val="32"/>
          <w:szCs w:val="32"/>
        </w:rPr>
        <w:t>重庆市合川区科学技术局，属国家政府机关单位。主要职能职责是</w:t>
      </w:r>
      <w:r>
        <w:rPr>
          <w:rFonts w:hint="eastAsia" w:ascii="方正仿宋_GBK" w:eastAsia="方正仿宋_GBK"/>
          <w:color w:val="333333"/>
          <w:kern w:val="2"/>
          <w:sz w:val="32"/>
          <w:szCs w:val="32"/>
        </w:rPr>
        <w:t>负责研究制定全区科技发展的宏观战略和科技促进经济与社会发展的方针、政策，研究科技促进经济与社会发展的重大问题，确定科技发展的重大布局和优先发展领域。组织实施科教兴区战略，编制全区科学技术发展的中长期规划和年度计划，督促检查计划完成情况。统筹协调全区包括知识创新在内的科技创新工作；负责高新技术产业化项目的小试、中试，参与高新技术产业化项目的规模化、商品化及相关的科技基地建设。履行本级政府防震减灾行政管理职能。履行知识产权保护和执法监督行政管理职能。负责全区应用研究与开发资金、科学事业费、其他科技资金和科研物资的使用配置和监督，负责多渠道增加科技投入和科技资源的合理配置。指导、协调镇街，区级各部门的科技管理工作，协同有关部门研究制定行业和企业技术进步的措施，参加重大经济建设项目和技术引进、技术开发项目的可行性论证、评估。负责对各镇街科技工作进行指导、协调、检查和考核；负责全区科学技术普及工作的宏观管理和综合协调。组织对外科技交流与合作，配合有关部门做好引进国内外科技智力工作。管理全区科技奖励、科技保密、技术市场及与科技相关的知识产权保护等工作，促进科技咨询、招标、评估等社会中介组织体系的建立。负责全区软科学研究、科技信息、科技宣传和科技统计工作。</w:t>
      </w:r>
    </w:p>
    <w:p>
      <w:pPr>
        <w:pStyle w:val="2"/>
        <w:autoSpaceDE w:val="0"/>
        <w:spacing w:before="0" w:beforeAutospacing="0"/>
        <w:rPr>
          <w:rFonts w:hint="eastAsia" w:ascii="方正楷体_GBK" w:eastAsia="方正楷体_GBK"/>
          <w:color w:val="333333"/>
          <w:kern w:val="2"/>
          <w:sz w:val="32"/>
          <w:szCs w:val="32"/>
        </w:rPr>
      </w:pPr>
      <w:r>
        <w:rPr>
          <w:rFonts w:hint="eastAsia" w:ascii="方正楷体_GBK" w:eastAsia="方正楷体_GBK"/>
          <w:color w:val="333333"/>
          <w:kern w:val="2"/>
          <w:sz w:val="32"/>
          <w:szCs w:val="32"/>
        </w:rPr>
        <w:t>（二）机构设置</w:t>
      </w:r>
    </w:p>
    <w:p>
      <w:pPr>
        <w:pStyle w:val="2"/>
        <w:autoSpaceDE w:val="0"/>
        <w:spacing w:before="0" w:beforeAutospacing="0"/>
        <w:ind w:firstLine="640" w:firstLineChars="200"/>
        <w:rPr>
          <w:rFonts w:hint="eastAsia" w:ascii="方正仿宋_GBK" w:eastAsia="方正仿宋_GBK"/>
          <w:color w:val="333333"/>
          <w:kern w:val="2"/>
          <w:sz w:val="32"/>
          <w:szCs w:val="32"/>
        </w:rPr>
      </w:pPr>
      <w:r>
        <w:rPr>
          <w:rFonts w:hint="eastAsia" w:ascii="方正仿宋_GBK" w:eastAsia="方正仿宋_GBK"/>
          <w:color w:val="333333"/>
          <w:kern w:val="2"/>
          <w:sz w:val="32"/>
          <w:szCs w:val="32"/>
        </w:rPr>
        <w:t>设2个职能科室：办公室、创新发展科。下属全额拨款事业单位3个：高新技术促进中心、民生科技服务中心、信息安全产业发展促进中心。较2019年有变化的是下属事业单位“信息安全产业发展促进中心”今年合并决算。且下属参公事业单位“知识产权管理中心”因机构改革转出。</w:t>
      </w:r>
    </w:p>
    <w:p>
      <w:pPr>
        <w:pStyle w:val="2"/>
        <w:autoSpaceDE w:val="0"/>
        <w:spacing w:before="0" w:beforeAutospacing="0"/>
        <w:rPr>
          <w:rFonts w:hint="eastAsia" w:ascii="方正楷体_GBK" w:eastAsia="方正楷体_GBK"/>
          <w:sz w:val="32"/>
          <w:szCs w:val="32"/>
        </w:rPr>
      </w:pPr>
      <w:r>
        <w:rPr>
          <w:rStyle w:val="5"/>
          <w:rFonts w:hint="eastAsia" w:ascii="方正楷体_GBK" w:eastAsia="方正楷体_GBK"/>
          <w:b w:val="0"/>
          <w:bCs w:val="0"/>
          <w:sz w:val="32"/>
          <w:szCs w:val="32"/>
          <w:shd w:val="clear" w:color="auto" w:fill="FFFFFF"/>
        </w:rPr>
        <w:t>（三）单位构成</w:t>
      </w:r>
    </w:p>
    <w:p>
      <w:pPr>
        <w:autoSpaceDE w:val="0"/>
        <w:ind w:firstLine="640" w:firstLineChars="200"/>
        <w:rPr>
          <w:rFonts w:hint="eastAsia" w:ascii="方正仿宋_GBK" w:eastAsia="方正仿宋_GBK"/>
          <w:color w:val="333333"/>
          <w:kern w:val="2"/>
          <w:sz w:val="32"/>
          <w:szCs w:val="32"/>
        </w:rPr>
      </w:pPr>
      <w:r>
        <w:rPr>
          <w:rFonts w:hint="eastAsia" w:ascii="方正仿宋_GBK" w:eastAsia="方正仿宋_GBK"/>
          <w:color w:val="333333"/>
          <w:kern w:val="2"/>
          <w:sz w:val="32"/>
          <w:szCs w:val="32"/>
        </w:rPr>
        <w:t>从预算单位构成看，无二级预算单位纳入本部门2020年度决算编制。</w:t>
      </w:r>
    </w:p>
    <w:p>
      <w:pPr>
        <w:pStyle w:val="2"/>
        <w:spacing w:before="0" w:beforeAutospacing="0"/>
        <w:rPr>
          <w:rFonts w:hint="eastAsia" w:ascii="方正黑体_GBK" w:eastAsia="方正黑体_GBK"/>
          <w:sz w:val="32"/>
          <w:szCs w:val="32"/>
        </w:rPr>
      </w:pPr>
      <w:r>
        <w:rPr>
          <w:rStyle w:val="5"/>
          <w:rFonts w:hint="eastAsia" w:ascii="方正黑体_GBK" w:eastAsia="方正黑体_GBK"/>
          <w:b w:val="0"/>
          <w:bCs w:val="0"/>
          <w:sz w:val="32"/>
          <w:szCs w:val="32"/>
          <w:shd w:val="clear" w:color="auto" w:fill="FFFFFF"/>
        </w:rPr>
        <w:t>二、部门决算情况说明</w:t>
      </w:r>
    </w:p>
    <w:p>
      <w:pPr>
        <w:pStyle w:val="2"/>
        <w:autoSpaceDE w:val="0"/>
        <w:spacing w:before="93" w:beforeLines="30" w:beforeAutospacing="0" w:after="93" w:afterLines="30" w:afterAutospacing="0"/>
        <w:rPr>
          <w:rFonts w:hint="eastAsia" w:ascii="方正楷体_GBK" w:eastAsia="方正楷体_GBK"/>
          <w:sz w:val="32"/>
          <w:szCs w:val="32"/>
        </w:rPr>
      </w:pPr>
      <w:r>
        <w:rPr>
          <w:rStyle w:val="5"/>
          <w:rFonts w:hint="eastAsia" w:ascii="方正楷体_GBK" w:eastAsia="方正楷体_GBK"/>
          <w:b w:val="0"/>
          <w:bCs w:val="0"/>
          <w:sz w:val="32"/>
          <w:szCs w:val="32"/>
          <w:shd w:val="clear" w:color="auto" w:fill="FFFFFF"/>
        </w:rPr>
        <w:t>（一）收入支出决算总体情况说明</w:t>
      </w:r>
    </w:p>
    <w:p>
      <w:pPr>
        <w:pStyle w:val="2"/>
        <w:autoSpaceDE w:val="0"/>
        <w:spacing w:before="0" w:beforeAutospacing="0"/>
        <w:rPr>
          <w:rFonts w:hint="eastAsia" w:ascii="方正仿宋_GBK" w:eastAsia="方正仿宋_GBK"/>
          <w:color w:val="333333"/>
          <w:kern w:val="2"/>
          <w:sz w:val="32"/>
          <w:szCs w:val="32"/>
        </w:rPr>
      </w:pPr>
      <w:r>
        <w:rPr>
          <w:rStyle w:val="5"/>
          <w:rFonts w:hint="eastAsia" w:ascii="方正黑体_GBK" w:eastAsia="方正黑体_GBK"/>
          <w:b w:val="0"/>
          <w:bCs w:val="0"/>
          <w:sz w:val="32"/>
          <w:szCs w:val="32"/>
          <w:shd w:val="clear" w:color="auto" w:fill="FFFFFF"/>
        </w:rPr>
        <w:t>1.总体情况</w:t>
      </w:r>
      <w:r>
        <w:rPr>
          <w:rFonts w:hint="eastAsia" w:ascii="方正黑体_GBK" w:eastAsia="方正黑体_GBK"/>
          <w:sz w:val="32"/>
          <w:szCs w:val="32"/>
          <w:shd w:val="clear" w:color="auto" w:fill="FFFFFF"/>
        </w:rPr>
        <w:t>。</w:t>
      </w:r>
      <w:r>
        <w:rPr>
          <w:rFonts w:hint="eastAsia" w:ascii="方正仿宋_GBK" w:eastAsia="方正仿宋_GBK"/>
          <w:color w:val="333333"/>
          <w:kern w:val="2"/>
          <w:sz w:val="32"/>
          <w:szCs w:val="32"/>
        </w:rPr>
        <w:t>2020年度收入总计1,733.03万元，支出总计1,733.03万元。收支较上年决算数减少463.41万元、下降21.1%，主要原因是主要原因是一方面落实财政过紧日子要求，压减项目支出，减少不必要的项目开展，提高项目开展质量。另一方面则是人员调出、在职转退休、一般性支出压减等因素，导致基本支出减少。</w:t>
      </w:r>
    </w:p>
    <w:p>
      <w:pPr>
        <w:autoSpaceDE w:val="0"/>
        <w:rPr>
          <w:rFonts w:hint="eastAsia" w:ascii="方正仿宋_GBK" w:eastAsia="方正仿宋_GBK"/>
          <w:color w:val="333333"/>
          <w:kern w:val="2"/>
          <w:sz w:val="32"/>
          <w:szCs w:val="32"/>
        </w:rPr>
      </w:pPr>
      <w:r>
        <w:rPr>
          <w:rStyle w:val="5"/>
          <w:rFonts w:hint="eastAsia" w:ascii="方正黑体_GBK" w:eastAsia="方正黑体_GBK"/>
          <w:b w:val="0"/>
          <w:bCs w:val="0"/>
          <w:sz w:val="32"/>
          <w:szCs w:val="32"/>
          <w:shd w:val="clear" w:color="auto" w:fill="FFFFFF"/>
        </w:rPr>
        <w:t>2.收入情况。</w:t>
      </w:r>
      <w:r>
        <w:rPr>
          <w:rFonts w:hint="eastAsia" w:ascii="方正仿宋_GBK" w:eastAsia="方正仿宋_GBK"/>
          <w:color w:val="333333"/>
          <w:kern w:val="2"/>
          <w:sz w:val="32"/>
          <w:szCs w:val="32"/>
        </w:rPr>
        <w:t>2020年度收入合计1,733.03万元，较上年决算数减少429.44万元，下降19.9%，主要原因主要原因是一方面落实财政过紧日子要求，压减一般性支出。另一方面则是人员调出、在职转退休等所致。其中：财政拨款收入1,733.03万元，占100%。</w:t>
      </w:r>
    </w:p>
    <w:p>
      <w:pPr>
        <w:rPr>
          <w:rFonts w:hint="eastAsia" w:ascii="方正仿宋_GBK" w:eastAsia="方正仿宋_GBK"/>
          <w:color w:val="333333"/>
          <w:kern w:val="2"/>
          <w:sz w:val="32"/>
          <w:szCs w:val="32"/>
        </w:rPr>
      </w:pPr>
      <w:r>
        <w:rPr>
          <w:rStyle w:val="5"/>
          <w:rFonts w:hint="eastAsia" w:ascii="方正黑体_GBK" w:eastAsia="方正黑体_GBK"/>
          <w:b w:val="0"/>
          <w:bCs w:val="0"/>
          <w:sz w:val="32"/>
          <w:szCs w:val="32"/>
          <w:shd w:val="clear" w:color="auto" w:fill="FFFFFF"/>
        </w:rPr>
        <w:t>3.支出情况。</w:t>
      </w:r>
      <w:r>
        <w:rPr>
          <w:rFonts w:hint="eastAsia" w:ascii="方正仿宋_GBK" w:eastAsia="方正仿宋_GBK"/>
          <w:color w:val="333333"/>
          <w:kern w:val="2"/>
          <w:sz w:val="32"/>
          <w:szCs w:val="32"/>
        </w:rPr>
        <w:t>2020年度支出合计1,700.73万元，较上年决算数减少495.71万元，下降22.6%，主要原因是一方面落实财政过紧日子要求，压减一般性支出。另一方面则是人员调出、在职转退休等所致。其中：基本支出447.73万元，占26.3%；项目支出1,253.00万元，占73.7%。</w:t>
      </w:r>
    </w:p>
    <w:p>
      <w:pPr>
        <w:pStyle w:val="2"/>
        <w:spacing w:before="0" w:beforeAutospacing="0"/>
        <w:rPr>
          <w:rFonts w:hint="eastAsia" w:ascii="方正仿宋_GBK" w:eastAsia="方正仿宋_GBK"/>
          <w:color w:val="333333"/>
          <w:kern w:val="2"/>
          <w:sz w:val="32"/>
          <w:szCs w:val="32"/>
        </w:rPr>
      </w:pPr>
      <w:r>
        <w:rPr>
          <w:rStyle w:val="5"/>
          <w:rFonts w:hint="eastAsia" w:ascii="方正黑体_GBK" w:eastAsia="方正黑体_GBK"/>
          <w:b w:val="0"/>
          <w:bCs w:val="0"/>
          <w:sz w:val="32"/>
          <w:szCs w:val="32"/>
          <w:shd w:val="clear" w:color="auto" w:fill="FFFFFF"/>
        </w:rPr>
        <w:t>4.结转结余情况。</w:t>
      </w:r>
      <w:r>
        <w:rPr>
          <w:rFonts w:hint="eastAsia" w:ascii="方正仿宋_GBK" w:eastAsia="方正仿宋_GBK"/>
          <w:color w:val="333333"/>
          <w:kern w:val="2"/>
          <w:sz w:val="32"/>
          <w:szCs w:val="32"/>
        </w:rPr>
        <w:t>2020年度年末结转和结余32.30万元，较上年决算数增加32.30万元，增长100%，主要原因是地震风险补偿资金需项目验收成功后拨付，项目资金结转至2021年。</w:t>
      </w:r>
    </w:p>
    <w:p>
      <w:pPr>
        <w:pStyle w:val="2"/>
        <w:autoSpaceDE w:val="0"/>
        <w:spacing w:before="93" w:beforeLines="30" w:beforeAutospacing="0" w:after="93" w:afterLines="30" w:afterAutospacing="0"/>
        <w:rPr>
          <w:rStyle w:val="5"/>
          <w:rFonts w:hint="eastAsia" w:ascii="方正楷体_GBK" w:eastAsia="方正楷体_GBK"/>
          <w:b w:val="0"/>
          <w:bCs w:val="0"/>
          <w:shd w:val="clear" w:color="auto" w:fill="FFFFFF"/>
        </w:rPr>
      </w:pPr>
      <w:r>
        <w:rPr>
          <w:rStyle w:val="5"/>
          <w:rFonts w:hint="eastAsia" w:ascii="方正楷体_GBK" w:eastAsia="方正楷体_GBK"/>
          <w:b w:val="0"/>
          <w:bCs w:val="0"/>
          <w:sz w:val="32"/>
          <w:szCs w:val="32"/>
          <w:shd w:val="clear" w:color="auto" w:fill="FFFFFF"/>
        </w:rPr>
        <w:t>（二）财政拨款收入支出决算总体情况说明</w:t>
      </w:r>
    </w:p>
    <w:p>
      <w:pPr>
        <w:pStyle w:val="2"/>
        <w:autoSpaceDE w:val="0"/>
        <w:spacing w:before="0" w:beforeAutospacing="0"/>
        <w:ind w:firstLine="640" w:firstLineChars="200"/>
        <w:rPr>
          <w:rFonts w:hint="eastAsia" w:ascii="方正仿宋_GBK" w:eastAsia="方正仿宋_GBK"/>
          <w:color w:val="000000"/>
        </w:rPr>
      </w:pPr>
      <w:r>
        <w:rPr>
          <w:rFonts w:hint="eastAsia" w:ascii="方正仿宋_GBK" w:eastAsia="方正仿宋_GBK"/>
          <w:sz w:val="32"/>
          <w:szCs w:val="32"/>
          <w:shd w:val="clear" w:color="auto" w:fill="FFFFFF"/>
        </w:rPr>
        <w:t>2020年度财政拨款收、支总计1,733.03万元。与2019年相比，财政拨款收、支总计各减少463.41万元，下降21.1%。主要原因是</w:t>
      </w:r>
      <w:r>
        <w:rPr>
          <w:rFonts w:hint="eastAsia" w:ascii="方正仿宋_GBK" w:eastAsia="方正仿宋_GBK"/>
          <w:color w:val="000000"/>
          <w:sz w:val="32"/>
          <w:szCs w:val="32"/>
        </w:rPr>
        <w:t>一方面落实财政过紧日子要求，压减一般性支出。另一方面则是人员调出、在职转退休等所致。</w:t>
      </w:r>
    </w:p>
    <w:p>
      <w:pPr>
        <w:pStyle w:val="2"/>
        <w:autoSpaceDE w:val="0"/>
        <w:spacing w:before="0" w:beforeAutospacing="0"/>
        <w:rPr>
          <w:rFonts w:hint="eastAsia" w:ascii="方正楷体_GBK" w:eastAsia="方正楷体_GBK"/>
          <w:sz w:val="32"/>
          <w:szCs w:val="32"/>
        </w:rPr>
      </w:pPr>
      <w:r>
        <w:rPr>
          <w:rStyle w:val="5"/>
          <w:rFonts w:hint="eastAsia" w:ascii="方正楷体_GBK" w:eastAsia="方正楷体_GBK"/>
          <w:b w:val="0"/>
          <w:bCs w:val="0"/>
          <w:sz w:val="32"/>
          <w:szCs w:val="32"/>
          <w:shd w:val="clear" w:color="auto" w:fill="FFFFFF"/>
        </w:rPr>
        <w:t>（三）一般公共预算财政拨款支出决算情况说明</w:t>
      </w:r>
    </w:p>
    <w:p>
      <w:pPr>
        <w:pStyle w:val="2"/>
        <w:autoSpaceDE w:val="0"/>
        <w:spacing w:before="0" w:beforeAutospacing="0"/>
        <w:rPr>
          <w:rFonts w:hint="eastAsia" w:ascii="方正仿宋_GBK" w:eastAsia="方正仿宋_GBK"/>
          <w:sz w:val="32"/>
          <w:szCs w:val="32"/>
          <w:shd w:val="clear" w:color="auto" w:fill="FFFFFF"/>
        </w:rPr>
      </w:pPr>
      <w:r>
        <w:rPr>
          <w:rStyle w:val="5"/>
          <w:rFonts w:hint="eastAsia" w:ascii="方正黑体_GBK" w:eastAsia="方正黑体_GBK"/>
          <w:b w:val="0"/>
          <w:bCs w:val="0"/>
          <w:sz w:val="32"/>
          <w:szCs w:val="32"/>
          <w:shd w:val="clear" w:color="auto" w:fill="FFFFFF"/>
        </w:rPr>
        <w:t>1.收入情况。</w:t>
      </w:r>
      <w:r>
        <w:rPr>
          <w:rFonts w:hint="eastAsia" w:ascii="方正仿宋_GBK" w:eastAsia="方正仿宋_GBK"/>
          <w:sz w:val="32"/>
          <w:szCs w:val="32"/>
          <w:shd w:val="clear" w:color="auto" w:fill="FFFFFF"/>
        </w:rPr>
        <w:t>2020年度一般公共预算财政拨款收入1,104.03万元，较上年决算数减少1,058.44万元，下降48.9%。主要原因是一方面落实财政过紧日子要求，压减一般性支出。另一方面则是人员调出、在职转退休等所致。较年初预算数 减少587.41万元，下降34.7%。主要原因是一方面落实财政过紧日子要求，压减一般性支出。另一方面则是人员调出、在职转退休等所致。此外，年初财政拨款结转和结余0.00万元。</w:t>
      </w:r>
    </w:p>
    <w:p>
      <w:pPr>
        <w:pStyle w:val="2"/>
        <w:autoSpaceDE w:val="0"/>
        <w:spacing w:before="0" w:beforeAutospacing="0"/>
        <w:rPr>
          <w:rFonts w:hint="eastAsia" w:ascii="方正仿宋_GBK" w:eastAsia="方正仿宋_GBK"/>
          <w:sz w:val="32"/>
          <w:szCs w:val="32"/>
          <w:shd w:val="clear" w:color="auto" w:fill="FFFFFF"/>
        </w:rPr>
      </w:pPr>
      <w:r>
        <w:rPr>
          <w:rStyle w:val="5"/>
          <w:rFonts w:hint="eastAsia" w:ascii="方正黑体_GBK" w:eastAsia="方正黑体_GBK"/>
          <w:b w:val="0"/>
          <w:bCs w:val="0"/>
          <w:sz w:val="32"/>
          <w:szCs w:val="32"/>
          <w:shd w:val="clear" w:color="auto" w:fill="FFFFFF"/>
        </w:rPr>
        <w:t>2.支出情况。</w:t>
      </w:r>
      <w:r>
        <w:rPr>
          <w:rFonts w:hint="eastAsia" w:ascii="方正仿宋_GBK" w:eastAsia="方正仿宋_GBK"/>
          <w:sz w:val="32"/>
          <w:szCs w:val="32"/>
          <w:shd w:val="clear" w:color="auto" w:fill="FFFFFF"/>
        </w:rPr>
        <w:t>2020年度一般公共预算财政拨款支出1,071.73万元，较上年决算数减少1,124.71万元，下降51.2%。主要原因是一方面落实财政过紧日子要求，压减一般性支出。另一方面则是人员调出、在职转退休等所致。较年初预算数 减少619.71万 元，下降36.6%。主要原因是一方面落实财政过紧日子要求，压减一般性支出。另一方面则是人员调出、在职转退休等所致。</w:t>
      </w:r>
    </w:p>
    <w:p>
      <w:pPr>
        <w:pStyle w:val="2"/>
        <w:autoSpaceDE w:val="0"/>
        <w:spacing w:before="0" w:beforeAutospacing="0"/>
        <w:rPr>
          <w:rStyle w:val="5"/>
          <w:rFonts w:hint="eastAsia" w:ascii="方正黑体_GBK" w:eastAsia="方正黑体_GBK"/>
          <w:b w:val="0"/>
          <w:bCs w:val="0"/>
        </w:rPr>
      </w:pPr>
      <w:r>
        <w:rPr>
          <w:rStyle w:val="5"/>
          <w:rFonts w:hint="eastAsia" w:ascii="方正黑体_GBK" w:eastAsia="方正黑体_GBK"/>
          <w:b w:val="0"/>
          <w:bCs w:val="0"/>
          <w:sz w:val="32"/>
          <w:szCs w:val="32"/>
          <w:shd w:val="clear" w:color="auto" w:fill="FFFFFF"/>
        </w:rPr>
        <w:t>3.结转结余情况。</w:t>
      </w:r>
      <w:r>
        <w:rPr>
          <w:rFonts w:hint="eastAsia" w:ascii="方正仿宋_GBK" w:eastAsia="方正仿宋_GBK"/>
          <w:sz w:val="32"/>
          <w:szCs w:val="32"/>
          <w:shd w:val="clear" w:color="auto" w:fill="FFFFFF"/>
        </w:rPr>
        <w:t>2020年度年末一般公共预算财政拨款结转和结余32.30万元，较上年决算数增加32.30万元，主要原因是地震风险补偿资金需项目验收成功后拨付，项目资金结转至2021年。</w:t>
      </w:r>
    </w:p>
    <w:p>
      <w:pPr>
        <w:pStyle w:val="2"/>
        <w:autoSpaceDE w:val="0"/>
        <w:spacing w:before="0" w:beforeAutospacing="0"/>
        <w:rPr>
          <w:rFonts w:hint="eastAsia" w:ascii="方正仿宋_GBK" w:eastAsia="方正仿宋_GBK"/>
        </w:rPr>
      </w:pPr>
      <w:r>
        <w:rPr>
          <w:rStyle w:val="5"/>
          <w:rFonts w:hint="eastAsia" w:ascii="方正黑体_GBK" w:eastAsia="方正黑体_GBK"/>
          <w:b w:val="0"/>
          <w:bCs w:val="0"/>
          <w:sz w:val="32"/>
          <w:szCs w:val="32"/>
          <w:shd w:val="clear" w:color="auto" w:fill="FFFFFF"/>
        </w:rPr>
        <w:t>4.比较情况。</w:t>
      </w:r>
      <w:r>
        <w:rPr>
          <w:rFonts w:hint="eastAsia" w:ascii="方正仿宋_GBK" w:eastAsia="方正仿宋_GBK"/>
          <w:sz w:val="32"/>
          <w:szCs w:val="32"/>
          <w:shd w:val="clear" w:color="auto" w:fill="FFFFFF"/>
        </w:rPr>
        <w:t>本部门2020年度一般公共预算财政拨款支出主要用于以下几个方面：</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（1）科学技术支出936.04万元，占87.4%，较年初预算数减少614.53万元，下降39.6%，主要原因是落实财政过紧日子要求，压减项目中管理费用及三公费用。</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2）社会保障与就业支出93.50万元，占8.7%，较年初预算数增加19.86万元，增长27%，主要原因是对工资福利、社保基数等进行了调整规范；对2019年账务系统中部分其他商品与服务支出科目进行规范，2020年调整为人员经费。</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（3）卫生健康支出23.68万元，占2.2%，较年初预算数减少11.29万元，下降32.3%，主要原因是人员调出、在职转退休等所致。</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（4）住房保障支出18.51万元，占1.7%，较年初预算数减少13.76万元，下降42.6%，主要原因是人员调出、在职转退休等所致。</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（四）一般公共预算财政拨款基本支出决算情况说明</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2020年度一般公共财政拨款基本支出447.73万元。其中：人员经费374.26万元，较上年决算数增加56.17万元，增长17.7%，主要原因是对工资福利、社保基数等进行了调整规范；对2019年账务系统中部分其他商品与服务支出科目进行规范，2020年调整为人员经费。人员经费用途主要包括基本工资、津贴补贴、奖金、社会保障缴费等。公用经费73.47万元，较上年决算数减少21.53万元，下降22.7%，主要原因一方面落实财政过紧日子要求，压减一般性支出。另一方面则是人员调出、在职转退休等所致。公用经费用途主要包括办公费、印刷费、差旅费、公务接待费、公务车运行及维护费等。</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（五）政府性基金预算收支决算情况说明</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2020年度政府性基金预算财政拨款年初结转结余0.00万元，年末结转结余0.00万元。本年收入629.00万元，较上年决算数增加629.00万元，增长100%，主要原因是今年新增了政府基金预算629万元。（根据渝财预【2020】23号、合川财预产金【2020】323号、合川财预产金【2020】696号文件精神，追加和调剂的2020年抗疫特别国债资金）。</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本年支出629.00万元，较上年决算数增加629.00万元，增长%，主要原因是今年新增了政府基金预算629万元。（根据渝财预【2020】23号、合川财预产金【2020】323号、合川财预产金【2020】696号文件精神，追加和调剂的2020年抗疫特别国债资金）</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（六）国有资本经营预算财政拨款支出决算情况说明</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本部门2020年度无国有资本经营预算财政拨款支出。</w:t>
      </w:r>
    </w:p>
    <w:p>
      <w:pPr>
        <w:pStyle w:val="2"/>
        <w:spacing w:before="0" w:beforeAutospacing="0"/>
        <w:rPr>
          <w:rFonts w:ascii="方正黑体_GBK" w:eastAsia="方正黑体_GBK"/>
          <w:sz w:val="32"/>
          <w:szCs w:val="32"/>
        </w:rPr>
      </w:pPr>
      <w:r>
        <w:rPr>
          <w:rStyle w:val="5"/>
          <w:rFonts w:hint="eastAsia" w:ascii="方正黑体_GBK" w:eastAsia="方正黑体_GBK"/>
          <w:b w:val="0"/>
          <w:bCs w:val="0"/>
          <w:sz w:val="32"/>
          <w:szCs w:val="32"/>
          <w:shd w:val="clear" w:color="auto" w:fill="FFFFFF"/>
        </w:rPr>
        <w:t>三、“三公”经费情况说明</w:t>
      </w:r>
    </w:p>
    <w:p>
      <w:pPr>
        <w:pStyle w:val="2"/>
        <w:autoSpaceDE w:val="0"/>
        <w:spacing w:before="93" w:beforeLines="30" w:beforeAutospacing="0" w:after="93" w:afterLines="30" w:afterAutospacing="0"/>
        <w:rPr>
          <w:rStyle w:val="5"/>
          <w:rFonts w:hint="eastAsia" w:ascii="方正楷体_GBK" w:eastAsia="方正楷体_GBK"/>
          <w:b w:val="0"/>
          <w:bCs w:val="0"/>
          <w:shd w:val="clear" w:color="auto" w:fill="FFFFFF"/>
        </w:rPr>
      </w:pPr>
      <w:r>
        <w:rPr>
          <w:rStyle w:val="5"/>
          <w:rFonts w:hint="eastAsia" w:ascii="方正楷体_GBK" w:eastAsia="方正楷体_GBK"/>
          <w:b w:val="0"/>
          <w:bCs w:val="0"/>
          <w:sz w:val="32"/>
          <w:szCs w:val="32"/>
          <w:shd w:val="clear" w:color="auto" w:fill="FFFFFF"/>
        </w:rPr>
        <w:t>（一）“三公”经费支出总体情况说明</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2020年度“三公”经费支出共计4.83万元，较年初预算数减少18.17万元，下降79%；较上年支出数减少3.14万元，下降39.4%，较年初预算和上年决算下降的主要原因是一是认真贯彻落实中央八项规定精神和厉行节约要求，按照只减不增的要求从严控制三公经费，全年实际支出较预算和决算均有所下降。二是强化公务接待支出管理，严格遵守公务接待开支范围和开支标准，严格控制陪餐人数，对应由接待对象承担的费用一律由接待对象自行支付，公务接待费大幅下降。</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（二）“三公”经费分项支出情况</w:t>
      </w:r>
    </w:p>
    <w:p>
      <w:pPr>
        <w:pStyle w:val="2"/>
        <w:autoSpaceDE w:val="0"/>
        <w:spacing w:before="0" w:beforeAutospacing="0"/>
        <w:ind w:firstLine="640" w:firstLineChars="200"/>
        <w:rPr>
          <w:rFonts w:hint="eastAsia" w:ascii="方正仿宋_GBK" w:eastAsia="方正仿宋_GBK"/>
          <w:sz w:val="32"/>
          <w:szCs w:val="32"/>
          <w:shd w:val="clear" w:color="auto" w:fill="FFFFFF"/>
        </w:rPr>
      </w:pP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firstLine="720" w:firstLineChars="225"/>
        <w:outlineLvl w:val="9"/>
        <w:rPr>
          <w:rFonts w:hint="eastAsia" w:ascii="方正仿宋_GBK" w:eastAsia="方正仿宋_GBK"/>
          <w:sz w:val="32"/>
          <w:szCs w:val="32"/>
        </w:rPr>
      </w:pPr>
      <w:r>
        <w:rPr>
          <w:rFonts w:hint="eastAsia" w:ascii="方正仿宋_GBK" w:eastAsia="方正仿宋_GBK"/>
          <w:sz w:val="32"/>
          <w:szCs w:val="32"/>
          <w:shd w:val="clear" w:color="auto" w:fill="FFFFFF"/>
        </w:rPr>
        <w:t>2020年度本部门因公出国（境）费用0.00万元，费用支出较年初预算数增加0.00万元，</w:t>
      </w:r>
      <w:r>
        <w:rPr>
          <w:rFonts w:hint="eastAsia" w:ascii="方正仿宋_GBK" w:eastAsia="方正仿宋_GBK"/>
          <w:color w:val="252525"/>
          <w:sz w:val="32"/>
          <w:szCs w:val="32"/>
          <w:shd w:val="clear" w:color="auto" w:fill="FFFFFF"/>
        </w:rPr>
        <w:t>增长0.00%</w:t>
      </w:r>
      <w:r>
        <w:rPr>
          <w:rFonts w:hint="eastAsia" w:ascii="方正仿宋_GBK" w:eastAsia="方正仿宋_GBK"/>
          <w:color w:val="252525"/>
          <w:sz w:val="32"/>
          <w:szCs w:val="32"/>
          <w:shd w:val="clear" w:color="auto" w:fill="FFFFFF"/>
          <w:lang w:eastAsia="zh-CN"/>
        </w:rPr>
        <w:t>，</w:t>
      </w:r>
      <w:r>
        <w:rPr>
          <w:rFonts w:hint="eastAsia" w:ascii="方正仿宋_GBK" w:eastAsia="方正仿宋_GBK"/>
          <w:color w:val="252525"/>
          <w:sz w:val="32"/>
          <w:szCs w:val="32"/>
          <w:shd w:val="clear" w:color="auto" w:fill="FFFFFF"/>
        </w:rPr>
        <w:t>本单位2020年无因公出国支出</w:t>
      </w:r>
      <w:r>
        <w:rPr>
          <w:rFonts w:hint="eastAsia" w:ascii="方正仿宋_GBK" w:eastAsia="方正仿宋_GBK"/>
          <w:sz w:val="32"/>
          <w:szCs w:val="32"/>
          <w:shd w:val="clear" w:color="auto" w:fill="FFFFFF"/>
        </w:rPr>
        <w:t>。</w:t>
      </w:r>
    </w:p>
    <w:p>
      <w:pPr>
        <w:pStyle w:val="6"/>
        <w:keepNext w:val="0"/>
        <w:keepLines w:val="0"/>
        <w:pageBreakBefore w:val="0"/>
        <w:kinsoku/>
        <w:wordWrap/>
        <w:overflowPunct/>
        <w:topLinePunct w:val="0"/>
        <w:autoSpaceDE w:val="0"/>
        <w:autoSpaceDN/>
        <w:bidi w:val="0"/>
        <w:adjustRightInd/>
        <w:snapToGrid/>
        <w:spacing w:before="0" w:beforeAutospacing="0" w:after="0" w:afterAutospacing="0" w:line="540" w:lineRule="exact"/>
        <w:ind w:firstLine="720" w:firstLineChars="225"/>
        <w:outlineLvl w:val="9"/>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2020年度本部门公务车购置费用0.00万元，费用支出较年初预算数增加0.00万元，</w:t>
      </w:r>
      <w:r>
        <w:rPr>
          <w:rFonts w:hint="eastAsia" w:ascii="方正仿宋_GBK" w:eastAsia="方正仿宋_GBK"/>
          <w:color w:val="252525"/>
          <w:sz w:val="32"/>
          <w:szCs w:val="32"/>
          <w:shd w:val="clear" w:color="auto" w:fill="FFFFFF"/>
        </w:rPr>
        <w:t>增长0.00%</w:t>
      </w:r>
      <w:r>
        <w:rPr>
          <w:rFonts w:hint="eastAsia" w:ascii="方正仿宋_GBK" w:eastAsia="方正仿宋_GBK"/>
          <w:color w:val="252525"/>
          <w:sz w:val="32"/>
          <w:szCs w:val="32"/>
          <w:shd w:val="clear" w:color="auto" w:fill="FFFFFF"/>
          <w:lang w:eastAsia="zh-CN"/>
        </w:rPr>
        <w:t>，</w:t>
      </w:r>
      <w:r>
        <w:rPr>
          <w:rFonts w:hint="eastAsia" w:ascii="方正仿宋_GBK" w:eastAsia="方正仿宋_GBK"/>
          <w:color w:val="252525"/>
          <w:sz w:val="32"/>
          <w:szCs w:val="32"/>
          <w:shd w:val="clear" w:color="auto" w:fill="FFFFFF"/>
        </w:rPr>
        <w:t>本单位2020年无</w:t>
      </w:r>
      <w:r>
        <w:rPr>
          <w:rFonts w:hint="eastAsia" w:ascii="方正仿宋_GBK" w:eastAsia="方正仿宋_GBK"/>
          <w:sz w:val="32"/>
          <w:szCs w:val="32"/>
          <w:shd w:val="clear" w:color="auto" w:fill="FFFFFF"/>
        </w:rPr>
        <w:t>公务车购置费用。</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公务车运行维护费2.12万元，主要用于机要文件交换、市内因公出行、项目验收等工作所需车辆的燃料费、维修费、过桥过路费、保险费等。费用支出较年初预算数减少2.88万元，下降57.6%，较上年支出数减少1.46万元，下降40.8%，主要原因是今年的项目验收、应急执法等活动较上年有所减少。</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公务接待费2.71万元，主要用于接待市科技局领导来合调研、招商引资、创建国家高新区等。费用支出较年初预算数减少15.29万元，下降84.9%，较上年支出数减少1.68万元，下降38.3%，主要原因是强化公务接待支出管理，严格遵守公务接待开支范围和开支标准，严格控制陪餐人数。</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（三）“三公”经费实物量情况</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2020年度本部门因公出国（境）共计0个团组，0人；公务用车购置0辆，公务车保有量为1辆；国内公务接待67批次339人，其中：国内外事接待0批次，0人；国（境）外公务接待0批次，0人。2020年本部门人均接待费79.81元，车均购置费0.00万元，车均维护费2.12万元。</w:t>
      </w:r>
    </w:p>
    <w:p>
      <w:pPr>
        <w:pStyle w:val="2"/>
        <w:spacing w:before="0" w:beforeAutospacing="0"/>
        <w:rPr>
          <w:rFonts w:hint="eastAsia" w:ascii="方正黑体_GBK" w:eastAsia="方正黑体_GBK"/>
          <w:sz w:val="32"/>
          <w:szCs w:val="32"/>
        </w:rPr>
      </w:pPr>
      <w:r>
        <w:rPr>
          <w:rStyle w:val="5"/>
          <w:rFonts w:hint="eastAsia" w:ascii="方正黑体_GBK" w:eastAsia="方正黑体_GBK"/>
          <w:b w:val="0"/>
          <w:bCs w:val="0"/>
          <w:sz w:val="32"/>
          <w:szCs w:val="32"/>
          <w:shd w:val="clear" w:color="auto" w:fill="FFFFFF"/>
        </w:rPr>
        <w:t>四、其他需要说明的事项</w:t>
      </w:r>
    </w:p>
    <w:p>
      <w:pPr>
        <w:pStyle w:val="2"/>
        <w:autoSpaceDE w:val="0"/>
        <w:spacing w:before="93" w:beforeLines="30" w:beforeAutospacing="0" w:after="93" w:afterLines="30" w:afterAutospacing="0"/>
        <w:rPr>
          <w:rStyle w:val="5"/>
          <w:rFonts w:hint="eastAsia" w:ascii="方正楷体_GBK" w:eastAsia="方正楷体_GBK"/>
          <w:b w:val="0"/>
          <w:bCs w:val="0"/>
          <w:shd w:val="clear" w:color="auto" w:fill="FFFFFF"/>
        </w:rPr>
      </w:pPr>
      <w:r>
        <w:rPr>
          <w:rStyle w:val="5"/>
          <w:rFonts w:hint="eastAsia" w:ascii="方正楷体_GBK" w:eastAsia="方正楷体_GBK"/>
          <w:b w:val="0"/>
          <w:bCs w:val="0"/>
          <w:sz w:val="32"/>
          <w:szCs w:val="32"/>
          <w:shd w:val="clear" w:color="auto" w:fill="FFFFFF"/>
        </w:rPr>
        <w:t>（一）机关运行经费情况说明</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2020年度本部门机关运行经费支出73.47万元，机关运行经费主要用于开支办公费、公务车运行维护费、印刷费等。机关运行经费较上年决算数减少21.53万元，下降22.7%，主要原因是认真贯彻落实中央八项规定精神和厉行节约要求，减少机关运行经费。</w:t>
      </w:r>
    </w:p>
    <w:p>
      <w:pPr>
        <w:pStyle w:val="2"/>
        <w:autoSpaceDE w:val="0"/>
        <w:spacing w:before="0" w:beforeAutospacing="0"/>
        <w:ind w:firstLine="640" w:firstLineChars="200"/>
        <w:rPr>
          <w:rFonts w:hint="eastAsia" w:ascii="方正仿宋_GBK" w:eastAsia="方正仿宋_GBK"/>
          <w:sz w:val="32"/>
          <w:szCs w:val="32"/>
          <w:shd w:val="clear" w:color="auto" w:fill="FFFFFF"/>
        </w:rPr>
      </w:pPr>
      <w:r>
        <w:rPr>
          <w:rFonts w:hint="eastAsia" w:ascii="方正仿宋_GBK" w:eastAsia="方正仿宋_GBK"/>
          <w:sz w:val="32"/>
          <w:szCs w:val="32"/>
          <w:shd w:val="clear" w:color="auto" w:fill="FFFFFF"/>
        </w:rPr>
        <w:t>本年度会议费支出0.11万元，较上年决算数增加0.07万元，增长175%，主要原因是上年账务中将部分会议费和培训费等相关项目费用纳入其他商品与服务费用，今年对相关科目进行规范。本年度培训费支出0.71万元，较上年决算数增加0.34万元，增长91.9%，主要原因是上年账务中将部分会议费和培训费等相关项目费用纳入其他商品与服务费用，今年对相关科目进行规范。</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（二）国有资产占用情况说明</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截至2020年12月31日，本部门共有车辆1辆，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（三）政府采购支出情况说明</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2020年度本部门政府采购支出总额158.30万元，其中：政府采购货物支出0.00万元、政府采购工程支出0.00万元、政府采购服务支出158.30万元。授予中小企业合同金额0.00万元，占政府采购支出总额的0%，其中：授予小微企业合同金额 0.00万元，占政府采购支出总额的0%。主要用于采购工业园区区域地震安全性评估。</w:t>
      </w:r>
    </w:p>
    <w:p>
      <w:pPr>
        <w:pStyle w:val="2"/>
        <w:spacing w:before="0" w:beforeAutospacing="0"/>
        <w:rPr>
          <w:rFonts w:hint="eastAsia" w:ascii="方正黑体_GBK" w:eastAsia="方正黑体_GBK"/>
          <w:sz w:val="32"/>
          <w:szCs w:val="32"/>
        </w:rPr>
      </w:pPr>
      <w:r>
        <w:rPr>
          <w:rStyle w:val="5"/>
          <w:rFonts w:hint="eastAsia" w:ascii="方正黑体_GBK" w:eastAsia="方正黑体_GBK"/>
          <w:b w:val="0"/>
          <w:bCs w:val="0"/>
          <w:sz w:val="32"/>
          <w:szCs w:val="32"/>
          <w:shd w:val="clear" w:color="auto" w:fill="FFFFFF"/>
        </w:rPr>
        <w:t>五、预算绩效管理情况说明</w:t>
      </w:r>
    </w:p>
    <w:p>
      <w:pPr>
        <w:pStyle w:val="2"/>
        <w:autoSpaceDE w:val="0"/>
        <w:spacing w:before="93" w:beforeLines="30" w:beforeAutospacing="0" w:after="93" w:afterLines="30" w:afterAutospacing="0"/>
        <w:rPr>
          <w:rStyle w:val="5"/>
          <w:rFonts w:hint="eastAsia" w:ascii="方正楷体_GBK" w:eastAsia="方正楷体_GBK"/>
          <w:b w:val="0"/>
          <w:bCs w:val="0"/>
          <w:shd w:val="clear" w:color="auto" w:fill="FFFFFF"/>
        </w:rPr>
      </w:pPr>
      <w:r>
        <w:rPr>
          <w:rStyle w:val="5"/>
          <w:rFonts w:hint="eastAsia" w:ascii="方正楷体_GBK" w:eastAsia="方正楷体_GBK"/>
          <w:b w:val="0"/>
          <w:bCs w:val="0"/>
          <w:sz w:val="32"/>
          <w:szCs w:val="32"/>
          <w:shd w:val="clear" w:color="auto" w:fill="FFFFFF"/>
        </w:rPr>
        <w:t>（一）预算绩效管理工作开展情况</w:t>
      </w:r>
    </w:p>
    <w:p>
      <w:pPr>
        <w:pStyle w:val="2"/>
        <w:autoSpaceDE w:val="0"/>
        <w:spacing w:before="0" w:beforeAutospacing="0"/>
        <w:ind w:firstLine="640" w:firstLineChars="200"/>
        <w:rPr>
          <w:rFonts w:hint="eastAsia" w:ascii="方正仿宋_GBK" w:eastAsia="方正仿宋_GBK"/>
        </w:rPr>
      </w:pPr>
      <w:r>
        <w:rPr>
          <w:rFonts w:hint="eastAsia" w:ascii="方正仿宋_GBK" w:eastAsia="方正仿宋_GBK"/>
          <w:sz w:val="32"/>
          <w:szCs w:val="32"/>
          <w:shd w:val="clear" w:color="auto" w:fill="FFFFFF"/>
        </w:rPr>
        <w:t>根据预算绩效管理要求，我单位以填报目标自评表形式对部门整体和8个项目开展绩效自评，涉及资金1253万元。从评价情况来看，2020年我局项目开支管理规范，严格按照预算指标拨付和使用。</w:t>
      </w:r>
    </w:p>
    <w:p>
      <w:pPr>
        <w:pStyle w:val="2"/>
        <w:autoSpaceDE w:val="0"/>
        <w:spacing w:before="93" w:beforeLines="30" w:beforeAutospacing="0" w:after="93" w:afterLines="30" w:afterAutospacing="0"/>
        <w:rPr>
          <w:rStyle w:val="5"/>
          <w:rFonts w:hint="eastAsia" w:ascii="方正楷体_GBK" w:eastAsia="方正楷体_GBK"/>
          <w:b w:val="0"/>
          <w:bCs w:val="0"/>
        </w:rPr>
      </w:pPr>
      <w:r>
        <w:rPr>
          <w:rStyle w:val="5"/>
          <w:rFonts w:hint="eastAsia" w:ascii="方正楷体_GBK" w:eastAsia="方正楷体_GBK"/>
          <w:b w:val="0"/>
          <w:bCs w:val="0"/>
          <w:sz w:val="32"/>
          <w:szCs w:val="32"/>
          <w:shd w:val="clear" w:color="auto" w:fill="FFFFFF"/>
        </w:rPr>
        <w:t>（二）绩效自评结果</w:t>
      </w:r>
    </w:p>
    <w:p>
      <w:pPr>
        <w:pStyle w:val="2"/>
        <w:autoSpaceDE w:val="0"/>
        <w:spacing w:before="0" w:beforeAutospacing="0"/>
        <w:rPr>
          <w:rFonts w:hint="eastAsia" w:ascii="方正仿宋_GBK" w:eastAsia="方正仿宋_GBK"/>
          <w:b/>
          <w:bCs/>
        </w:rPr>
      </w:pPr>
      <w:r>
        <w:rPr>
          <w:rFonts w:hint="eastAsia" w:ascii="方正仿宋_GBK" w:eastAsia="方正仿宋_GBK"/>
          <w:b/>
          <w:bCs/>
          <w:sz w:val="32"/>
          <w:szCs w:val="32"/>
        </w:rPr>
        <w:t>1.</w:t>
      </w:r>
      <w:r>
        <w:rPr>
          <w:rFonts w:hint="eastAsia" w:ascii="方正仿宋_GBK" w:eastAsia="方正仿宋_GBK"/>
          <w:b/>
          <w:bCs/>
          <w:sz w:val="32"/>
          <w:szCs w:val="32"/>
          <w:shd w:val="clear" w:color="auto" w:fill="FFFFFF"/>
        </w:rPr>
        <w:t>绩效自评表</w:t>
      </w:r>
    </w:p>
    <w:p>
      <w:pPr>
        <w:keepNext w:val="0"/>
        <w:keepLines w:val="0"/>
        <w:pageBreakBefore w:val="0"/>
        <w:kinsoku/>
        <w:wordWrap/>
        <w:overflowPunct/>
        <w:topLinePunct w:val="0"/>
        <w:autoSpaceDE w:val="0"/>
        <w:autoSpaceDN/>
        <w:bidi w:val="0"/>
        <w:adjustRightInd/>
        <w:snapToGrid/>
        <w:spacing w:beforeAutospacing="0" w:afterAutospacing="0" w:line="540" w:lineRule="exact"/>
        <w:jc w:val="center"/>
        <w:outlineLvl w:val="9"/>
        <w:rPr>
          <w:rFonts w:hint="eastAsia" w:ascii="方正小标宋_GBK" w:hAnsi="Times New Roman" w:eastAsia="方正小标宋_GBK"/>
          <w:b/>
          <w:bCs/>
          <w:color w:val="auto"/>
          <w:sz w:val="36"/>
          <w:szCs w:val="36"/>
        </w:rPr>
      </w:pPr>
      <w:r>
        <w:rPr>
          <w:rFonts w:hint="eastAsia" w:ascii="方正小标宋_GBK" w:hAnsi="Times New Roman" w:eastAsia="方正小标宋_GBK"/>
          <w:b/>
          <w:bCs/>
          <w:color w:val="auto"/>
          <w:sz w:val="36"/>
          <w:szCs w:val="36"/>
        </w:rPr>
        <w:t>部门整体绩效自评表</w:t>
      </w:r>
    </w:p>
    <w:p>
      <w:pPr>
        <w:keepNext w:val="0"/>
        <w:keepLines w:val="0"/>
        <w:pageBreakBefore w:val="0"/>
        <w:kinsoku/>
        <w:wordWrap/>
        <w:overflowPunct/>
        <w:topLinePunct w:val="0"/>
        <w:autoSpaceDE w:val="0"/>
        <w:autoSpaceDN/>
        <w:bidi w:val="0"/>
        <w:adjustRightInd/>
        <w:snapToGrid/>
        <w:spacing w:beforeAutospacing="0" w:afterAutospacing="0" w:line="540" w:lineRule="exact"/>
        <w:jc w:val="center"/>
        <w:outlineLvl w:val="9"/>
        <w:rPr>
          <w:rFonts w:hint="eastAsia" w:ascii="方正小标宋_GBK" w:hAnsi="Times New Roman" w:eastAsia="方正小标宋_GBK"/>
          <w:b/>
          <w:bCs/>
          <w:color w:val="auto"/>
          <w:sz w:val="36"/>
          <w:szCs w:val="36"/>
        </w:rPr>
      </w:pPr>
    </w:p>
    <w:tbl>
      <w:tblPr>
        <w:tblStyle w:val="4"/>
        <w:tblW w:w="9238" w:type="dxa"/>
        <w:jc w:val="center"/>
        <w:tblInd w:w="0" w:type="dxa"/>
        <w:tblLayout w:type="fixed"/>
        <w:tblCellMar>
          <w:top w:w="0" w:type="dxa"/>
          <w:left w:w="108" w:type="dxa"/>
          <w:bottom w:w="0" w:type="dxa"/>
          <w:right w:w="108" w:type="dxa"/>
        </w:tblCellMar>
      </w:tblPr>
      <w:tblGrid>
        <w:gridCol w:w="847"/>
        <w:gridCol w:w="958"/>
        <w:gridCol w:w="228"/>
        <w:gridCol w:w="815"/>
        <w:gridCol w:w="568"/>
        <w:gridCol w:w="287"/>
        <w:gridCol w:w="381"/>
        <w:gridCol w:w="227"/>
        <w:gridCol w:w="483"/>
        <w:gridCol w:w="757"/>
        <w:gridCol w:w="625"/>
        <w:gridCol w:w="692"/>
        <w:gridCol w:w="54"/>
        <w:gridCol w:w="326"/>
        <w:gridCol w:w="447"/>
        <w:gridCol w:w="113"/>
        <w:gridCol w:w="705"/>
        <w:gridCol w:w="725"/>
      </w:tblGrid>
      <w:tr>
        <w:tblPrEx>
          <w:tblLayout w:type="fixed"/>
          <w:tblCellMar>
            <w:top w:w="0" w:type="dxa"/>
            <w:left w:w="108" w:type="dxa"/>
            <w:bottom w:w="0" w:type="dxa"/>
            <w:right w:w="108" w:type="dxa"/>
          </w:tblCellMar>
        </w:tblPrEx>
        <w:trPr>
          <w:trHeight w:val="729" w:hRule="atLeast"/>
          <w:jc w:val="center"/>
        </w:trPr>
        <w:tc>
          <w:tcPr>
            <w:tcW w:w="847"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主管</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部门</w:t>
            </w:r>
          </w:p>
        </w:tc>
        <w:tc>
          <w:tcPr>
            <w:tcW w:w="1186" w:type="dxa"/>
            <w:gridSpan w:val="2"/>
            <w:vMerge w:val="restart"/>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lang w:eastAsia="zh-CN"/>
              </w:rPr>
            </w:pPr>
            <w:r>
              <w:rPr>
                <w:rFonts w:hint="eastAsia" w:ascii="Times New Roman" w:hAnsi="Times New Roman" w:eastAsia="方正仿宋_GBK"/>
                <w:color w:val="auto"/>
              </w:rPr>
              <w:t>重庆市合川区科学技术</w:t>
            </w:r>
            <w:r>
              <w:rPr>
                <w:rFonts w:hint="eastAsia" w:ascii="Times New Roman" w:hAnsi="Times New Roman" w:eastAsia="方正仿宋_GBK"/>
                <w:color w:val="auto"/>
                <w:lang w:eastAsia="zh-CN"/>
              </w:rPr>
              <w:t>局</w:t>
            </w:r>
          </w:p>
        </w:tc>
        <w:tc>
          <w:tcPr>
            <w:tcW w:w="815" w:type="dxa"/>
            <w:vMerge w:val="restart"/>
            <w:tcBorders>
              <w:top w:val="single" w:color="auto"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财政科室</w:t>
            </w:r>
          </w:p>
        </w:tc>
        <w:tc>
          <w:tcPr>
            <w:tcW w:w="855" w:type="dxa"/>
            <w:gridSpan w:val="2"/>
            <w:vMerge w:val="restart"/>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行财科</w:t>
            </w:r>
          </w:p>
        </w:tc>
        <w:tc>
          <w:tcPr>
            <w:tcW w:w="109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自评总分（分）</w:t>
            </w:r>
          </w:p>
        </w:tc>
        <w:tc>
          <w:tcPr>
            <w:tcW w:w="4444"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98</w:t>
            </w:r>
          </w:p>
        </w:tc>
      </w:tr>
      <w:tr>
        <w:tblPrEx>
          <w:tblLayout w:type="fixed"/>
          <w:tblCellMar>
            <w:top w:w="0" w:type="dxa"/>
            <w:left w:w="108" w:type="dxa"/>
            <w:bottom w:w="0" w:type="dxa"/>
            <w:right w:w="108" w:type="dxa"/>
          </w:tblCellMar>
        </w:tblPrEx>
        <w:trPr>
          <w:trHeight w:val="592" w:hRule="atLeast"/>
          <w:jc w:val="center"/>
        </w:trPr>
        <w:tc>
          <w:tcPr>
            <w:tcW w:w="84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outlineLvl w:val="9"/>
              <w:rPr>
                <w:rFonts w:ascii="Times New Roman" w:hAnsi="Times New Roman" w:eastAsia="方正仿宋_GBK"/>
                <w:color w:val="auto"/>
              </w:rPr>
            </w:pPr>
          </w:p>
        </w:tc>
        <w:tc>
          <w:tcPr>
            <w:tcW w:w="1186" w:type="dxa"/>
            <w:gridSpan w:val="2"/>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outlineLvl w:val="9"/>
              <w:rPr>
                <w:rFonts w:ascii="Times New Roman" w:hAnsi="Times New Roman" w:eastAsia="方正仿宋_GBK"/>
                <w:color w:val="auto"/>
              </w:rPr>
            </w:pPr>
          </w:p>
        </w:tc>
        <w:tc>
          <w:tcPr>
            <w:tcW w:w="815" w:type="dxa"/>
            <w:vMerge w:val="continue"/>
            <w:tcBorders>
              <w:top w:val="single" w:color="auto"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outlineLvl w:val="9"/>
              <w:rPr>
                <w:rFonts w:ascii="Times New Roman" w:hAnsi="Times New Roman" w:eastAsia="方正仿宋_GBK"/>
                <w:color w:val="auto"/>
              </w:rPr>
            </w:pPr>
          </w:p>
        </w:tc>
        <w:tc>
          <w:tcPr>
            <w:tcW w:w="855" w:type="dxa"/>
            <w:gridSpan w:val="2"/>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outlineLvl w:val="9"/>
              <w:rPr>
                <w:rFonts w:ascii="Times New Roman" w:hAnsi="Times New Roman" w:eastAsia="方正仿宋_GBK"/>
                <w:color w:val="auto"/>
              </w:rPr>
            </w:pPr>
          </w:p>
        </w:tc>
        <w:tc>
          <w:tcPr>
            <w:tcW w:w="1091"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部门</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联系人</w:t>
            </w:r>
          </w:p>
        </w:tc>
        <w:tc>
          <w:tcPr>
            <w:tcW w:w="7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lang w:eastAsia="zh-CN"/>
              </w:rPr>
            </w:pPr>
            <w:r>
              <w:rPr>
                <w:rFonts w:hint="eastAsia" w:ascii="Times New Roman" w:hAnsi="Times New Roman" w:eastAsia="方正仿宋_GBK"/>
                <w:color w:val="auto"/>
                <w:lang w:eastAsia="zh-CN"/>
              </w:rPr>
              <w:t>林欣</w:t>
            </w:r>
          </w:p>
        </w:tc>
        <w:tc>
          <w:tcPr>
            <w:tcW w:w="131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联系电话</w:t>
            </w:r>
          </w:p>
        </w:tc>
        <w:tc>
          <w:tcPr>
            <w:tcW w:w="2370"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rPr>
              <w:t>42756</w:t>
            </w:r>
            <w:r>
              <w:rPr>
                <w:rFonts w:hint="eastAsia" w:ascii="Times New Roman" w:hAnsi="Times New Roman" w:eastAsia="方正仿宋_GBK"/>
                <w:color w:val="auto"/>
                <w:lang w:val="en-US" w:eastAsia="zh-CN"/>
              </w:rPr>
              <w:t>855</w:t>
            </w:r>
          </w:p>
        </w:tc>
      </w:tr>
      <w:tr>
        <w:tblPrEx>
          <w:tblLayout w:type="fixed"/>
          <w:tblCellMar>
            <w:top w:w="0" w:type="dxa"/>
            <w:left w:w="108" w:type="dxa"/>
            <w:bottom w:w="0" w:type="dxa"/>
            <w:right w:w="108" w:type="dxa"/>
          </w:tblCellMar>
        </w:tblPrEx>
        <w:trPr>
          <w:trHeight w:val="831" w:hRule="atLeast"/>
          <w:jc w:val="center"/>
        </w:trPr>
        <w:tc>
          <w:tcPr>
            <w:tcW w:w="84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部门预算执行情况</w:t>
            </w:r>
          </w:p>
        </w:tc>
        <w:tc>
          <w:tcPr>
            <w:tcW w:w="958" w:type="dxa"/>
            <w:vMerge w:val="restart"/>
            <w:tcBorders>
              <w:top w:val="nil"/>
              <w:left w:val="nil"/>
              <w:right w:val="nil"/>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预算</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资金</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sz w:val="21"/>
                <w:szCs w:val="21"/>
              </w:rPr>
              <w:t>（万元）</w:t>
            </w:r>
          </w:p>
        </w:tc>
        <w:tc>
          <w:tcPr>
            <w:tcW w:w="1043"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年初</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预算数</w:t>
            </w:r>
          </w:p>
        </w:tc>
        <w:tc>
          <w:tcPr>
            <w:tcW w:w="1463"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全年（调整）</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sz w:val="21"/>
                <w:szCs w:val="21"/>
              </w:rPr>
              <w:t>预算数</w:t>
            </w:r>
          </w:p>
        </w:tc>
        <w:tc>
          <w:tcPr>
            <w:tcW w:w="12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全年执行数</w:t>
            </w:r>
          </w:p>
        </w:tc>
        <w:tc>
          <w:tcPr>
            <w:tcW w:w="131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执行率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w:t>
            </w:r>
            <w:r>
              <w:rPr>
                <w:rFonts w:ascii="Times New Roman" w:hAnsi="Times New Roman" w:eastAsia="方正仿宋_GBK" w:cs="Times New Roman"/>
                <w:color w:val="auto"/>
              </w:rPr>
              <w:t>%</w:t>
            </w:r>
            <w:r>
              <w:rPr>
                <w:rFonts w:hint="eastAsia" w:ascii="方正仿宋_GBK" w:eastAsia="方正仿宋_GBK"/>
                <w:color w:val="auto"/>
              </w:rPr>
              <w:t>）</w:t>
            </w:r>
          </w:p>
        </w:tc>
        <w:tc>
          <w:tcPr>
            <w:tcW w:w="940"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执行率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权重</w:t>
            </w:r>
          </w:p>
        </w:tc>
        <w:tc>
          <w:tcPr>
            <w:tcW w:w="14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执行率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rPr>
            </w:pPr>
            <w:r>
              <w:rPr>
                <w:rFonts w:hint="eastAsia" w:ascii="Times New Roman" w:hAnsi="Times New Roman" w:eastAsia="方正仿宋_GBK"/>
                <w:color w:val="auto"/>
              </w:rPr>
              <w:t>得分</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（分）</w:t>
            </w:r>
          </w:p>
        </w:tc>
      </w:tr>
      <w:tr>
        <w:tblPrEx>
          <w:tblLayout w:type="fixed"/>
          <w:tblCellMar>
            <w:top w:w="0" w:type="dxa"/>
            <w:left w:w="108" w:type="dxa"/>
            <w:bottom w:w="0" w:type="dxa"/>
            <w:right w:w="108" w:type="dxa"/>
          </w:tblCellMar>
        </w:tblPrEx>
        <w:trPr>
          <w:trHeight w:val="592" w:hRule="atLeast"/>
          <w:jc w:val="center"/>
        </w:trPr>
        <w:tc>
          <w:tcPr>
            <w:tcW w:w="84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outlineLvl w:val="9"/>
              <w:rPr>
                <w:rFonts w:ascii="Times New Roman" w:hAnsi="Times New Roman" w:eastAsia="方正仿宋_GBK"/>
                <w:color w:val="auto"/>
              </w:rPr>
            </w:pPr>
          </w:p>
        </w:tc>
        <w:tc>
          <w:tcPr>
            <w:tcW w:w="958" w:type="dxa"/>
            <w:vMerge w:val="continue"/>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outlineLvl w:val="9"/>
              <w:rPr>
                <w:rFonts w:ascii="Times New Roman" w:hAnsi="Times New Roman" w:eastAsia="方正仿宋_GBK"/>
                <w:color w:val="auto"/>
              </w:rPr>
            </w:pPr>
          </w:p>
        </w:tc>
        <w:tc>
          <w:tcPr>
            <w:tcW w:w="104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1000</w:t>
            </w:r>
          </w:p>
        </w:tc>
        <w:tc>
          <w:tcPr>
            <w:tcW w:w="146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1129</w:t>
            </w:r>
          </w:p>
        </w:tc>
        <w:tc>
          <w:tcPr>
            <w:tcW w:w="1240"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1129</w:t>
            </w:r>
          </w:p>
        </w:tc>
        <w:tc>
          <w:tcPr>
            <w:tcW w:w="1317" w:type="dxa"/>
            <w:gridSpan w:val="2"/>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olor w:val="auto"/>
                <w:lang w:val="en-US"/>
              </w:rPr>
            </w:pPr>
            <w:r>
              <w:rPr>
                <w:rFonts w:hint="eastAsia" w:ascii="Times New Roman" w:hAnsi="Times New Roman" w:eastAsia="方正仿宋_GBK"/>
                <w:color w:val="auto"/>
                <w:lang w:val="en-US" w:eastAsia="zh-CN"/>
              </w:rPr>
              <w:t>112.9</w:t>
            </w:r>
          </w:p>
        </w:tc>
        <w:tc>
          <w:tcPr>
            <w:tcW w:w="940"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10</w:t>
            </w:r>
          </w:p>
        </w:tc>
        <w:tc>
          <w:tcPr>
            <w:tcW w:w="14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10</w:t>
            </w:r>
          </w:p>
        </w:tc>
      </w:tr>
      <w:tr>
        <w:tblPrEx>
          <w:tblLayout w:type="fixed"/>
          <w:tblCellMar>
            <w:top w:w="0" w:type="dxa"/>
            <w:left w:w="108" w:type="dxa"/>
            <w:bottom w:w="0" w:type="dxa"/>
            <w:right w:w="108" w:type="dxa"/>
          </w:tblCellMar>
        </w:tblPrEx>
        <w:trPr>
          <w:trHeight w:val="921" w:hRule="atLeast"/>
          <w:jc w:val="center"/>
        </w:trPr>
        <w:tc>
          <w:tcPr>
            <w:tcW w:w="84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当年绩效目标</w:t>
            </w:r>
          </w:p>
        </w:tc>
        <w:tc>
          <w:tcPr>
            <w:tcW w:w="4704"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年初绩效目标</w:t>
            </w:r>
          </w:p>
        </w:tc>
        <w:tc>
          <w:tcPr>
            <w:tcW w:w="1697"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全年（调整）绩效目标</w:t>
            </w:r>
          </w:p>
        </w:tc>
        <w:tc>
          <w:tcPr>
            <w:tcW w:w="1990"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全年目标实际完成情况</w:t>
            </w:r>
          </w:p>
        </w:tc>
      </w:tr>
      <w:tr>
        <w:tblPrEx>
          <w:tblLayout w:type="fixed"/>
          <w:tblCellMar>
            <w:top w:w="0" w:type="dxa"/>
            <w:left w:w="108" w:type="dxa"/>
            <w:bottom w:w="0" w:type="dxa"/>
            <w:right w:w="108" w:type="dxa"/>
          </w:tblCellMar>
        </w:tblPrEx>
        <w:trPr>
          <w:trHeight w:val="2796" w:hRule="atLeast"/>
          <w:jc w:val="center"/>
        </w:trPr>
        <w:tc>
          <w:tcPr>
            <w:tcW w:w="84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textAlignment w:val="auto"/>
              <w:outlineLvl w:val="9"/>
              <w:rPr>
                <w:rFonts w:ascii="Times New Roman" w:hAnsi="Times New Roman" w:eastAsia="方正仿宋_GBK"/>
                <w:color w:val="auto"/>
              </w:rPr>
            </w:pPr>
          </w:p>
        </w:tc>
        <w:tc>
          <w:tcPr>
            <w:tcW w:w="4704"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Times New Roman" w:hAnsi="Times New Roman" w:eastAsia="方正仿宋_GBK"/>
                <w:color w:val="auto"/>
                <w:lang w:eastAsia="zh-CN"/>
              </w:rPr>
            </w:pPr>
            <w:r>
              <w:rPr>
                <w:rFonts w:hint="eastAsia"/>
                <w:color w:val="auto"/>
              </w:rPr>
              <w:t xml:space="preserve">  </w:t>
            </w:r>
            <w:r>
              <w:rPr>
                <w:rFonts w:hint="eastAsia"/>
                <w:color w:val="auto"/>
                <w:sz w:val="21"/>
                <w:szCs w:val="21"/>
              </w:rPr>
              <w:t xml:space="preserve"> </w:t>
            </w:r>
            <w:r>
              <w:rPr>
                <w:rFonts w:hint="eastAsia" w:ascii="Times New Roman" w:hAnsi="Times New Roman" w:eastAsia="方正仿宋_GBK"/>
                <w:color w:val="auto"/>
                <w:sz w:val="21"/>
                <w:szCs w:val="21"/>
              </w:rPr>
              <w:t xml:space="preserve"> 根据全区经济社会和科技发展需要，壮大创新主体，提高科技创新能力，对于在一定时间周期内组织实施的科学技术研究开发及科技成果产业化等活动，设立科技创新奖励补助。对企业进行高新技术企业申报、国家科技型中小企业、科技型企业入库备案奖励补助，用于支持企业继续研发创新</w:t>
            </w:r>
            <w:r>
              <w:rPr>
                <w:rFonts w:hint="eastAsia" w:ascii="Times New Roman" w:hAnsi="Times New Roman" w:eastAsia="方正仿宋_GBK"/>
                <w:color w:val="auto"/>
                <w:sz w:val="21"/>
                <w:szCs w:val="21"/>
                <w:lang w:eastAsia="zh-CN"/>
              </w:rPr>
              <w:t>。</w:t>
            </w:r>
          </w:p>
        </w:tc>
        <w:tc>
          <w:tcPr>
            <w:tcW w:w="1697"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无调整</w:t>
            </w:r>
          </w:p>
        </w:tc>
        <w:tc>
          <w:tcPr>
            <w:tcW w:w="1990"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已完成</w:t>
            </w:r>
          </w:p>
        </w:tc>
      </w:tr>
      <w:tr>
        <w:tblPrEx>
          <w:tblLayout w:type="fixed"/>
          <w:tblCellMar>
            <w:top w:w="0" w:type="dxa"/>
            <w:left w:w="108" w:type="dxa"/>
            <w:bottom w:w="0" w:type="dxa"/>
            <w:right w:w="108" w:type="dxa"/>
          </w:tblCellMar>
        </w:tblPrEx>
        <w:trPr>
          <w:trHeight w:val="1587" w:hRule="atLeast"/>
          <w:jc w:val="center"/>
        </w:trPr>
        <w:tc>
          <w:tcPr>
            <w:tcW w:w="84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绩效</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指标</w:t>
            </w:r>
          </w:p>
        </w:tc>
        <w:tc>
          <w:tcPr>
            <w:tcW w:w="2001"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名称</w:t>
            </w:r>
          </w:p>
        </w:tc>
        <w:tc>
          <w:tcPr>
            <w:tcW w:w="5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计量</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单位</w:t>
            </w:r>
          </w:p>
        </w:tc>
        <w:tc>
          <w:tcPr>
            <w:tcW w:w="66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性质</w:t>
            </w:r>
          </w:p>
        </w:tc>
        <w:tc>
          <w:tcPr>
            <w:tcW w:w="71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年初</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值</w:t>
            </w:r>
          </w:p>
        </w:tc>
        <w:tc>
          <w:tcPr>
            <w:tcW w:w="7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调整</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rPr>
            </w:pPr>
            <w:r>
              <w:rPr>
                <w:rFonts w:hint="eastAsia" w:ascii="Times New Roman" w:hAnsi="Times New Roman" w:eastAsia="方正仿宋_GBK"/>
                <w:color w:val="auto"/>
              </w:rPr>
              <w:t>值</w:t>
            </w:r>
          </w:p>
        </w:tc>
        <w:tc>
          <w:tcPr>
            <w:tcW w:w="6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全年</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完成</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值</w:t>
            </w:r>
          </w:p>
        </w:tc>
        <w:tc>
          <w:tcPr>
            <w:tcW w:w="74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得分</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系数</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w:t>
            </w:r>
            <w:r>
              <w:rPr>
                <w:rFonts w:ascii="Times New Roman" w:hAnsi="Times New Roman" w:eastAsia="方正仿宋_GBK" w:cs="Times New Roman"/>
                <w:color w:val="auto"/>
                <w:sz w:val="21"/>
                <w:szCs w:val="21"/>
              </w:rPr>
              <w:t>%</w:t>
            </w:r>
            <w:r>
              <w:rPr>
                <w:rFonts w:hint="eastAsia" w:ascii="方正仿宋_GBK" w:eastAsia="方正仿宋_GBK"/>
                <w:color w:val="auto"/>
                <w:sz w:val="21"/>
                <w:szCs w:val="21"/>
              </w:rPr>
              <w:t>）</w:t>
            </w:r>
          </w:p>
        </w:tc>
        <w:tc>
          <w:tcPr>
            <w:tcW w:w="77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指标权重</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（分）</w:t>
            </w:r>
          </w:p>
        </w:tc>
        <w:tc>
          <w:tcPr>
            <w:tcW w:w="818"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得分</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（分）</w:t>
            </w:r>
          </w:p>
        </w:tc>
        <w:tc>
          <w:tcPr>
            <w:tcW w:w="7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是否核心</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指标</w:t>
            </w:r>
          </w:p>
        </w:tc>
      </w:tr>
      <w:tr>
        <w:tblPrEx>
          <w:tblLayout w:type="fixed"/>
          <w:tblCellMar>
            <w:top w:w="0" w:type="dxa"/>
            <w:left w:w="108" w:type="dxa"/>
            <w:bottom w:w="0" w:type="dxa"/>
            <w:right w:w="108" w:type="dxa"/>
          </w:tblCellMar>
        </w:tblPrEx>
        <w:trPr>
          <w:trHeight w:val="1089" w:hRule="atLeast"/>
          <w:jc w:val="center"/>
        </w:trPr>
        <w:tc>
          <w:tcPr>
            <w:tcW w:w="84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40" w:lineRule="exact"/>
              <w:outlineLvl w:val="9"/>
              <w:rPr>
                <w:rFonts w:ascii="Times New Roman" w:hAnsi="Times New Roman" w:eastAsia="方正仿宋_GBK"/>
                <w:color w:val="auto"/>
              </w:rPr>
            </w:pPr>
          </w:p>
        </w:tc>
        <w:tc>
          <w:tcPr>
            <w:tcW w:w="2001" w:type="dxa"/>
            <w:gridSpan w:val="3"/>
            <w:tcBorders>
              <w:top w:val="nil"/>
              <w:left w:val="nil"/>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补助金额拨付额</w:t>
            </w:r>
          </w:p>
        </w:tc>
        <w:tc>
          <w:tcPr>
            <w:tcW w:w="568"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eastAsia="zh-CN"/>
              </w:rPr>
              <w:t>万元</w:t>
            </w:r>
            <w:r>
              <w:rPr>
                <w:rFonts w:hint="eastAsia" w:eastAsia="方正仿宋_GBK"/>
                <w:color w:val="auto"/>
                <w:sz w:val="20"/>
                <w:szCs w:val="20"/>
                <w:lang w:val="en-US" w:eastAsia="zh-CN"/>
              </w:rPr>
              <w:t xml:space="preserve"> </w:t>
            </w:r>
          </w:p>
        </w:tc>
        <w:tc>
          <w:tcPr>
            <w:tcW w:w="66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color w:val="auto"/>
                <w:lang w:eastAsia="zh-CN"/>
              </w:rPr>
              <w:t>=</w:t>
            </w:r>
          </w:p>
        </w:tc>
        <w:tc>
          <w:tcPr>
            <w:tcW w:w="71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eastAsia" w:ascii="Times New Roman" w:hAnsi="Times New Roman" w:eastAsia="宋体"/>
                <w:color w:val="auto"/>
                <w:lang w:val="en-US" w:eastAsia="zh-CN"/>
              </w:rPr>
            </w:pPr>
            <w:r>
              <w:rPr>
                <w:rFonts w:hint="eastAsia"/>
                <w:color w:val="auto"/>
                <w:sz w:val="20"/>
                <w:szCs w:val="20"/>
              </w:rPr>
              <w:t>50</w:t>
            </w:r>
            <w:r>
              <w:rPr>
                <w:rFonts w:hint="eastAsia"/>
                <w:color w:val="auto"/>
                <w:sz w:val="20"/>
                <w:szCs w:val="20"/>
                <w:lang w:val="en-US" w:eastAsia="zh-CN"/>
              </w:rPr>
              <w:t>0</w:t>
            </w:r>
          </w:p>
        </w:tc>
        <w:tc>
          <w:tcPr>
            <w:tcW w:w="757"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629</w:t>
            </w:r>
          </w:p>
        </w:tc>
        <w:tc>
          <w:tcPr>
            <w:tcW w:w="625"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629</w:t>
            </w:r>
          </w:p>
        </w:tc>
        <w:tc>
          <w:tcPr>
            <w:tcW w:w="74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color w:val="auto"/>
                <w:sz w:val="20"/>
                <w:szCs w:val="20"/>
              </w:rPr>
            </w:pPr>
            <w:r>
              <w:rPr>
                <w:rFonts w:hint="eastAsia"/>
                <w:color w:val="auto"/>
                <w:sz w:val="18"/>
                <w:szCs w:val="18"/>
              </w:rPr>
              <w:t>100</w:t>
            </w:r>
          </w:p>
        </w:tc>
        <w:tc>
          <w:tcPr>
            <w:tcW w:w="77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eastAsia="宋体"/>
                <w:color w:val="auto"/>
                <w:sz w:val="20"/>
                <w:szCs w:val="20"/>
                <w:lang w:val="en-US" w:eastAsia="zh-CN"/>
              </w:rPr>
            </w:pPr>
            <w:r>
              <w:rPr>
                <w:rFonts w:hint="eastAsia"/>
                <w:color w:val="auto"/>
                <w:sz w:val="20"/>
                <w:szCs w:val="20"/>
                <w:lang w:val="en-US" w:eastAsia="zh-CN"/>
              </w:rPr>
              <w:t>30</w:t>
            </w:r>
          </w:p>
        </w:tc>
        <w:tc>
          <w:tcPr>
            <w:tcW w:w="81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30</w:t>
            </w:r>
          </w:p>
        </w:tc>
        <w:tc>
          <w:tcPr>
            <w:tcW w:w="725"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outlineLvl w:val="9"/>
              <w:rPr>
                <w:rFonts w:hint="eastAsia" w:ascii="Times New Roman" w:hAnsi="Times New Roman" w:eastAsia="方正仿宋_GBK"/>
                <w:color w:val="auto"/>
                <w:lang w:eastAsia="zh-CN"/>
              </w:rPr>
            </w:pPr>
            <w:r>
              <w:rPr>
                <w:rFonts w:hint="eastAsia" w:ascii="Times New Roman" w:hAnsi="Times New Roman" w:eastAsia="方正仿宋_GBK"/>
                <w:color w:val="auto"/>
                <w:lang w:eastAsia="zh-CN"/>
              </w:rPr>
              <w:t>是</w:t>
            </w:r>
          </w:p>
        </w:tc>
      </w:tr>
      <w:tr>
        <w:tblPrEx>
          <w:tblLayout w:type="fixed"/>
          <w:tblCellMar>
            <w:top w:w="0" w:type="dxa"/>
            <w:left w:w="108" w:type="dxa"/>
            <w:bottom w:w="0" w:type="dxa"/>
            <w:right w:w="108" w:type="dxa"/>
          </w:tblCellMar>
        </w:tblPrEx>
        <w:trPr>
          <w:trHeight w:val="1089" w:hRule="atLeast"/>
          <w:jc w:val="center"/>
        </w:trPr>
        <w:tc>
          <w:tcPr>
            <w:tcW w:w="84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40" w:lineRule="exact"/>
              <w:outlineLvl w:val="9"/>
              <w:rPr>
                <w:rFonts w:ascii="Times New Roman" w:hAnsi="Times New Roman" w:eastAsia="方正仿宋_GBK"/>
                <w:color w:val="auto"/>
              </w:rPr>
            </w:pPr>
          </w:p>
        </w:tc>
        <w:tc>
          <w:tcPr>
            <w:tcW w:w="2001" w:type="dxa"/>
            <w:gridSpan w:val="3"/>
            <w:tcBorders>
              <w:top w:val="nil"/>
              <w:left w:val="nil"/>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补助企业</w:t>
            </w:r>
          </w:p>
        </w:tc>
        <w:tc>
          <w:tcPr>
            <w:tcW w:w="568"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eastAsia" w:ascii="Times New Roman" w:hAnsi="Times New Roman" w:eastAsia="方正仿宋_GBK"/>
                <w:color w:val="auto"/>
                <w:lang w:eastAsia="zh-CN"/>
              </w:rPr>
            </w:pPr>
            <w:r>
              <w:rPr>
                <w:rFonts w:hint="eastAsia" w:ascii="Times New Roman" w:hAnsi="Times New Roman" w:eastAsia="方正仿宋_GBK"/>
                <w:color w:val="auto"/>
                <w:lang w:eastAsia="zh-CN"/>
              </w:rPr>
              <w:t>家</w:t>
            </w:r>
          </w:p>
        </w:tc>
        <w:tc>
          <w:tcPr>
            <w:tcW w:w="66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ascii="方正仿宋_GBK" w:hAnsi="方正仿宋_GBK" w:eastAsia="方正仿宋_GBK" w:cs="方正仿宋_GBK"/>
                <w:color w:val="auto"/>
                <w:lang w:eastAsia="zh-CN"/>
              </w:rPr>
              <w:t>=</w:t>
            </w:r>
          </w:p>
        </w:tc>
        <w:tc>
          <w:tcPr>
            <w:tcW w:w="71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205</w:t>
            </w:r>
          </w:p>
        </w:tc>
        <w:tc>
          <w:tcPr>
            <w:tcW w:w="757"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205</w:t>
            </w:r>
          </w:p>
        </w:tc>
        <w:tc>
          <w:tcPr>
            <w:tcW w:w="625"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205</w:t>
            </w:r>
          </w:p>
        </w:tc>
        <w:tc>
          <w:tcPr>
            <w:tcW w:w="74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color w:val="auto"/>
                <w:sz w:val="20"/>
                <w:szCs w:val="20"/>
              </w:rPr>
            </w:pPr>
            <w:r>
              <w:rPr>
                <w:rFonts w:hint="eastAsia"/>
                <w:color w:val="auto"/>
                <w:sz w:val="18"/>
                <w:szCs w:val="18"/>
              </w:rPr>
              <w:t>100</w:t>
            </w:r>
          </w:p>
        </w:tc>
        <w:tc>
          <w:tcPr>
            <w:tcW w:w="77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color w:val="auto"/>
                <w:sz w:val="20"/>
                <w:szCs w:val="20"/>
              </w:rPr>
            </w:pPr>
            <w:r>
              <w:rPr>
                <w:rFonts w:hint="eastAsia"/>
                <w:color w:val="auto"/>
                <w:sz w:val="20"/>
                <w:szCs w:val="20"/>
              </w:rPr>
              <w:t>30</w:t>
            </w:r>
          </w:p>
        </w:tc>
        <w:tc>
          <w:tcPr>
            <w:tcW w:w="81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30</w:t>
            </w:r>
          </w:p>
        </w:tc>
        <w:tc>
          <w:tcPr>
            <w:tcW w:w="725"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是</w:t>
            </w:r>
          </w:p>
        </w:tc>
      </w:tr>
      <w:tr>
        <w:tblPrEx>
          <w:tblLayout w:type="fixed"/>
          <w:tblCellMar>
            <w:top w:w="0" w:type="dxa"/>
            <w:left w:w="108" w:type="dxa"/>
            <w:bottom w:w="0" w:type="dxa"/>
            <w:right w:w="108" w:type="dxa"/>
          </w:tblCellMar>
        </w:tblPrEx>
        <w:trPr>
          <w:trHeight w:val="652" w:hRule="atLeast"/>
          <w:jc w:val="center"/>
        </w:trPr>
        <w:tc>
          <w:tcPr>
            <w:tcW w:w="84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40" w:lineRule="exact"/>
              <w:outlineLvl w:val="9"/>
              <w:rPr>
                <w:rFonts w:ascii="Times New Roman" w:hAnsi="Times New Roman" w:eastAsia="方正仿宋_GBK"/>
                <w:color w:val="auto"/>
              </w:rPr>
            </w:pPr>
          </w:p>
        </w:tc>
        <w:tc>
          <w:tcPr>
            <w:tcW w:w="2001" w:type="dxa"/>
            <w:gridSpan w:val="3"/>
            <w:tcBorders>
              <w:top w:val="nil"/>
              <w:left w:val="nil"/>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补助事项</w:t>
            </w:r>
          </w:p>
        </w:tc>
        <w:tc>
          <w:tcPr>
            <w:tcW w:w="568"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eastAsia" w:ascii="Times New Roman" w:hAnsi="Times New Roman" w:eastAsia="方正仿宋_GBK"/>
                <w:color w:val="auto"/>
                <w:lang w:eastAsia="zh-CN"/>
              </w:rPr>
            </w:pPr>
            <w:r>
              <w:rPr>
                <w:rFonts w:hint="eastAsia" w:eastAsia="方正仿宋_GBK"/>
                <w:color w:val="auto"/>
                <w:sz w:val="20"/>
                <w:szCs w:val="20"/>
                <w:lang w:eastAsia="zh-CN"/>
              </w:rPr>
              <w:t>个</w:t>
            </w:r>
          </w:p>
        </w:tc>
        <w:tc>
          <w:tcPr>
            <w:tcW w:w="66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ascii="方正仿宋_GBK" w:hAnsi="方正仿宋_GBK" w:eastAsia="方正仿宋_GBK" w:cs="方正仿宋_GBK"/>
                <w:color w:val="auto"/>
                <w:lang w:eastAsia="zh-CN"/>
              </w:rPr>
              <w:t>=</w:t>
            </w:r>
          </w:p>
        </w:tc>
        <w:tc>
          <w:tcPr>
            <w:tcW w:w="71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229</w:t>
            </w:r>
          </w:p>
        </w:tc>
        <w:tc>
          <w:tcPr>
            <w:tcW w:w="757"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229</w:t>
            </w:r>
          </w:p>
        </w:tc>
        <w:tc>
          <w:tcPr>
            <w:tcW w:w="625"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229</w:t>
            </w:r>
          </w:p>
        </w:tc>
        <w:tc>
          <w:tcPr>
            <w:tcW w:w="74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color w:val="auto"/>
                <w:sz w:val="20"/>
                <w:szCs w:val="20"/>
              </w:rPr>
            </w:pPr>
            <w:r>
              <w:rPr>
                <w:rFonts w:hint="eastAsia"/>
                <w:color w:val="auto"/>
                <w:sz w:val="18"/>
                <w:szCs w:val="18"/>
              </w:rPr>
              <w:t>100</w:t>
            </w:r>
          </w:p>
        </w:tc>
        <w:tc>
          <w:tcPr>
            <w:tcW w:w="77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eastAsia="宋体"/>
                <w:color w:val="auto"/>
                <w:sz w:val="20"/>
                <w:szCs w:val="20"/>
                <w:lang w:val="en-US" w:eastAsia="zh-CN"/>
              </w:rPr>
            </w:pPr>
            <w:r>
              <w:rPr>
                <w:rFonts w:hint="eastAsia"/>
                <w:color w:val="auto"/>
                <w:sz w:val="20"/>
                <w:szCs w:val="20"/>
                <w:lang w:val="en-US" w:eastAsia="zh-CN"/>
              </w:rPr>
              <w:t>10</w:t>
            </w:r>
          </w:p>
        </w:tc>
        <w:tc>
          <w:tcPr>
            <w:tcW w:w="81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10</w:t>
            </w:r>
          </w:p>
        </w:tc>
        <w:tc>
          <w:tcPr>
            <w:tcW w:w="725"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是</w:t>
            </w:r>
          </w:p>
        </w:tc>
      </w:tr>
      <w:tr>
        <w:tblPrEx>
          <w:tblLayout w:type="fixed"/>
          <w:tblCellMar>
            <w:top w:w="0" w:type="dxa"/>
            <w:left w:w="108" w:type="dxa"/>
            <w:bottom w:w="0" w:type="dxa"/>
            <w:right w:w="108" w:type="dxa"/>
          </w:tblCellMar>
        </w:tblPrEx>
        <w:trPr>
          <w:trHeight w:val="697" w:hRule="atLeast"/>
          <w:jc w:val="center"/>
        </w:trPr>
        <w:tc>
          <w:tcPr>
            <w:tcW w:w="84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40" w:lineRule="exact"/>
              <w:outlineLvl w:val="9"/>
              <w:rPr>
                <w:rFonts w:ascii="Times New Roman" w:hAnsi="Times New Roman" w:eastAsia="方正仿宋_GBK"/>
                <w:color w:val="auto"/>
              </w:rPr>
            </w:pPr>
          </w:p>
        </w:tc>
        <w:tc>
          <w:tcPr>
            <w:tcW w:w="2001" w:type="dxa"/>
            <w:gridSpan w:val="3"/>
            <w:tcBorders>
              <w:top w:val="nil"/>
              <w:left w:val="nil"/>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服务对象满意度指标</w:t>
            </w:r>
          </w:p>
        </w:tc>
        <w:tc>
          <w:tcPr>
            <w:tcW w:w="568"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w:t>
            </w:r>
          </w:p>
        </w:tc>
        <w:tc>
          <w:tcPr>
            <w:tcW w:w="66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w:t>
            </w:r>
          </w:p>
        </w:tc>
        <w:tc>
          <w:tcPr>
            <w:tcW w:w="71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100</w:t>
            </w:r>
          </w:p>
        </w:tc>
        <w:tc>
          <w:tcPr>
            <w:tcW w:w="757"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100</w:t>
            </w:r>
          </w:p>
        </w:tc>
        <w:tc>
          <w:tcPr>
            <w:tcW w:w="625"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20"/>
                <w:szCs w:val="20"/>
                <w:lang w:val="en-US" w:eastAsia="zh-CN"/>
              </w:rPr>
              <w:t>100</w:t>
            </w:r>
          </w:p>
        </w:tc>
        <w:tc>
          <w:tcPr>
            <w:tcW w:w="74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color w:val="auto"/>
                <w:sz w:val="20"/>
                <w:szCs w:val="20"/>
              </w:rPr>
            </w:pPr>
            <w:r>
              <w:rPr>
                <w:rFonts w:hint="eastAsia"/>
                <w:color w:val="auto"/>
                <w:sz w:val="18"/>
                <w:szCs w:val="18"/>
              </w:rPr>
              <w:t>100</w:t>
            </w:r>
          </w:p>
        </w:tc>
        <w:tc>
          <w:tcPr>
            <w:tcW w:w="77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color w:val="auto"/>
                <w:sz w:val="20"/>
                <w:szCs w:val="20"/>
              </w:rPr>
            </w:pPr>
            <w:r>
              <w:rPr>
                <w:rFonts w:hint="eastAsia"/>
                <w:color w:val="auto"/>
                <w:sz w:val="20"/>
                <w:szCs w:val="20"/>
              </w:rPr>
              <w:t>10</w:t>
            </w:r>
          </w:p>
        </w:tc>
        <w:tc>
          <w:tcPr>
            <w:tcW w:w="81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10</w:t>
            </w:r>
          </w:p>
        </w:tc>
        <w:tc>
          <w:tcPr>
            <w:tcW w:w="725"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outlineLvl w:val="9"/>
              <w:rPr>
                <w:rFonts w:ascii="Times New Roman" w:hAnsi="Times New Roman" w:eastAsia="方正仿宋_GBK"/>
                <w:color w:val="auto"/>
              </w:rPr>
            </w:pPr>
            <w:r>
              <w:rPr>
                <w:rFonts w:hint="eastAsia" w:ascii="Times New Roman" w:hAnsi="Times New Roman" w:eastAsia="方正仿宋_GBK"/>
                <w:color w:val="auto"/>
              </w:rPr>
              <w:t>否</w:t>
            </w:r>
          </w:p>
        </w:tc>
      </w:tr>
      <w:tr>
        <w:tblPrEx>
          <w:tblLayout w:type="fixed"/>
          <w:tblCellMar>
            <w:top w:w="0" w:type="dxa"/>
            <w:left w:w="108" w:type="dxa"/>
            <w:bottom w:w="0" w:type="dxa"/>
            <w:right w:w="108" w:type="dxa"/>
          </w:tblCellMar>
        </w:tblPrEx>
        <w:trPr>
          <w:trHeight w:val="861" w:hRule="atLeast"/>
          <w:jc w:val="center"/>
        </w:trPr>
        <w:tc>
          <w:tcPr>
            <w:tcW w:w="84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N/>
              <w:bidi w:val="0"/>
              <w:adjustRightInd/>
              <w:snapToGrid/>
              <w:spacing w:beforeAutospacing="0" w:afterAutospacing="0" w:line="540" w:lineRule="exact"/>
              <w:outlineLvl w:val="9"/>
              <w:rPr>
                <w:rFonts w:ascii="Times New Roman" w:hAnsi="Times New Roman" w:eastAsia="方正仿宋_GBK"/>
                <w:color w:val="auto"/>
              </w:rPr>
            </w:pPr>
          </w:p>
        </w:tc>
        <w:tc>
          <w:tcPr>
            <w:tcW w:w="2001" w:type="dxa"/>
            <w:gridSpan w:val="3"/>
            <w:tcBorders>
              <w:top w:val="nil"/>
              <w:left w:val="nil"/>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 xml:space="preserve"> 预决算信息公开性</w:t>
            </w:r>
          </w:p>
        </w:tc>
        <w:tc>
          <w:tcPr>
            <w:tcW w:w="568"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次</w:t>
            </w:r>
          </w:p>
        </w:tc>
        <w:tc>
          <w:tcPr>
            <w:tcW w:w="66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w:t>
            </w:r>
          </w:p>
        </w:tc>
        <w:tc>
          <w:tcPr>
            <w:tcW w:w="71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2</w:t>
            </w:r>
          </w:p>
        </w:tc>
        <w:tc>
          <w:tcPr>
            <w:tcW w:w="757"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2</w:t>
            </w:r>
          </w:p>
        </w:tc>
        <w:tc>
          <w:tcPr>
            <w:tcW w:w="625" w:type="dxa"/>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ascii="Times New Roman" w:hAnsi="Times New Roman" w:eastAsia="方正仿宋_GBK"/>
                <w:color w:val="auto"/>
              </w:rPr>
            </w:pPr>
            <w:r>
              <w:rPr>
                <w:rFonts w:hint="eastAsia"/>
                <w:color w:val="auto"/>
                <w:sz w:val="20"/>
                <w:szCs w:val="20"/>
              </w:rPr>
              <w:t>2</w:t>
            </w:r>
          </w:p>
        </w:tc>
        <w:tc>
          <w:tcPr>
            <w:tcW w:w="74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color w:val="auto"/>
                <w:sz w:val="20"/>
                <w:szCs w:val="20"/>
              </w:rPr>
            </w:pPr>
            <w:r>
              <w:rPr>
                <w:rFonts w:hint="eastAsia"/>
                <w:color w:val="auto"/>
                <w:sz w:val="18"/>
                <w:szCs w:val="18"/>
              </w:rPr>
              <w:t>100</w:t>
            </w:r>
          </w:p>
        </w:tc>
        <w:tc>
          <w:tcPr>
            <w:tcW w:w="77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default" w:eastAsia="宋体"/>
                <w:color w:val="auto"/>
                <w:sz w:val="20"/>
                <w:szCs w:val="20"/>
                <w:lang w:val="en-US" w:eastAsia="zh-CN"/>
              </w:rPr>
            </w:pPr>
            <w:r>
              <w:rPr>
                <w:rFonts w:hint="eastAsia"/>
                <w:color w:val="auto"/>
                <w:sz w:val="20"/>
                <w:szCs w:val="20"/>
                <w:lang w:val="en-US" w:eastAsia="zh-CN"/>
              </w:rPr>
              <w:t>10</w:t>
            </w:r>
          </w:p>
        </w:tc>
        <w:tc>
          <w:tcPr>
            <w:tcW w:w="818"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textAlignment w:val="center"/>
              <w:outlineLvl w:val="9"/>
              <w:rPr>
                <w:rFonts w:hint="eastAsia" w:ascii="Times New Roman" w:hAnsi="Times New Roman" w:eastAsia="方正仿宋_GBK"/>
                <w:color w:val="auto"/>
                <w:lang w:eastAsia="zh-CN"/>
              </w:rPr>
            </w:pPr>
            <w:r>
              <w:rPr>
                <w:rFonts w:hint="eastAsia" w:eastAsia="方正仿宋_GBK"/>
                <w:color w:val="auto"/>
                <w:sz w:val="20"/>
                <w:szCs w:val="20"/>
                <w:lang w:val="en-US" w:eastAsia="zh-CN"/>
              </w:rPr>
              <w:t>8</w:t>
            </w:r>
          </w:p>
        </w:tc>
        <w:tc>
          <w:tcPr>
            <w:tcW w:w="725"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beforeAutospacing="0" w:afterAutospacing="0" w:line="540" w:lineRule="exact"/>
              <w:jc w:val="center"/>
              <w:outlineLvl w:val="9"/>
              <w:rPr>
                <w:rFonts w:ascii="Times New Roman" w:hAnsi="Times New Roman" w:eastAsia="方正仿宋_GBK"/>
                <w:color w:val="auto"/>
              </w:rPr>
            </w:pPr>
            <w:r>
              <w:rPr>
                <w:rFonts w:hint="eastAsia" w:ascii="Times New Roman" w:hAnsi="Times New Roman" w:eastAsia="方正仿宋_GBK"/>
                <w:color w:val="auto"/>
              </w:rPr>
              <w:t>否</w:t>
            </w:r>
          </w:p>
        </w:tc>
      </w:tr>
      <w:tr>
        <w:tblPrEx>
          <w:tblLayout w:type="fixed"/>
          <w:tblCellMar>
            <w:top w:w="0" w:type="dxa"/>
            <w:left w:w="108" w:type="dxa"/>
            <w:bottom w:w="0" w:type="dxa"/>
            <w:right w:w="108" w:type="dxa"/>
          </w:tblCellMar>
        </w:tblPrEx>
        <w:trPr>
          <w:trHeight w:val="677" w:hRule="atLeast"/>
          <w:jc w:val="center"/>
        </w:trPr>
        <w:tc>
          <w:tcPr>
            <w:tcW w:w="8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beforeAutospacing="0" w:afterAutospacing="0" w:line="540" w:lineRule="exact"/>
              <w:outlineLvl w:val="9"/>
              <w:rPr>
                <w:rFonts w:ascii="Times New Roman" w:hAnsi="Times New Roman" w:eastAsia="方正仿宋_GBK"/>
                <w:color w:val="auto"/>
              </w:rPr>
            </w:pPr>
            <w:r>
              <w:rPr>
                <w:rFonts w:hint="eastAsia" w:ascii="Times New Roman" w:hAnsi="Times New Roman" w:eastAsia="方正仿宋_GBK"/>
                <w:color w:val="auto"/>
              </w:rPr>
              <w:t>说明</w:t>
            </w:r>
          </w:p>
        </w:tc>
        <w:tc>
          <w:tcPr>
            <w:tcW w:w="8391" w:type="dxa"/>
            <w:gridSpan w:val="17"/>
            <w:tcBorders>
              <w:top w:val="single" w:color="auto" w:sz="4" w:space="0"/>
              <w:left w:val="nil"/>
              <w:bottom w:val="single" w:color="auto" w:sz="4" w:space="0"/>
              <w:right w:val="single" w:color="000000" w:sz="4" w:space="0"/>
            </w:tcBorders>
            <w:vAlign w:val="center"/>
          </w:tcPr>
          <w:p>
            <w:pPr>
              <w:keepNext w:val="0"/>
              <w:keepLines w:val="0"/>
              <w:pageBreakBefore w:val="0"/>
              <w:kinsoku/>
              <w:wordWrap/>
              <w:overflowPunct/>
              <w:topLinePunct w:val="0"/>
              <w:autoSpaceDN/>
              <w:bidi w:val="0"/>
              <w:adjustRightInd/>
              <w:snapToGrid/>
              <w:spacing w:beforeAutospacing="0" w:afterAutospacing="0" w:line="540" w:lineRule="exact"/>
              <w:outlineLvl w:val="9"/>
              <w:rPr>
                <w:rFonts w:ascii="Times New Roman" w:hAnsi="Times New Roman" w:eastAsia="方正仿宋_GBK"/>
                <w:color w:val="auto"/>
              </w:rPr>
            </w:pPr>
            <w:r>
              <w:rPr>
                <w:rFonts w:hint="eastAsia" w:ascii="Times New Roman" w:hAnsi="Times New Roman" w:eastAsia="方正仿宋_GBK"/>
                <w:color w:val="auto"/>
              </w:rPr>
              <w:t>无</w:t>
            </w:r>
          </w:p>
        </w:tc>
      </w:tr>
    </w:tbl>
    <w:p>
      <w:pPr>
        <w:keepNext w:val="0"/>
        <w:keepLines w:val="0"/>
        <w:pageBreakBefore w:val="0"/>
        <w:widowControl/>
        <w:kinsoku/>
        <w:wordWrap/>
        <w:overflowPunct/>
        <w:topLinePunct w:val="0"/>
        <w:autoSpaceDE/>
        <w:autoSpaceDN/>
        <w:bidi w:val="0"/>
        <w:adjustRightInd/>
        <w:snapToGrid/>
        <w:spacing w:beforeAutospacing="0" w:afterAutospacing="0" w:line="540" w:lineRule="exact"/>
        <w:ind w:left="0" w:leftChars="0" w:right="0" w:rightChars="0" w:firstLine="0" w:firstLineChars="0"/>
        <w:jc w:val="left"/>
        <w:outlineLvl w:val="9"/>
        <w:rPr>
          <w:rFonts w:hint="eastAsia" w:ascii="方正小标宋_GBK" w:hAnsi="Times New Roman" w:eastAsia="方正小标宋_GBK"/>
          <w:color w:val="auto"/>
          <w:sz w:val="36"/>
          <w:szCs w:val="36"/>
        </w:rPr>
      </w:pPr>
      <w:r>
        <w:rPr>
          <w:rFonts w:hint="eastAsia"/>
          <w:color w:val="auto"/>
        </w:rPr>
        <w:t xml:space="preserve"> </w:t>
      </w:r>
    </w:p>
    <w:p>
      <w:pPr>
        <w:keepNext w:val="0"/>
        <w:keepLines w:val="0"/>
        <w:pageBreakBefore w:val="0"/>
        <w:widowControl/>
        <w:kinsoku/>
        <w:wordWrap/>
        <w:overflowPunct/>
        <w:topLinePunct w:val="0"/>
        <w:autoSpaceDE w:val="0"/>
        <w:autoSpaceDN/>
        <w:bidi w:val="0"/>
        <w:adjustRightInd/>
        <w:snapToGrid/>
        <w:spacing w:beforeAutospacing="0" w:afterAutospacing="0" w:line="240" w:lineRule="exact"/>
        <w:ind w:left="0" w:leftChars="0" w:right="0" w:rightChars="0" w:firstLine="0" w:firstLineChars="0"/>
        <w:jc w:val="center"/>
        <w:outlineLvl w:val="9"/>
        <w:rPr>
          <w:rFonts w:hint="eastAsia" w:ascii="方正小标宋_GBK" w:hAnsi="Times New Roman" w:eastAsia="方正小标宋_GBK"/>
          <w:color w:val="auto"/>
          <w:sz w:val="36"/>
          <w:szCs w:val="36"/>
        </w:rPr>
      </w:pPr>
    </w:p>
    <w:p>
      <w:pPr>
        <w:keepNext w:val="0"/>
        <w:keepLines w:val="0"/>
        <w:pageBreakBefore w:val="0"/>
        <w:widowControl/>
        <w:kinsoku/>
        <w:wordWrap/>
        <w:overflowPunct/>
        <w:topLinePunct w:val="0"/>
        <w:autoSpaceDE w:val="0"/>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_GBK" w:hAnsi="Times New Roman" w:eastAsia="方正小标宋_GBK"/>
          <w:color w:val="auto"/>
          <w:sz w:val="36"/>
          <w:szCs w:val="36"/>
        </w:rPr>
      </w:pPr>
      <w:r>
        <w:rPr>
          <w:rFonts w:hint="eastAsia" w:ascii="方正小标宋_GBK" w:hAnsi="Times New Roman" w:eastAsia="方正小标宋_GBK"/>
          <w:color w:val="auto"/>
          <w:sz w:val="36"/>
          <w:szCs w:val="36"/>
        </w:rPr>
        <w:t>项目绩效自评表</w:t>
      </w:r>
    </w:p>
    <w:tbl>
      <w:tblPr>
        <w:tblStyle w:val="4"/>
        <w:tblW w:w="9258" w:type="dxa"/>
        <w:jc w:val="center"/>
        <w:tblInd w:w="0" w:type="dxa"/>
        <w:tblLayout w:type="fixed"/>
        <w:tblCellMar>
          <w:top w:w="0" w:type="dxa"/>
          <w:left w:w="108" w:type="dxa"/>
          <w:bottom w:w="0" w:type="dxa"/>
          <w:right w:w="108" w:type="dxa"/>
        </w:tblCellMar>
      </w:tblPr>
      <w:tblGrid>
        <w:gridCol w:w="868"/>
        <w:gridCol w:w="984"/>
        <w:gridCol w:w="234"/>
        <w:gridCol w:w="835"/>
        <w:gridCol w:w="583"/>
        <w:gridCol w:w="295"/>
        <w:gridCol w:w="391"/>
        <w:gridCol w:w="232"/>
        <w:gridCol w:w="498"/>
        <w:gridCol w:w="847"/>
        <w:gridCol w:w="737"/>
        <w:gridCol w:w="544"/>
        <w:gridCol w:w="88"/>
        <w:gridCol w:w="302"/>
        <w:gridCol w:w="491"/>
        <w:gridCol w:w="84"/>
        <w:gridCol w:w="709"/>
        <w:gridCol w:w="536"/>
      </w:tblGrid>
      <w:tr>
        <w:tblPrEx>
          <w:tblLayout w:type="fixed"/>
          <w:tblCellMar>
            <w:top w:w="0" w:type="dxa"/>
            <w:left w:w="108" w:type="dxa"/>
            <w:bottom w:w="0" w:type="dxa"/>
            <w:right w:w="108" w:type="dxa"/>
          </w:tblCellMar>
        </w:tblPrEx>
        <w:trPr>
          <w:trHeight w:val="1453" w:hRule="atLeast"/>
          <w:jc w:val="center"/>
        </w:trPr>
        <w:tc>
          <w:tcPr>
            <w:tcW w:w="868"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项目</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rPr>
            </w:pPr>
            <w:r>
              <w:rPr>
                <w:rFonts w:hint="eastAsia" w:ascii="Times New Roman" w:hAnsi="Times New Roman" w:eastAsia="方正仿宋_GBK"/>
                <w:color w:val="auto"/>
                <w:sz w:val="24"/>
                <w:szCs w:val="24"/>
              </w:rPr>
              <w:t>名称</w:t>
            </w:r>
          </w:p>
        </w:tc>
        <w:tc>
          <w:tcPr>
            <w:tcW w:w="1218"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lang w:eastAsia="zh-CN"/>
              </w:rPr>
            </w:pPr>
            <w:r>
              <w:rPr>
                <w:rFonts w:hint="eastAsia" w:ascii="Times New Roman" w:hAnsi="Times New Roman" w:eastAsia="方正仿宋_GBK"/>
                <w:color w:val="auto"/>
                <w:lang w:eastAsia="zh-CN"/>
              </w:rPr>
              <w:t>科技型企业知识价值信用贷款风险补偿基金</w:t>
            </w:r>
          </w:p>
        </w:tc>
        <w:tc>
          <w:tcPr>
            <w:tcW w:w="835" w:type="dxa"/>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项目</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rPr>
            </w:pPr>
            <w:r>
              <w:rPr>
                <w:rFonts w:hint="eastAsia" w:ascii="Times New Roman" w:hAnsi="Times New Roman" w:eastAsia="方正仿宋_GBK"/>
                <w:color w:val="auto"/>
                <w:sz w:val="24"/>
                <w:szCs w:val="24"/>
              </w:rPr>
              <w:t>编码</w:t>
            </w:r>
          </w:p>
        </w:tc>
        <w:tc>
          <w:tcPr>
            <w:tcW w:w="878" w:type="dxa"/>
            <w:gridSpan w:val="2"/>
            <w:tcBorders>
              <w:top w:val="single" w:color="auto"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exact"/>
              <w:ind w:left="0" w:leftChars="0" w:right="0" w:rightChars="0" w:firstLine="0" w:firstLineChars="0"/>
              <w:jc w:val="left"/>
              <w:textAlignment w:val="center"/>
              <w:outlineLvl w:val="9"/>
              <w:rPr>
                <w:rFonts w:hint="eastAsia" w:ascii="Times New Roman" w:hAnsi="Times New Roman" w:eastAsia="方正仿宋_GBK"/>
                <w:color w:val="auto"/>
              </w:rPr>
            </w:pPr>
          </w:p>
        </w:tc>
        <w:tc>
          <w:tcPr>
            <w:tcW w:w="112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rPr>
            </w:pPr>
            <w:r>
              <w:rPr>
                <w:rFonts w:hint="eastAsia" w:ascii="Times New Roman" w:hAnsi="Times New Roman" w:eastAsia="方正仿宋_GBK"/>
                <w:color w:val="auto"/>
              </w:rPr>
              <w:t>自评总分（分）</w:t>
            </w:r>
          </w:p>
        </w:tc>
        <w:tc>
          <w:tcPr>
            <w:tcW w:w="4338"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99.2</w:t>
            </w:r>
          </w:p>
        </w:tc>
      </w:tr>
      <w:tr>
        <w:tblPrEx>
          <w:tblLayout w:type="fixed"/>
          <w:tblCellMar>
            <w:top w:w="0" w:type="dxa"/>
            <w:left w:w="108" w:type="dxa"/>
            <w:bottom w:w="0" w:type="dxa"/>
            <w:right w:w="108" w:type="dxa"/>
          </w:tblCellMar>
        </w:tblPrEx>
        <w:trPr>
          <w:trHeight w:val="1020" w:hRule="atLeast"/>
          <w:jc w:val="center"/>
        </w:trPr>
        <w:tc>
          <w:tcPr>
            <w:tcW w:w="868"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主管</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部门</w:t>
            </w:r>
          </w:p>
        </w:tc>
        <w:tc>
          <w:tcPr>
            <w:tcW w:w="1218" w:type="dxa"/>
            <w:gridSpan w:val="2"/>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lang w:eastAsia="zh-CN"/>
              </w:rPr>
            </w:pPr>
            <w:r>
              <w:rPr>
                <w:rFonts w:hint="eastAsia" w:ascii="Times New Roman" w:hAnsi="Times New Roman" w:eastAsia="方正仿宋_GBK"/>
                <w:color w:val="auto"/>
              </w:rPr>
              <w:t>重庆市合川区科学技术</w:t>
            </w:r>
            <w:r>
              <w:rPr>
                <w:rFonts w:hint="eastAsia" w:ascii="Times New Roman" w:hAnsi="Times New Roman" w:eastAsia="方正仿宋_GBK"/>
                <w:color w:val="auto"/>
                <w:lang w:eastAsia="zh-CN"/>
              </w:rPr>
              <w:t>局</w:t>
            </w:r>
          </w:p>
        </w:tc>
        <w:tc>
          <w:tcPr>
            <w:tcW w:w="835" w:type="dxa"/>
            <w:tcBorders>
              <w:top w:val="single" w:color="auto"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财政科室</w:t>
            </w:r>
          </w:p>
        </w:tc>
        <w:tc>
          <w:tcPr>
            <w:tcW w:w="878" w:type="dxa"/>
            <w:gridSpan w:val="2"/>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行财科</w:t>
            </w:r>
          </w:p>
        </w:tc>
        <w:tc>
          <w:tcPr>
            <w:tcW w:w="1121" w:type="dxa"/>
            <w:gridSpan w:val="3"/>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lang w:eastAsia="zh-CN"/>
              </w:rPr>
            </w:pPr>
            <w:r>
              <w:rPr>
                <w:rFonts w:hint="eastAsia" w:ascii="Times New Roman" w:hAnsi="Times New Roman" w:eastAsia="方正仿宋_GBK"/>
                <w:color w:val="auto"/>
                <w:lang w:eastAsia="zh-CN"/>
              </w:rPr>
              <w:t>项目</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联系人</w:t>
            </w:r>
          </w:p>
        </w:tc>
        <w:tc>
          <w:tcPr>
            <w:tcW w:w="847"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lang w:eastAsia="zh-CN"/>
              </w:rPr>
            </w:pPr>
            <w:r>
              <w:rPr>
                <w:rFonts w:hint="eastAsia" w:ascii="Times New Roman" w:hAnsi="Times New Roman" w:eastAsia="方正仿宋_GBK"/>
                <w:color w:val="auto"/>
                <w:sz w:val="21"/>
                <w:szCs w:val="21"/>
                <w:lang w:eastAsia="zh-CN"/>
              </w:rPr>
              <w:t>林欣</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联系电话</w:t>
            </w:r>
          </w:p>
        </w:tc>
        <w:tc>
          <w:tcPr>
            <w:tcW w:w="2210"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rPr>
              <w:t>42756</w:t>
            </w:r>
            <w:r>
              <w:rPr>
                <w:rFonts w:hint="eastAsia" w:ascii="Times New Roman" w:hAnsi="Times New Roman" w:eastAsia="方正仿宋_GBK"/>
                <w:color w:val="auto"/>
                <w:lang w:val="en-US" w:eastAsia="zh-CN"/>
              </w:rPr>
              <w:t>855</w:t>
            </w:r>
          </w:p>
        </w:tc>
      </w:tr>
      <w:tr>
        <w:tblPrEx>
          <w:tblLayout w:type="fixed"/>
          <w:tblCellMar>
            <w:top w:w="0" w:type="dxa"/>
            <w:left w:w="108" w:type="dxa"/>
            <w:bottom w:w="0" w:type="dxa"/>
            <w:right w:w="108" w:type="dxa"/>
          </w:tblCellMar>
        </w:tblPrEx>
        <w:trPr>
          <w:trHeight w:val="916" w:hRule="atLeast"/>
          <w:jc w:val="center"/>
        </w:trPr>
        <w:tc>
          <w:tcPr>
            <w:tcW w:w="8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部门预算执行情况</w:t>
            </w:r>
          </w:p>
        </w:tc>
        <w:tc>
          <w:tcPr>
            <w:tcW w:w="984" w:type="dxa"/>
            <w:vMerge w:val="restart"/>
            <w:tcBorders>
              <w:top w:val="nil"/>
              <w:left w:val="nil"/>
              <w:right w:val="nil"/>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预算</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资金</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sz w:val="21"/>
                <w:szCs w:val="21"/>
              </w:rPr>
              <w:t>（万元）</w:t>
            </w:r>
          </w:p>
        </w:tc>
        <w:tc>
          <w:tcPr>
            <w:tcW w:w="106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年初</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预算数</w:t>
            </w:r>
          </w:p>
        </w:tc>
        <w:tc>
          <w:tcPr>
            <w:tcW w:w="150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全年（调整）</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预算数</w:t>
            </w:r>
          </w:p>
        </w:tc>
        <w:tc>
          <w:tcPr>
            <w:tcW w:w="134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全年执行数</w:t>
            </w:r>
          </w:p>
        </w:tc>
        <w:tc>
          <w:tcPr>
            <w:tcW w:w="12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执行率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w:t>
            </w:r>
            <w:r>
              <w:rPr>
                <w:rFonts w:ascii="Times New Roman" w:hAnsi="Times New Roman" w:eastAsia="方正仿宋_GBK" w:cs="Times New Roman"/>
                <w:color w:val="auto"/>
              </w:rPr>
              <w:t>%</w:t>
            </w:r>
            <w:r>
              <w:rPr>
                <w:rFonts w:hint="eastAsia" w:ascii="方正仿宋_GBK" w:eastAsia="方正仿宋_GBK"/>
                <w:color w:val="auto"/>
              </w:rPr>
              <w:t>）</w:t>
            </w:r>
          </w:p>
        </w:tc>
        <w:tc>
          <w:tcPr>
            <w:tcW w:w="965"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执行率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权重</w:t>
            </w:r>
          </w:p>
        </w:tc>
        <w:tc>
          <w:tcPr>
            <w:tcW w:w="124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执行率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rPr>
            </w:pPr>
            <w:r>
              <w:rPr>
                <w:rFonts w:hint="eastAsia" w:ascii="Times New Roman" w:hAnsi="Times New Roman" w:eastAsia="方正仿宋_GBK"/>
                <w:color w:val="auto"/>
              </w:rPr>
              <w:t>得分</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（分）</w:t>
            </w:r>
          </w:p>
        </w:tc>
      </w:tr>
      <w:tr>
        <w:tblPrEx>
          <w:tblLayout w:type="fixed"/>
          <w:tblCellMar>
            <w:top w:w="0" w:type="dxa"/>
            <w:left w:w="108" w:type="dxa"/>
            <w:bottom w:w="0" w:type="dxa"/>
            <w:right w:w="108" w:type="dxa"/>
          </w:tblCellMar>
        </w:tblPrEx>
        <w:trPr>
          <w:trHeight w:val="600" w:hRule="atLeast"/>
          <w:jc w:val="center"/>
        </w:trPr>
        <w:tc>
          <w:tcPr>
            <w:tcW w:w="86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c>
          <w:tcPr>
            <w:tcW w:w="984" w:type="dxa"/>
            <w:vMerge w:val="continue"/>
            <w:tcBorders>
              <w:top w:val="nil"/>
              <w:left w:val="nil"/>
              <w:right w:val="nil"/>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c>
          <w:tcPr>
            <w:tcW w:w="106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300</w:t>
            </w:r>
          </w:p>
        </w:tc>
        <w:tc>
          <w:tcPr>
            <w:tcW w:w="150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300</w:t>
            </w:r>
          </w:p>
        </w:tc>
        <w:tc>
          <w:tcPr>
            <w:tcW w:w="1345"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300</w:t>
            </w:r>
          </w:p>
        </w:tc>
        <w:tc>
          <w:tcPr>
            <w:tcW w:w="1281" w:type="dxa"/>
            <w:gridSpan w:val="2"/>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lang w:val="en-US" w:eastAsia="zh-CN"/>
              </w:rPr>
              <w:t>100</w:t>
            </w:r>
          </w:p>
        </w:tc>
        <w:tc>
          <w:tcPr>
            <w:tcW w:w="965"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10</w:t>
            </w:r>
          </w:p>
        </w:tc>
        <w:tc>
          <w:tcPr>
            <w:tcW w:w="124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default" w:ascii="Times New Roman" w:hAnsi="Times New Roman" w:eastAsia="方正仿宋_GBK"/>
                <w:color w:val="auto"/>
                <w:lang w:val="en-US" w:eastAsia="zh-CN"/>
              </w:rPr>
            </w:pPr>
            <w:r>
              <w:rPr>
                <w:rFonts w:hint="eastAsia" w:ascii="Times New Roman" w:hAnsi="Times New Roman" w:eastAsia="方正仿宋_GBK"/>
                <w:color w:val="auto"/>
                <w:lang w:val="en-US" w:eastAsia="zh-CN"/>
              </w:rPr>
              <w:t>10</w:t>
            </w:r>
          </w:p>
        </w:tc>
      </w:tr>
      <w:tr>
        <w:tblPrEx>
          <w:tblLayout w:type="fixed"/>
          <w:tblCellMar>
            <w:top w:w="0" w:type="dxa"/>
            <w:left w:w="108" w:type="dxa"/>
            <w:bottom w:w="0" w:type="dxa"/>
            <w:right w:w="108" w:type="dxa"/>
          </w:tblCellMar>
        </w:tblPrEx>
        <w:trPr>
          <w:trHeight w:val="807" w:hRule="atLeast"/>
          <w:jc w:val="center"/>
        </w:trPr>
        <w:tc>
          <w:tcPr>
            <w:tcW w:w="8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当年绩效目标</w:t>
            </w:r>
          </w:p>
        </w:tc>
        <w:tc>
          <w:tcPr>
            <w:tcW w:w="4899"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年初绩效目标</w:t>
            </w:r>
          </w:p>
        </w:tc>
        <w:tc>
          <w:tcPr>
            <w:tcW w:w="1671"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全年（调整）绩效目标</w:t>
            </w:r>
          </w:p>
        </w:tc>
        <w:tc>
          <w:tcPr>
            <w:tcW w:w="1820"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全年目标实际完成情况</w:t>
            </w:r>
          </w:p>
        </w:tc>
      </w:tr>
      <w:tr>
        <w:tblPrEx>
          <w:tblLayout w:type="fixed"/>
          <w:tblCellMar>
            <w:top w:w="0" w:type="dxa"/>
            <w:left w:w="108" w:type="dxa"/>
            <w:bottom w:w="0" w:type="dxa"/>
            <w:right w:w="108" w:type="dxa"/>
          </w:tblCellMar>
        </w:tblPrEx>
        <w:trPr>
          <w:trHeight w:val="2717" w:hRule="atLeast"/>
          <w:jc w:val="center"/>
        </w:trPr>
        <w:tc>
          <w:tcPr>
            <w:tcW w:w="8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c>
          <w:tcPr>
            <w:tcW w:w="4899"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r>
              <w:rPr>
                <w:rFonts w:hint="eastAsia" w:ascii="Times New Roman" w:hAnsi="Times New Roman" w:eastAsia="方正仿宋_GBK"/>
                <w:color w:val="auto"/>
              </w:rPr>
              <w:t>为解决科技型中小企业融资难、融资贵的难题，我区于2018年底启动科技型企业知识价值信用贷款改革工作，由市区两级共同设立规模为1亿元的风险补偿基金，首期到位1000万元。截止今年9月15日，4家合作银行已向我区56家科技型企业发放贷款8020万元。</w:t>
            </w:r>
          </w:p>
        </w:tc>
        <w:tc>
          <w:tcPr>
            <w:tcW w:w="1671"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无调整</w:t>
            </w:r>
          </w:p>
        </w:tc>
        <w:tc>
          <w:tcPr>
            <w:tcW w:w="1820"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已完成</w:t>
            </w:r>
          </w:p>
        </w:tc>
      </w:tr>
      <w:tr>
        <w:tblPrEx>
          <w:tblLayout w:type="fixed"/>
          <w:tblCellMar>
            <w:top w:w="0" w:type="dxa"/>
            <w:left w:w="108" w:type="dxa"/>
            <w:bottom w:w="0" w:type="dxa"/>
            <w:right w:w="108" w:type="dxa"/>
          </w:tblCellMar>
        </w:tblPrEx>
        <w:trPr>
          <w:trHeight w:val="1960" w:hRule="atLeast"/>
          <w:jc w:val="center"/>
        </w:trPr>
        <w:tc>
          <w:tcPr>
            <w:tcW w:w="8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rPr>
            </w:pPr>
            <w:r>
              <w:rPr>
                <w:rFonts w:hint="eastAsia" w:ascii="Times New Roman" w:hAnsi="Times New Roman" w:eastAsia="方正仿宋_GBK"/>
                <w:color w:val="auto"/>
              </w:rPr>
              <w:t>绩效</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指标</w:t>
            </w:r>
          </w:p>
        </w:tc>
        <w:tc>
          <w:tcPr>
            <w:tcW w:w="20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名称</w:t>
            </w:r>
          </w:p>
        </w:tc>
        <w:tc>
          <w:tcPr>
            <w:tcW w:w="5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计量</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单位</w:t>
            </w:r>
          </w:p>
        </w:tc>
        <w:tc>
          <w:tcPr>
            <w:tcW w:w="68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性质</w:t>
            </w:r>
          </w:p>
        </w:tc>
        <w:tc>
          <w:tcPr>
            <w:tcW w:w="73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年初</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值</w:t>
            </w:r>
          </w:p>
        </w:tc>
        <w:tc>
          <w:tcPr>
            <w:tcW w:w="8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调整</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rPr>
            </w:pPr>
            <w:r>
              <w:rPr>
                <w:rFonts w:hint="eastAsia" w:ascii="Times New Roman" w:hAnsi="Times New Roman" w:eastAsia="方正仿宋_GBK"/>
                <w:color w:val="auto"/>
              </w:rPr>
              <w:t>指标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值</w:t>
            </w:r>
          </w:p>
        </w:tc>
        <w:tc>
          <w:tcPr>
            <w:tcW w:w="73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全年</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完成</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值</w:t>
            </w:r>
          </w:p>
        </w:tc>
        <w:tc>
          <w:tcPr>
            <w:tcW w:w="6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得分</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系数</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w:t>
            </w:r>
            <w:r>
              <w:rPr>
                <w:rFonts w:ascii="Times New Roman" w:hAnsi="Times New Roman" w:eastAsia="方正仿宋_GBK" w:cs="Times New Roman"/>
                <w:color w:val="auto"/>
                <w:sz w:val="21"/>
                <w:szCs w:val="21"/>
              </w:rPr>
              <w:t>%</w:t>
            </w:r>
            <w:r>
              <w:rPr>
                <w:rFonts w:hint="eastAsia" w:ascii="方正仿宋_GBK" w:eastAsia="方正仿宋_GBK"/>
                <w:color w:val="auto"/>
                <w:sz w:val="21"/>
                <w:szCs w:val="21"/>
              </w:rPr>
              <w:t>）</w:t>
            </w:r>
          </w:p>
        </w:tc>
        <w:tc>
          <w:tcPr>
            <w:tcW w:w="79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指标权重</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（分）</w:t>
            </w:r>
          </w:p>
        </w:tc>
        <w:tc>
          <w:tcPr>
            <w:tcW w:w="793"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指标</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hint="eastAsia" w:ascii="Times New Roman" w:hAnsi="Times New Roman" w:eastAsia="方正仿宋_GBK"/>
                <w:color w:val="auto"/>
                <w:sz w:val="21"/>
                <w:szCs w:val="21"/>
              </w:rPr>
            </w:pPr>
            <w:r>
              <w:rPr>
                <w:rFonts w:hint="eastAsia" w:ascii="Times New Roman" w:hAnsi="Times New Roman" w:eastAsia="方正仿宋_GBK"/>
                <w:color w:val="auto"/>
                <w:sz w:val="21"/>
                <w:szCs w:val="21"/>
              </w:rPr>
              <w:t>得分</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（分）</w:t>
            </w:r>
          </w:p>
        </w:tc>
        <w:tc>
          <w:tcPr>
            <w:tcW w:w="5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是否核心</w:t>
            </w:r>
          </w:p>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sz w:val="21"/>
                <w:szCs w:val="21"/>
              </w:rPr>
            </w:pPr>
            <w:r>
              <w:rPr>
                <w:rFonts w:hint="eastAsia" w:ascii="Times New Roman" w:hAnsi="Times New Roman" w:eastAsia="方正仿宋_GBK"/>
                <w:color w:val="auto"/>
                <w:sz w:val="21"/>
                <w:szCs w:val="21"/>
              </w:rPr>
              <w:t>指标</w:t>
            </w:r>
          </w:p>
        </w:tc>
      </w:tr>
      <w:tr>
        <w:tblPrEx>
          <w:tblLayout w:type="fixed"/>
          <w:tblCellMar>
            <w:top w:w="0" w:type="dxa"/>
            <w:left w:w="108" w:type="dxa"/>
            <w:bottom w:w="0" w:type="dxa"/>
            <w:right w:w="108" w:type="dxa"/>
          </w:tblCellMar>
        </w:tblPrEx>
        <w:trPr>
          <w:trHeight w:val="722" w:hRule="atLeast"/>
          <w:jc w:val="center"/>
        </w:trPr>
        <w:tc>
          <w:tcPr>
            <w:tcW w:w="86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c>
          <w:tcPr>
            <w:tcW w:w="2053"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 xml:space="preserve">实际完成数（户数） </w:t>
            </w:r>
          </w:p>
        </w:tc>
        <w:tc>
          <w:tcPr>
            <w:tcW w:w="583"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Times New Roman" w:hAnsi="Times New Roman" w:eastAsia="方正仿宋_GBK"/>
                <w:color w:val="auto"/>
                <w:lang w:eastAsia="zh-CN"/>
              </w:rPr>
            </w:pPr>
            <w:r>
              <w:rPr>
                <w:rFonts w:hint="eastAsia" w:ascii="Times New Roman" w:hAnsi="Times New Roman" w:eastAsia="方正仿宋_GBK"/>
                <w:color w:val="auto"/>
                <w:lang w:eastAsia="zh-CN"/>
              </w:rPr>
              <w:t>户</w:t>
            </w:r>
          </w:p>
        </w:tc>
        <w:tc>
          <w:tcPr>
            <w:tcW w:w="68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w:t>
            </w:r>
          </w:p>
        </w:tc>
        <w:tc>
          <w:tcPr>
            <w:tcW w:w="73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18"/>
                <w:szCs w:val="18"/>
              </w:rPr>
              <w:t>50</w:t>
            </w:r>
          </w:p>
        </w:tc>
        <w:tc>
          <w:tcPr>
            <w:tcW w:w="84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50</w:t>
            </w:r>
          </w:p>
        </w:tc>
        <w:tc>
          <w:tcPr>
            <w:tcW w:w="73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95</w:t>
            </w:r>
          </w:p>
        </w:tc>
        <w:tc>
          <w:tcPr>
            <w:tcW w:w="632"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color w:val="auto"/>
                <w:sz w:val="20"/>
                <w:szCs w:val="20"/>
              </w:rPr>
            </w:pPr>
            <w:r>
              <w:rPr>
                <w:rFonts w:hint="eastAsia"/>
                <w:color w:val="auto"/>
                <w:sz w:val="18"/>
                <w:szCs w:val="18"/>
              </w:rPr>
              <w:t>100</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eastAsia="宋体"/>
                <w:color w:val="auto"/>
                <w:sz w:val="20"/>
                <w:szCs w:val="20"/>
                <w:lang w:val="en-US" w:eastAsia="zh-CN"/>
              </w:rPr>
            </w:pPr>
            <w:r>
              <w:rPr>
                <w:rFonts w:hint="eastAsia"/>
                <w:color w:val="auto"/>
                <w:sz w:val="18"/>
                <w:szCs w:val="18"/>
                <w:lang w:val="en-US" w:eastAsia="zh-CN"/>
              </w:rPr>
              <w:t>40</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宋体"/>
                <w:color w:val="auto"/>
                <w:lang w:val="en-US" w:eastAsia="zh-CN"/>
              </w:rPr>
            </w:pPr>
            <w:r>
              <w:rPr>
                <w:rFonts w:hint="eastAsia"/>
                <w:color w:val="auto"/>
                <w:sz w:val="18"/>
                <w:szCs w:val="18"/>
                <w:lang w:val="en-US" w:eastAsia="zh-CN"/>
              </w:rPr>
              <w:t>40</w:t>
            </w:r>
          </w:p>
        </w:tc>
        <w:tc>
          <w:tcPr>
            <w:tcW w:w="536"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outlineLvl w:val="9"/>
              <w:rPr>
                <w:rFonts w:ascii="Times New Roman" w:hAnsi="Times New Roman" w:eastAsia="方正仿宋_GBK"/>
                <w:color w:val="auto"/>
              </w:rPr>
            </w:pPr>
            <w:r>
              <w:rPr>
                <w:rFonts w:hint="eastAsia" w:ascii="Times New Roman" w:hAnsi="Times New Roman" w:eastAsia="方正仿宋_GBK"/>
                <w:color w:val="auto"/>
              </w:rPr>
              <w:t>是</w:t>
            </w:r>
          </w:p>
        </w:tc>
      </w:tr>
      <w:tr>
        <w:tblPrEx>
          <w:tblLayout w:type="fixed"/>
          <w:tblCellMar>
            <w:top w:w="0" w:type="dxa"/>
            <w:left w:w="108" w:type="dxa"/>
            <w:bottom w:w="0" w:type="dxa"/>
            <w:right w:w="108" w:type="dxa"/>
          </w:tblCellMar>
        </w:tblPrEx>
        <w:trPr>
          <w:trHeight w:val="554" w:hRule="atLeast"/>
          <w:jc w:val="center"/>
        </w:trPr>
        <w:tc>
          <w:tcPr>
            <w:tcW w:w="86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c>
          <w:tcPr>
            <w:tcW w:w="2053"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知识价值信用贷款额（万元）</w:t>
            </w:r>
          </w:p>
        </w:tc>
        <w:tc>
          <w:tcPr>
            <w:tcW w:w="583"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Times New Roman" w:hAnsi="Times New Roman" w:eastAsia="方正仿宋_GBK"/>
                <w:color w:val="auto"/>
                <w:lang w:eastAsia="zh-CN"/>
              </w:rPr>
            </w:pPr>
            <w:r>
              <w:rPr>
                <w:rFonts w:hint="eastAsia" w:eastAsia="方正仿宋_GBK"/>
                <w:color w:val="auto"/>
                <w:sz w:val="20"/>
                <w:szCs w:val="20"/>
                <w:lang w:eastAsia="zh-CN"/>
              </w:rPr>
              <w:t>万元</w:t>
            </w:r>
          </w:p>
        </w:tc>
        <w:tc>
          <w:tcPr>
            <w:tcW w:w="68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w:t>
            </w:r>
          </w:p>
        </w:tc>
        <w:tc>
          <w:tcPr>
            <w:tcW w:w="73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10000</w:t>
            </w:r>
          </w:p>
        </w:tc>
        <w:tc>
          <w:tcPr>
            <w:tcW w:w="84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ascii="宋体" w:hAnsi="宋体" w:eastAsia="方正仿宋_GBK"/>
                <w:color w:val="auto"/>
                <w:sz w:val="18"/>
                <w:szCs w:val="18"/>
                <w:lang w:val="en-US" w:eastAsia="zh-CN"/>
              </w:rPr>
              <w:t>10000</w:t>
            </w:r>
          </w:p>
        </w:tc>
        <w:tc>
          <w:tcPr>
            <w:tcW w:w="73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16840.60</w:t>
            </w:r>
          </w:p>
        </w:tc>
        <w:tc>
          <w:tcPr>
            <w:tcW w:w="632"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color w:val="auto"/>
                <w:sz w:val="20"/>
                <w:szCs w:val="20"/>
              </w:rPr>
            </w:pPr>
            <w:r>
              <w:rPr>
                <w:rFonts w:hint="eastAsia"/>
                <w:color w:val="auto"/>
                <w:sz w:val="18"/>
                <w:szCs w:val="18"/>
              </w:rPr>
              <w:t>100</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color w:val="auto"/>
                <w:sz w:val="20"/>
                <w:szCs w:val="20"/>
                <w:lang w:val="en-US"/>
              </w:rPr>
            </w:pPr>
            <w:r>
              <w:rPr>
                <w:rFonts w:hint="eastAsia"/>
                <w:color w:val="auto"/>
                <w:sz w:val="18"/>
                <w:szCs w:val="18"/>
                <w:lang w:val="en-US" w:eastAsia="zh-CN"/>
              </w:rPr>
              <w:t>30</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18"/>
                <w:szCs w:val="18"/>
                <w:lang w:val="en-US" w:eastAsia="zh-CN"/>
              </w:rPr>
              <w:t>40</w:t>
            </w:r>
          </w:p>
        </w:tc>
        <w:tc>
          <w:tcPr>
            <w:tcW w:w="536"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ascii="Times New Roman" w:hAnsi="Times New Roman" w:eastAsia="方正仿宋_GBK"/>
                <w:color w:val="auto"/>
              </w:rPr>
              <w:t>是</w:t>
            </w:r>
          </w:p>
        </w:tc>
      </w:tr>
      <w:tr>
        <w:tblPrEx>
          <w:tblLayout w:type="fixed"/>
          <w:tblCellMar>
            <w:top w:w="0" w:type="dxa"/>
            <w:left w:w="108" w:type="dxa"/>
            <w:bottom w:w="0" w:type="dxa"/>
            <w:right w:w="108" w:type="dxa"/>
          </w:tblCellMar>
        </w:tblPrEx>
        <w:trPr>
          <w:trHeight w:val="600" w:hRule="atLeast"/>
          <w:jc w:val="center"/>
        </w:trPr>
        <w:tc>
          <w:tcPr>
            <w:tcW w:w="86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c>
          <w:tcPr>
            <w:tcW w:w="2053"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引导商业贷款额（万元）</w:t>
            </w:r>
          </w:p>
        </w:tc>
        <w:tc>
          <w:tcPr>
            <w:tcW w:w="583"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次</w:t>
            </w:r>
          </w:p>
        </w:tc>
        <w:tc>
          <w:tcPr>
            <w:tcW w:w="68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ascii="方正仿宋_GBK" w:hAnsi="方正仿宋_GBK" w:eastAsia="方正仿宋_GBK" w:cs="方正仿宋_GBK"/>
                <w:color w:val="auto"/>
                <w:lang w:eastAsia="zh-CN"/>
              </w:rPr>
              <w:t>=</w:t>
            </w:r>
          </w:p>
        </w:tc>
        <w:tc>
          <w:tcPr>
            <w:tcW w:w="73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10000</w:t>
            </w:r>
          </w:p>
        </w:tc>
        <w:tc>
          <w:tcPr>
            <w:tcW w:w="84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10000</w:t>
            </w:r>
          </w:p>
        </w:tc>
        <w:tc>
          <w:tcPr>
            <w:tcW w:w="73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14388.60</w:t>
            </w:r>
          </w:p>
        </w:tc>
        <w:tc>
          <w:tcPr>
            <w:tcW w:w="632"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color w:val="auto"/>
                <w:sz w:val="20"/>
                <w:szCs w:val="20"/>
              </w:rPr>
            </w:pPr>
            <w:r>
              <w:rPr>
                <w:rFonts w:hint="eastAsia"/>
                <w:color w:val="auto"/>
                <w:sz w:val="18"/>
                <w:szCs w:val="18"/>
              </w:rPr>
              <w:t>100</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eastAsia="宋体"/>
                <w:color w:val="auto"/>
                <w:sz w:val="20"/>
                <w:szCs w:val="20"/>
                <w:lang w:val="en-US" w:eastAsia="zh-CN"/>
              </w:rPr>
            </w:pPr>
            <w:r>
              <w:rPr>
                <w:rFonts w:hint="eastAsia"/>
                <w:color w:val="auto"/>
                <w:sz w:val="18"/>
                <w:szCs w:val="18"/>
                <w:lang w:val="en-US" w:eastAsia="zh-CN"/>
              </w:rPr>
              <w:t>10</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10</w:t>
            </w:r>
          </w:p>
        </w:tc>
        <w:tc>
          <w:tcPr>
            <w:tcW w:w="536"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ascii="Times New Roman" w:hAnsi="Times New Roman" w:eastAsia="方正仿宋_GBK"/>
                <w:color w:val="auto"/>
              </w:rPr>
              <w:t>否</w:t>
            </w:r>
          </w:p>
        </w:tc>
      </w:tr>
      <w:tr>
        <w:tblPrEx>
          <w:tblLayout w:type="fixed"/>
          <w:tblCellMar>
            <w:top w:w="0" w:type="dxa"/>
            <w:left w:w="108" w:type="dxa"/>
            <w:bottom w:w="0" w:type="dxa"/>
            <w:right w:w="108" w:type="dxa"/>
          </w:tblCellMar>
        </w:tblPrEx>
        <w:trPr>
          <w:trHeight w:val="525" w:hRule="atLeast"/>
          <w:jc w:val="center"/>
        </w:trPr>
        <w:tc>
          <w:tcPr>
            <w:tcW w:w="86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c>
          <w:tcPr>
            <w:tcW w:w="2053"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18"/>
                <w:szCs w:val="18"/>
              </w:rPr>
              <w:t>满意度</w:t>
            </w:r>
          </w:p>
        </w:tc>
        <w:tc>
          <w:tcPr>
            <w:tcW w:w="583"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w:t>
            </w:r>
          </w:p>
        </w:tc>
        <w:tc>
          <w:tcPr>
            <w:tcW w:w="686"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ascii="Times New Roman" w:hAnsi="Times New Roman" w:eastAsia="方正仿宋_GBK"/>
                <w:color w:val="auto"/>
              </w:rPr>
            </w:pPr>
            <w:r>
              <w:rPr>
                <w:rFonts w:hint="eastAsia"/>
                <w:color w:val="auto"/>
                <w:sz w:val="20"/>
                <w:szCs w:val="20"/>
              </w:rPr>
              <w:t>≥</w:t>
            </w:r>
          </w:p>
        </w:tc>
        <w:tc>
          <w:tcPr>
            <w:tcW w:w="730"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100</w:t>
            </w:r>
          </w:p>
        </w:tc>
        <w:tc>
          <w:tcPr>
            <w:tcW w:w="84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100</w:t>
            </w:r>
          </w:p>
        </w:tc>
        <w:tc>
          <w:tcPr>
            <w:tcW w:w="737" w:type="dxa"/>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92</w:t>
            </w:r>
          </w:p>
        </w:tc>
        <w:tc>
          <w:tcPr>
            <w:tcW w:w="632"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eastAsia="宋体"/>
                <w:color w:val="auto"/>
                <w:sz w:val="20"/>
                <w:szCs w:val="20"/>
                <w:lang w:val="en-US" w:eastAsia="zh-CN"/>
              </w:rPr>
            </w:pPr>
            <w:r>
              <w:rPr>
                <w:rFonts w:hint="eastAsia"/>
                <w:color w:val="auto"/>
                <w:sz w:val="18"/>
                <w:szCs w:val="18"/>
                <w:lang w:val="en-US" w:eastAsia="zh-CN"/>
              </w:rPr>
              <w:t>92</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eastAsia="宋体"/>
                <w:color w:val="auto"/>
                <w:sz w:val="20"/>
                <w:szCs w:val="20"/>
                <w:lang w:val="en-US" w:eastAsia="zh-CN"/>
              </w:rPr>
            </w:pPr>
            <w:r>
              <w:rPr>
                <w:rFonts w:hint="eastAsia"/>
                <w:color w:val="auto"/>
                <w:sz w:val="18"/>
                <w:szCs w:val="18"/>
                <w:lang w:val="en-US" w:eastAsia="zh-CN"/>
              </w:rPr>
              <w:t>10</w:t>
            </w:r>
          </w:p>
        </w:tc>
        <w:tc>
          <w:tcPr>
            <w:tcW w:w="793" w:type="dxa"/>
            <w:gridSpan w:val="2"/>
            <w:tcBorders>
              <w:top w:val="nil"/>
              <w:left w:val="single" w:color="auto" w:sz="4" w:space="0"/>
              <w:bottom w:val="single" w:color="auto" w:sz="4" w:space="0"/>
              <w:right w:val="nil"/>
            </w:tcBorders>
            <w:shd w:val="clear" w:color="auto" w:fill="FFFFFF"/>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jc w:val="center"/>
              <w:textAlignment w:val="center"/>
              <w:outlineLvl w:val="9"/>
              <w:rPr>
                <w:rFonts w:hint="default" w:ascii="Times New Roman" w:hAnsi="Times New Roman" w:eastAsia="方正仿宋_GBK"/>
                <w:color w:val="auto"/>
                <w:lang w:val="en-US" w:eastAsia="zh-CN"/>
              </w:rPr>
            </w:pPr>
            <w:r>
              <w:rPr>
                <w:rFonts w:hint="eastAsia" w:eastAsia="方正仿宋_GBK"/>
                <w:color w:val="auto"/>
                <w:sz w:val="18"/>
                <w:szCs w:val="18"/>
                <w:lang w:val="en-US" w:eastAsia="zh-CN"/>
              </w:rPr>
              <w:t>9.2</w:t>
            </w:r>
          </w:p>
        </w:tc>
        <w:tc>
          <w:tcPr>
            <w:tcW w:w="5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r>
              <w:rPr>
                <w:rFonts w:hint="eastAsia" w:ascii="Times New Roman" w:hAnsi="Times New Roman" w:eastAsia="方正仿宋_GBK"/>
                <w:color w:val="auto"/>
              </w:rPr>
              <w:t>否</w:t>
            </w:r>
          </w:p>
        </w:tc>
      </w:tr>
      <w:tr>
        <w:tblPrEx>
          <w:tblLayout w:type="fixed"/>
          <w:tblCellMar>
            <w:top w:w="0" w:type="dxa"/>
            <w:left w:w="108" w:type="dxa"/>
            <w:bottom w:w="0" w:type="dxa"/>
            <w:right w:w="108" w:type="dxa"/>
          </w:tblCellMar>
        </w:tblPrEx>
        <w:trPr>
          <w:trHeight w:val="471" w:hRule="atLeast"/>
          <w:jc w:val="center"/>
        </w:trPr>
        <w:tc>
          <w:tcPr>
            <w:tcW w:w="8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r>
              <w:rPr>
                <w:rFonts w:hint="eastAsia" w:ascii="Times New Roman" w:hAnsi="Times New Roman" w:eastAsia="方正仿宋_GBK"/>
                <w:color w:val="auto"/>
              </w:rPr>
              <w:t>说明</w:t>
            </w:r>
          </w:p>
        </w:tc>
        <w:tc>
          <w:tcPr>
            <w:tcW w:w="8390" w:type="dxa"/>
            <w:gridSpan w:val="17"/>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N/>
              <w:bidi w:val="0"/>
              <w:adjustRightInd/>
              <w:snapToGrid/>
              <w:spacing w:beforeAutospacing="0" w:afterAutospacing="0" w:line="240" w:lineRule="exact"/>
              <w:ind w:left="0" w:leftChars="0" w:right="0" w:rightChars="0" w:firstLine="0" w:firstLineChars="0"/>
              <w:outlineLvl w:val="9"/>
              <w:rPr>
                <w:rFonts w:ascii="Times New Roman" w:hAnsi="Times New Roman" w:eastAsia="方正仿宋_GBK"/>
                <w:color w:val="auto"/>
              </w:rPr>
            </w:pPr>
          </w:p>
        </w:tc>
      </w:tr>
    </w:tbl>
    <w:p>
      <w:pPr>
        <w:widowControl w:val="0"/>
        <w:autoSpaceDE w:val="0"/>
        <w:ind w:firstLine="0" w:firstLineChars="0"/>
        <w:jc w:val="both"/>
        <w:rPr>
          <w:rFonts w:hint="eastAsia" w:ascii="方正仿宋_GBK" w:eastAsia="方正仿宋_GBK"/>
          <w:color w:val="000000"/>
          <w:sz w:val="32"/>
          <w:szCs w:val="32"/>
        </w:rPr>
      </w:pPr>
    </w:p>
    <w:p>
      <w:pPr>
        <w:pStyle w:val="2"/>
        <w:autoSpaceDE w:val="0"/>
        <w:spacing w:before="93" w:beforeLines="30" w:beforeAutospacing="0" w:after="93" w:afterLines="30" w:afterAutospacing="0"/>
        <w:rPr>
          <w:rStyle w:val="5"/>
          <w:rFonts w:hint="eastAsia" w:ascii="方正楷体_GBK" w:eastAsia="方正楷体_GBK"/>
          <w:b w:val="0"/>
          <w:bCs w:val="0"/>
          <w:shd w:val="clear" w:color="auto" w:fill="FFFFFF"/>
        </w:rPr>
      </w:pPr>
      <w:r>
        <w:rPr>
          <w:rStyle w:val="5"/>
          <w:rFonts w:hint="eastAsia" w:ascii="方正楷体_GBK" w:eastAsia="方正楷体_GBK"/>
          <w:b w:val="0"/>
          <w:bCs w:val="0"/>
          <w:sz w:val="32"/>
          <w:szCs w:val="32"/>
          <w:shd w:val="clear" w:color="auto" w:fill="FFFFFF"/>
        </w:rPr>
        <w:t>（三）重点绩效评价结果</w:t>
      </w:r>
    </w:p>
    <w:p>
      <w:pPr>
        <w:pStyle w:val="2"/>
        <w:spacing w:before="0" w:beforeAutospacing="0"/>
        <w:ind w:firstLine="640" w:firstLineChars="200"/>
        <w:rPr>
          <w:rFonts w:hint="eastAsia" w:ascii="方正仿宋_GBK" w:eastAsia="方正仿宋_GBK"/>
          <w:color w:val="000000"/>
        </w:rPr>
      </w:pPr>
      <w:r>
        <w:rPr>
          <w:rFonts w:hint="eastAsia" w:ascii="方正仿宋_GBK" w:eastAsia="方正仿宋_GBK"/>
          <w:color w:val="000000"/>
          <w:sz w:val="32"/>
          <w:szCs w:val="32"/>
        </w:rPr>
        <w:t>我局未进行重点绩效评价。</w:t>
      </w:r>
    </w:p>
    <w:p>
      <w:pPr>
        <w:pStyle w:val="2"/>
        <w:spacing w:before="0" w:beforeAutospacing="0"/>
        <w:rPr>
          <w:rFonts w:hint="eastAsia" w:ascii="方正黑体_GBK" w:eastAsia="方正黑体_GBK"/>
          <w:sz w:val="32"/>
          <w:szCs w:val="32"/>
        </w:rPr>
      </w:pPr>
      <w:r>
        <w:rPr>
          <w:rStyle w:val="5"/>
          <w:rFonts w:hint="eastAsia" w:ascii="方正黑体_GBK" w:eastAsia="方正黑体_GBK"/>
          <w:b w:val="0"/>
          <w:bCs w:val="0"/>
          <w:sz w:val="32"/>
          <w:szCs w:val="32"/>
          <w:shd w:val="clear" w:color="auto" w:fill="FFFFFF"/>
        </w:rPr>
        <w:t>六、专业名词解释</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（一）财政拨款收入：</w:t>
      </w:r>
      <w:r>
        <w:rPr>
          <w:rFonts w:hint="eastAsia" w:ascii="方正仿宋_GBK" w:eastAsia="方正仿宋_GBK"/>
          <w:color w:val="000000"/>
          <w:sz w:val="32"/>
          <w:szCs w:val="32"/>
        </w:rPr>
        <w:t>指本年度从本级财政部门取得的财政拨款，包括一般公共预算财政拨款和政府性基金预算财政拨款。</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（二）事业收入：</w:t>
      </w:r>
      <w:r>
        <w:rPr>
          <w:rFonts w:hint="eastAsia" w:ascii="方正仿宋_GBK" w:eastAsia="方正仿宋_GBK"/>
          <w:color w:val="000000"/>
          <w:sz w:val="32"/>
          <w:szCs w:val="32"/>
        </w:rPr>
        <w:t>指事业单位开展专业业务活动及其辅助活动取得的现金流入；事业单位收到的财政专户实际核拨的教育收费等资金在此反映。</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（三）经营收入：</w:t>
      </w:r>
      <w:r>
        <w:rPr>
          <w:rFonts w:hint="eastAsia" w:ascii="方正仿宋_GBK" w:eastAsia="方正仿宋_GBK"/>
          <w:color w:val="000000"/>
          <w:sz w:val="32"/>
          <w:szCs w:val="32"/>
        </w:rPr>
        <w:t>指事业单位在专业业务活动及其辅助活动之外开展非独立核算经营活动取得的现金流入。</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（四）其他收入：</w:t>
      </w:r>
      <w:r>
        <w:rPr>
          <w:rFonts w:hint="eastAsia" w:ascii="方正仿宋_GBK" w:eastAsia="方正仿宋_GBK"/>
          <w:color w:val="00000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（五）使用非财政拨款结余：</w:t>
      </w:r>
      <w:r>
        <w:rPr>
          <w:rFonts w:hint="eastAsia" w:ascii="方正仿宋_GBK" w:eastAsia="方正仿宋_GBK"/>
          <w:color w:val="000000"/>
          <w:sz w:val="32"/>
          <w:szCs w:val="32"/>
        </w:rPr>
        <w:t>指单位在当年的“财政拨款收入”、“事业收入”、“经营收入”、“其他收入”等不足以安排当年支出的情况下，使用以前年度积累的非财政拨款结余弥补本年度收支缺口的资金。</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（六）年初结转和结余：</w:t>
      </w:r>
      <w:r>
        <w:rPr>
          <w:rFonts w:hint="eastAsia" w:ascii="方正仿宋_GBK" w:eastAsia="方正仿宋_GBK"/>
          <w:color w:val="000000"/>
          <w:sz w:val="32"/>
          <w:szCs w:val="32"/>
        </w:rPr>
        <w:t>指单位上年结转本年使用的基本支出结转、项目支出结转和结余、经营结余。</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（七）结余分配：</w:t>
      </w:r>
      <w:r>
        <w:rPr>
          <w:rFonts w:hint="eastAsia" w:ascii="方正仿宋_GBK" w:eastAsia="方正仿宋_GBK"/>
          <w:color w:val="000000"/>
          <w:sz w:val="32"/>
          <w:szCs w:val="32"/>
        </w:rPr>
        <w:t>指单位按照国家有关规定，缴纳所得税、提取专用基金、转入非财政拨款结余等当年结余的分配情况。</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（八）年末结转和结余：</w:t>
      </w:r>
      <w:r>
        <w:rPr>
          <w:rFonts w:hint="eastAsia" w:ascii="方正仿宋_GBK" w:eastAsia="方正仿宋_GBK"/>
          <w:color w:val="000000"/>
          <w:sz w:val="32"/>
          <w:szCs w:val="32"/>
        </w:rPr>
        <w:t>指单位结转下年的基本支出结转、项目支出结转和结余、经营结余。</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（九）基本支出：</w:t>
      </w:r>
      <w:r>
        <w:rPr>
          <w:rFonts w:hint="eastAsia" w:ascii="方正仿宋_GBK" w:eastAsia="方正仿宋_GBK"/>
          <w:color w:val="00000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（十）项目支出：</w:t>
      </w:r>
      <w:r>
        <w:rPr>
          <w:rFonts w:hint="eastAsia" w:ascii="方正仿宋_GBK" w:eastAsia="方正仿宋_GBK"/>
          <w:color w:val="000000"/>
          <w:sz w:val="32"/>
          <w:szCs w:val="32"/>
        </w:rPr>
        <w:t>指在基本支出之外为完成特定行政任务和事业发展目标所发生的支出。</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（十一）经营支出：</w:t>
      </w:r>
      <w:r>
        <w:rPr>
          <w:rFonts w:hint="eastAsia" w:ascii="方正仿宋_GBK" w:eastAsia="方正仿宋_GBK"/>
          <w:color w:val="000000"/>
          <w:sz w:val="32"/>
          <w:szCs w:val="32"/>
        </w:rPr>
        <w:t>指事业单位在专业业务活动及其辅助活动之外开展非独立核算经营活动发生的支出。</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（十二）“三公”经费：</w:t>
      </w:r>
      <w:r>
        <w:rPr>
          <w:rFonts w:hint="eastAsia" w:ascii="方正仿宋_GBK" w:eastAsia="方正仿宋_GBK"/>
          <w:color w:val="00000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（十三）机关运行经费：</w:t>
      </w:r>
      <w:r>
        <w:rPr>
          <w:rFonts w:hint="eastAsia" w:ascii="方正仿宋_GBK" w:eastAsia="方正仿宋_GBK"/>
          <w:color w:val="000000"/>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（十四）工资福利支出（支出经济分类科目类级）：</w:t>
      </w:r>
      <w:r>
        <w:rPr>
          <w:rFonts w:hint="eastAsia" w:ascii="方正仿宋_GBK" w:eastAsia="方正仿宋_GBK"/>
          <w:color w:val="000000"/>
          <w:sz w:val="32"/>
          <w:szCs w:val="32"/>
        </w:rPr>
        <w:t>反映单位开支的在职职工和编制外长期聘用人员的各类劳动报酬，以及为上述人员缴纳的各项社会保险费等。</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（十五）商品和服务支出（支出经济分类科目类级）：</w:t>
      </w:r>
      <w:r>
        <w:rPr>
          <w:rFonts w:hint="eastAsia" w:ascii="方正仿宋_GBK" w:eastAsia="方正仿宋_GBK"/>
          <w:color w:val="000000"/>
          <w:sz w:val="32"/>
          <w:szCs w:val="32"/>
        </w:rPr>
        <w:t>反映单位购买商品和服务的支出（不包括用于购置固定资产的支出、战略性和应急储备支出）。</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（十六）对个人和家庭的补助（支出经济分类科目类级）：</w:t>
      </w:r>
      <w:r>
        <w:rPr>
          <w:rFonts w:hint="eastAsia" w:ascii="方正仿宋_GBK" w:eastAsia="方正仿宋_GBK"/>
          <w:color w:val="000000"/>
          <w:sz w:val="32"/>
          <w:szCs w:val="32"/>
        </w:rPr>
        <w:t>反映用于对个人和家庭的补助支出。</w:t>
      </w:r>
    </w:p>
    <w:p>
      <w:pPr>
        <w:pStyle w:val="2"/>
        <w:spacing w:before="0" w:beforeAutospacing="0"/>
        <w:ind w:firstLine="643" w:firstLineChars="200"/>
        <w:rPr>
          <w:rFonts w:hint="eastAsia" w:ascii="方正仿宋_GBK" w:eastAsia="方正仿宋_GBK"/>
          <w:color w:val="000000"/>
          <w:sz w:val="32"/>
          <w:szCs w:val="32"/>
        </w:rPr>
      </w:pPr>
      <w:r>
        <w:rPr>
          <w:rFonts w:hint="eastAsia" w:ascii="方正仿宋_GBK" w:eastAsia="方正仿宋_GBK"/>
          <w:b/>
          <w:bCs/>
          <w:color w:val="000000"/>
          <w:sz w:val="32"/>
          <w:szCs w:val="32"/>
        </w:rPr>
        <w:t>（十七）其他资本性支出（支出经济分类科目类级）：</w:t>
      </w:r>
      <w:r>
        <w:rPr>
          <w:rFonts w:hint="eastAsia" w:ascii="方正仿宋_GBK" w:eastAsia="方正仿宋_GBK"/>
          <w:color w:val="000000"/>
          <w:sz w:val="32"/>
          <w:szCs w:val="32"/>
        </w:rPr>
        <w:t>反映非各级发展与改革部门集中安排的用于购置固定资产、战略性和应急性储备、土地和无形资产，以及构建基础设施、大型修缮和财政支持企业更新改造所发生的支出。</w:t>
      </w:r>
    </w:p>
    <w:p>
      <w:pPr>
        <w:pStyle w:val="2"/>
        <w:spacing w:before="0" w:beforeAutospacing="0"/>
        <w:rPr>
          <w:rFonts w:hint="eastAsia" w:ascii="方正黑体_GBK" w:eastAsia="方正黑体_GBK"/>
          <w:color w:val="000000"/>
          <w:sz w:val="32"/>
          <w:szCs w:val="32"/>
        </w:rPr>
      </w:pPr>
      <w:r>
        <w:rPr>
          <w:rFonts w:hint="eastAsia" w:ascii="方正黑体_GBK" w:eastAsia="方正黑体_GBK"/>
          <w:color w:val="000000"/>
          <w:sz w:val="32"/>
          <w:szCs w:val="32"/>
        </w:rPr>
        <w:t>七、决算公开联系方式及信息反馈渠道</w:t>
      </w:r>
    </w:p>
    <w:p>
      <w:pPr>
        <w:pStyle w:val="2"/>
        <w:spacing w:before="0" w:beforeAutospacing="0"/>
        <w:ind w:firstLine="640" w:firstLineChars="200"/>
        <w:rPr>
          <w:rFonts w:hint="default" w:ascii="方正仿宋_GBK" w:eastAsia="方正仿宋_GBK"/>
          <w:color w:val="000000"/>
          <w:sz w:val="32"/>
          <w:szCs w:val="32"/>
          <w:lang w:val="en-US" w:eastAsia="zh-CN"/>
        </w:rPr>
        <w:sectPr>
          <w:pgSz w:w="11915" w:h="16851"/>
          <w:pgMar w:top="1440" w:right="1800" w:bottom="1440" w:left="1800" w:header="851" w:footer="992" w:gutter="0"/>
          <w:cols w:space="720" w:num="1"/>
          <w:docGrid w:type="lines" w:linePitch="312" w:charSpace="0"/>
        </w:sectPr>
      </w:pPr>
      <w:r>
        <w:rPr>
          <w:rFonts w:hint="eastAsia" w:ascii="方正仿宋_GBK" w:eastAsia="方正仿宋_GBK"/>
          <w:color w:val="000000"/>
          <w:sz w:val="32"/>
          <w:szCs w:val="32"/>
        </w:rPr>
        <w:t>本单位决算公开信息反馈和联系方式：区科技局办公室谭颖：023-427568</w:t>
      </w:r>
      <w:r>
        <w:rPr>
          <w:rFonts w:hint="eastAsia" w:ascii="方正仿宋_GBK" w:eastAsia="方正仿宋_GBK"/>
          <w:color w:val="000000"/>
          <w:sz w:val="32"/>
          <w:szCs w:val="32"/>
          <w:lang w:val="en-US" w:eastAsia="zh-CN"/>
        </w:rPr>
        <w:t>55</w:t>
      </w:r>
      <w:bookmarkStart w:id="0" w:name="_GoBack"/>
      <w:bookmarkEnd w:id="0"/>
    </w:p>
    <w:tbl>
      <w:tblPr>
        <w:tblStyle w:val="4"/>
        <w:tblW w:w="11467" w:type="dxa"/>
        <w:jc w:val="center"/>
        <w:tblInd w:w="0" w:type="dxa"/>
        <w:shd w:val="clear" w:color="auto" w:fill="auto"/>
        <w:tblLayout w:type="fixed"/>
        <w:tblCellMar>
          <w:top w:w="0" w:type="dxa"/>
          <w:left w:w="108" w:type="dxa"/>
          <w:bottom w:w="0" w:type="dxa"/>
          <w:right w:w="108" w:type="dxa"/>
        </w:tblCellMar>
      </w:tblPr>
      <w:tblGrid>
        <w:gridCol w:w="4687"/>
        <w:gridCol w:w="1428"/>
        <w:gridCol w:w="3716"/>
        <w:gridCol w:w="1636"/>
      </w:tblGrid>
      <w:tr>
        <w:tblPrEx>
          <w:shd w:val="clear" w:color="auto" w:fill="auto"/>
          <w:tblLayout w:type="fixed"/>
          <w:tblCellMar>
            <w:top w:w="0" w:type="dxa"/>
            <w:left w:w="108" w:type="dxa"/>
            <w:bottom w:w="0" w:type="dxa"/>
            <w:right w:w="108" w:type="dxa"/>
          </w:tblCellMar>
        </w:tblPrEx>
        <w:trPr>
          <w:trHeight w:val="555" w:hRule="atLeast"/>
          <w:jc w:val="center"/>
        </w:trPr>
        <w:tc>
          <w:tcPr>
            <w:tcW w:w="11467"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2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7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3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1428" w:type="dxa"/>
            <w:tcBorders>
              <w:top w:val="nil"/>
              <w:left w:val="nil"/>
              <w:bottom w:val="single" w:color="80808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37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3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00" w:hRule="atLeast"/>
          <w:jc w:val="center"/>
        </w:trPr>
        <w:tc>
          <w:tcPr>
            <w:tcW w:w="611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5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428"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1428"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1,104.03</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1428"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936.04</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23.68</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十四、资源勘探信息等支出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1,700.73</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r>
      <w:tr>
        <w:tblPrEx>
          <w:tblLayout w:type="fixed"/>
          <w:tblCellMar>
            <w:top w:w="0" w:type="dxa"/>
            <w:left w:w="108" w:type="dxa"/>
            <w:bottom w:w="0" w:type="dxa"/>
            <w:right w:w="108" w:type="dxa"/>
          </w:tblCellMar>
        </w:tblPrEx>
        <w:trPr>
          <w:trHeight w:val="300" w:hRule="atLeast"/>
          <w:jc w:val="center"/>
        </w:trPr>
        <w:tc>
          <w:tcPr>
            <w:tcW w:w="46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c>
          <w:tcPr>
            <w:tcW w:w="37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6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r>
      <w:tr>
        <w:tblPrEx>
          <w:tblLayout w:type="fixed"/>
          <w:tblCellMar>
            <w:top w:w="0" w:type="dxa"/>
            <w:left w:w="108" w:type="dxa"/>
            <w:bottom w:w="0" w:type="dxa"/>
            <w:right w:w="108" w:type="dxa"/>
          </w:tblCellMar>
        </w:tblPrEx>
        <w:trPr>
          <w:trHeight w:val="300" w:hRule="atLeast"/>
          <w:jc w:val="center"/>
        </w:trPr>
        <w:tc>
          <w:tcPr>
            <w:tcW w:w="11467"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备注：本表反映部门本年度的总收支和年末结转结余等情况。 </w:t>
            </w:r>
          </w:p>
        </w:tc>
      </w:tr>
    </w:tbl>
    <w:p>
      <w:r>
        <w:br w:type="page"/>
      </w:r>
    </w:p>
    <w:tbl>
      <w:tblPr>
        <w:tblStyle w:val="4"/>
        <w:tblW w:w="14081" w:type="dxa"/>
        <w:tblInd w:w="93" w:type="dxa"/>
        <w:shd w:val="clear" w:color="auto" w:fill="auto"/>
        <w:tblLayout w:type="fixed"/>
        <w:tblCellMar>
          <w:top w:w="0" w:type="dxa"/>
          <w:left w:w="108" w:type="dxa"/>
          <w:bottom w:w="0" w:type="dxa"/>
          <w:right w:w="108" w:type="dxa"/>
        </w:tblCellMar>
      </w:tblPr>
      <w:tblGrid>
        <w:gridCol w:w="3342"/>
        <w:gridCol w:w="404"/>
        <w:gridCol w:w="240"/>
        <w:gridCol w:w="2610"/>
        <w:gridCol w:w="1373"/>
        <w:gridCol w:w="1258"/>
        <w:gridCol w:w="784"/>
        <w:gridCol w:w="704"/>
        <w:gridCol w:w="750"/>
        <w:gridCol w:w="673"/>
        <w:gridCol w:w="873"/>
        <w:gridCol w:w="1070"/>
      </w:tblGrid>
      <w:tr>
        <w:tblPrEx>
          <w:shd w:val="clear" w:color="auto" w:fill="auto"/>
          <w:tblLayout w:type="fixed"/>
          <w:tblCellMar>
            <w:top w:w="0" w:type="dxa"/>
            <w:left w:w="108" w:type="dxa"/>
            <w:bottom w:w="0" w:type="dxa"/>
            <w:right w:w="108" w:type="dxa"/>
          </w:tblCellMar>
        </w:tblPrEx>
        <w:trPr>
          <w:trHeight w:val="555" w:hRule="atLeast"/>
        </w:trPr>
        <w:tc>
          <w:tcPr>
            <w:tcW w:w="14081"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Layout w:type="fixed"/>
          <w:tblCellMar>
            <w:top w:w="0" w:type="dxa"/>
            <w:left w:w="108" w:type="dxa"/>
            <w:bottom w:w="0" w:type="dxa"/>
            <w:right w:w="108" w:type="dxa"/>
          </w:tblCellMar>
        </w:tblPrEx>
        <w:trPr>
          <w:trHeight w:val="300" w:hRule="atLeast"/>
        </w:trPr>
        <w:tc>
          <w:tcPr>
            <w:tcW w:w="334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04"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61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5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84"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04"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7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Layout w:type="fixed"/>
          <w:tblCellMar>
            <w:top w:w="0" w:type="dxa"/>
            <w:left w:w="108" w:type="dxa"/>
            <w:bottom w:w="0" w:type="dxa"/>
            <w:right w:w="108" w:type="dxa"/>
          </w:tblCellMar>
        </w:tblPrEx>
        <w:trPr>
          <w:trHeight w:val="445" w:hRule="atLeast"/>
        </w:trPr>
        <w:tc>
          <w:tcPr>
            <w:tcW w:w="3342"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404"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610"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73"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58" w:type="dxa"/>
            <w:tcBorders>
              <w:top w:val="nil"/>
              <w:left w:val="nil"/>
              <w:bottom w:val="single" w:color="80808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784"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04"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750"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73"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73"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70"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00" w:hRule="atLeast"/>
        </w:trPr>
        <w:tc>
          <w:tcPr>
            <w:tcW w:w="659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3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25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78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1454"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6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873"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Layout w:type="fixed"/>
          <w:tblCellMar>
            <w:top w:w="0" w:type="dxa"/>
            <w:left w:w="108" w:type="dxa"/>
            <w:bottom w:w="0" w:type="dxa"/>
            <w:right w:w="108" w:type="dxa"/>
          </w:tblCellMar>
        </w:tblPrEx>
        <w:trPr>
          <w:trHeight w:val="300" w:hRule="atLeast"/>
        </w:trPr>
        <w:tc>
          <w:tcPr>
            <w:tcW w:w="398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26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3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54"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3"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39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6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0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7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6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3"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400" w:hRule="atLeast"/>
        </w:trPr>
        <w:tc>
          <w:tcPr>
            <w:tcW w:w="398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6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8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0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7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3"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659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科学技术支出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936.04</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936.04</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20601</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科学技术管理事务</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2060101</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2060103</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109.88</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109.88</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20604</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技术研究与开发</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2060499</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其他技术研究与开发支出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93.51</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93.51</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90.76</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90.76</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2080599</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其他行政事业单位养老支出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22406</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自然灾害防治</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2240699</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其他自然灾害防治支出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234</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抗疫特别国债安排的支出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23402</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抗疫相关支出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986"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2340299</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13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14081"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备注：本表反映部门本年度取得的各项收入情况。</w:t>
            </w:r>
          </w:p>
        </w:tc>
      </w:tr>
    </w:tbl>
    <w:p>
      <w:r>
        <w:br w:type="page"/>
      </w:r>
    </w:p>
    <w:tbl>
      <w:tblPr>
        <w:tblStyle w:val="4"/>
        <w:tblW w:w="13845" w:type="dxa"/>
        <w:tblInd w:w="93" w:type="dxa"/>
        <w:shd w:val="clear" w:color="auto" w:fill="auto"/>
        <w:tblLayout w:type="fixed"/>
        <w:tblCellMar>
          <w:top w:w="0" w:type="dxa"/>
          <w:left w:w="108" w:type="dxa"/>
          <w:bottom w:w="0" w:type="dxa"/>
          <w:right w:w="108" w:type="dxa"/>
        </w:tblCellMar>
      </w:tblPr>
      <w:tblGrid>
        <w:gridCol w:w="4056"/>
        <w:gridCol w:w="222"/>
        <w:gridCol w:w="240"/>
        <w:gridCol w:w="3598"/>
        <w:gridCol w:w="1236"/>
        <w:gridCol w:w="821"/>
        <w:gridCol w:w="1016"/>
        <w:gridCol w:w="620"/>
        <w:gridCol w:w="620"/>
        <w:gridCol w:w="1416"/>
      </w:tblGrid>
      <w:tr>
        <w:tblPrEx>
          <w:shd w:val="clear" w:color="auto" w:fill="auto"/>
          <w:tblLayout w:type="fixed"/>
          <w:tblCellMar>
            <w:top w:w="0" w:type="dxa"/>
            <w:left w:w="108" w:type="dxa"/>
            <w:bottom w:w="0" w:type="dxa"/>
            <w:right w:w="108" w:type="dxa"/>
          </w:tblCellMar>
        </w:tblPrEx>
        <w:trPr>
          <w:trHeight w:val="555" w:hRule="atLeast"/>
        </w:trPr>
        <w:tc>
          <w:tcPr>
            <w:tcW w:w="13845" w:type="dxa"/>
            <w:gridSpan w:val="10"/>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Layout w:type="fixed"/>
          <w:tblCellMar>
            <w:top w:w="0" w:type="dxa"/>
            <w:left w:w="108" w:type="dxa"/>
            <w:bottom w:w="0" w:type="dxa"/>
            <w:right w:w="108" w:type="dxa"/>
          </w:tblCellMar>
        </w:tblPrEx>
        <w:trPr>
          <w:trHeight w:val="300" w:hRule="atLeast"/>
        </w:trPr>
        <w:tc>
          <w:tcPr>
            <w:tcW w:w="405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9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Layout w:type="fixed"/>
          <w:tblCellMar>
            <w:top w:w="0" w:type="dxa"/>
            <w:left w:w="108" w:type="dxa"/>
            <w:bottom w:w="0" w:type="dxa"/>
            <w:right w:w="108" w:type="dxa"/>
          </w:tblCellMar>
        </w:tblPrEx>
        <w:trPr>
          <w:trHeight w:val="300" w:hRule="atLeast"/>
        </w:trPr>
        <w:tc>
          <w:tcPr>
            <w:tcW w:w="4056"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9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82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00" w:hRule="atLeast"/>
        </w:trPr>
        <w:tc>
          <w:tcPr>
            <w:tcW w:w="81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Layout w:type="fixed"/>
          <w:tblCellMar>
            <w:top w:w="0" w:type="dxa"/>
            <w:left w:w="108" w:type="dxa"/>
            <w:bottom w:w="0" w:type="dxa"/>
            <w:right w:w="108" w:type="dxa"/>
          </w:tblCellMar>
        </w:tblPrEx>
        <w:trPr>
          <w:trHeight w:val="300" w:hRule="atLeast"/>
        </w:trPr>
        <w:tc>
          <w:tcPr>
            <w:tcW w:w="45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3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45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45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811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1,700.73</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447.73</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1,253.00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科学技术支出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936.04</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20601</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科学技术管理事务</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2060101</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2060103</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109.88</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109.88</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20604</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技术研究与开发</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2060499</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其他技术研究与开发支出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93.51</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93.51</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90.76</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90.76</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2080599</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其他行政事业单位养老支出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234</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抗疫特别国债安排的支出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23402</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抗疫相关支出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51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2340299</w:t>
            </w:r>
          </w:p>
        </w:tc>
        <w:tc>
          <w:tcPr>
            <w:tcW w:w="35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13845" w:type="dxa"/>
            <w:gridSpan w:val="1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备注：本表反映部门本年度各项支出情况。</w:t>
            </w:r>
          </w:p>
        </w:tc>
      </w:tr>
    </w:tbl>
    <w:p>
      <w:r>
        <w:br w:type="page"/>
      </w:r>
    </w:p>
    <w:tbl>
      <w:tblPr>
        <w:tblStyle w:val="4"/>
        <w:tblW w:w="12772" w:type="dxa"/>
        <w:jc w:val="center"/>
        <w:tblInd w:w="0" w:type="dxa"/>
        <w:shd w:val="clear" w:color="auto" w:fill="auto"/>
        <w:tblLayout w:type="fixed"/>
        <w:tblCellMar>
          <w:top w:w="0" w:type="dxa"/>
          <w:left w:w="108" w:type="dxa"/>
          <w:bottom w:w="0" w:type="dxa"/>
          <w:right w:w="108" w:type="dxa"/>
        </w:tblCellMar>
      </w:tblPr>
      <w:tblGrid>
        <w:gridCol w:w="4056"/>
        <w:gridCol w:w="1016"/>
        <w:gridCol w:w="3216"/>
        <w:gridCol w:w="1236"/>
        <w:gridCol w:w="1016"/>
        <w:gridCol w:w="816"/>
        <w:gridCol w:w="1416"/>
      </w:tblGrid>
      <w:tr>
        <w:tblPrEx>
          <w:shd w:val="clear" w:color="auto" w:fill="auto"/>
          <w:tblLayout w:type="fixed"/>
          <w:tblCellMar>
            <w:top w:w="0" w:type="dxa"/>
            <w:left w:w="108" w:type="dxa"/>
            <w:bottom w:w="0" w:type="dxa"/>
            <w:right w:w="108" w:type="dxa"/>
          </w:tblCellMar>
        </w:tblPrEx>
        <w:trPr>
          <w:trHeight w:val="555" w:hRule="atLeast"/>
          <w:jc w:val="center"/>
        </w:trPr>
        <w:tc>
          <w:tcPr>
            <w:tcW w:w="12772" w:type="dxa"/>
            <w:gridSpan w:val="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2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1016"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2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10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00" w:hRule="atLeast"/>
          <w:jc w:val="center"/>
        </w:trPr>
        <w:tc>
          <w:tcPr>
            <w:tcW w:w="5072"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     入</w:t>
            </w:r>
          </w:p>
        </w:tc>
        <w:tc>
          <w:tcPr>
            <w:tcW w:w="7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     出</w:t>
            </w:r>
          </w:p>
        </w:tc>
      </w:tr>
      <w:tr>
        <w:tblPrEx>
          <w:tblLayout w:type="fixed"/>
          <w:tblCellMar>
            <w:top w:w="0" w:type="dxa"/>
            <w:left w:w="108" w:type="dxa"/>
            <w:bottom w:w="0" w:type="dxa"/>
            <w:right w:w="108" w:type="dxa"/>
          </w:tblCellMar>
        </w:tblPrEx>
        <w:trPr>
          <w:trHeight w:val="285" w:hRule="atLeast"/>
          <w:jc w:val="center"/>
        </w:trPr>
        <w:tc>
          <w:tcPr>
            <w:tcW w:w="405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    目</w:t>
            </w:r>
          </w:p>
        </w:tc>
        <w:tc>
          <w:tcPr>
            <w:tcW w:w="1016"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44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Layout w:type="fixed"/>
          <w:tblCellMar>
            <w:top w:w="0" w:type="dxa"/>
            <w:left w:w="108" w:type="dxa"/>
            <w:bottom w:w="0" w:type="dxa"/>
            <w:right w:w="108" w:type="dxa"/>
          </w:tblCellMar>
        </w:tblPrEx>
        <w:trPr>
          <w:trHeight w:val="600" w:hRule="atLeast"/>
          <w:jc w:val="center"/>
        </w:trPr>
        <w:tc>
          <w:tcPr>
            <w:tcW w:w="405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Layout w:type="fixed"/>
          <w:tblCellMar>
            <w:top w:w="0" w:type="dxa"/>
            <w:left w:w="108" w:type="dxa"/>
            <w:bottom w:w="0" w:type="dxa"/>
            <w:right w:w="108" w:type="dxa"/>
          </w:tblCellMar>
        </w:tblPrEx>
        <w:trPr>
          <w:trHeight w:val="5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01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1,104.03</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5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01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5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101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936.04</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936.04</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93.50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23.68</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23.68</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1,700.73</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1,071.73</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3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c>
          <w:tcPr>
            <w:tcW w:w="32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1,733.03</w:t>
            </w:r>
          </w:p>
        </w:tc>
        <w:tc>
          <w:tcPr>
            <w:tcW w:w="1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1,104.03</w:t>
            </w:r>
          </w:p>
        </w:tc>
        <w:tc>
          <w:tcPr>
            <w:tcW w:w="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11356" w:type="dxa"/>
            <w:gridSpan w:val="6"/>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备注：本表反映部门本年度一般公共预算财政拨款和政府性基金预算财政拨款的总收支和年末结转结余情况。</w:t>
            </w:r>
          </w:p>
        </w:tc>
        <w:tc>
          <w:tcPr>
            <w:tcW w:w="14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0"/>
                <w:szCs w:val="20"/>
                <w:u w:val="none"/>
              </w:rPr>
            </w:pPr>
          </w:p>
        </w:tc>
      </w:tr>
    </w:tbl>
    <w:p>
      <w:r>
        <w:br w:type="page"/>
      </w:r>
    </w:p>
    <w:tbl>
      <w:tblPr>
        <w:tblStyle w:val="4"/>
        <w:tblW w:w="14081" w:type="dxa"/>
        <w:tblInd w:w="93" w:type="dxa"/>
        <w:shd w:val="clear" w:color="auto" w:fill="auto"/>
        <w:tblLayout w:type="fixed"/>
        <w:tblCellMar>
          <w:top w:w="0" w:type="dxa"/>
          <w:left w:w="108" w:type="dxa"/>
          <w:bottom w:w="0" w:type="dxa"/>
          <w:right w:w="108" w:type="dxa"/>
        </w:tblCellMar>
      </w:tblPr>
      <w:tblGrid>
        <w:gridCol w:w="3943"/>
        <w:gridCol w:w="222"/>
        <w:gridCol w:w="222"/>
        <w:gridCol w:w="3516"/>
        <w:gridCol w:w="1206"/>
        <w:gridCol w:w="992"/>
        <w:gridCol w:w="992"/>
        <w:gridCol w:w="803"/>
        <w:gridCol w:w="803"/>
        <w:gridCol w:w="1382"/>
      </w:tblGrid>
      <w:tr>
        <w:tblPrEx>
          <w:shd w:val="clear" w:color="auto" w:fill="auto"/>
          <w:tblLayout w:type="fixed"/>
          <w:tblCellMar>
            <w:top w:w="0" w:type="dxa"/>
            <w:left w:w="108" w:type="dxa"/>
            <w:bottom w:w="0" w:type="dxa"/>
            <w:right w:w="108" w:type="dxa"/>
          </w:tblCellMar>
        </w:tblPrEx>
        <w:trPr>
          <w:trHeight w:val="555" w:hRule="atLeast"/>
        </w:trPr>
        <w:tc>
          <w:tcPr>
            <w:tcW w:w="14081" w:type="dxa"/>
            <w:gridSpan w:val="10"/>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一般公共预算财政拨款收入支出决算表</w:t>
            </w:r>
          </w:p>
        </w:tc>
      </w:tr>
      <w:tr>
        <w:tblPrEx>
          <w:tblLayout w:type="fixed"/>
          <w:tblCellMar>
            <w:top w:w="0" w:type="dxa"/>
            <w:left w:w="108" w:type="dxa"/>
            <w:bottom w:w="0" w:type="dxa"/>
            <w:right w:w="108" w:type="dxa"/>
          </w:tblCellMar>
        </w:tblPrEx>
        <w:trPr>
          <w:trHeight w:val="300" w:hRule="atLeast"/>
        </w:trPr>
        <w:tc>
          <w:tcPr>
            <w:tcW w:w="394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2"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Layout w:type="fixed"/>
          <w:tblCellMar>
            <w:top w:w="0" w:type="dxa"/>
            <w:left w:w="108" w:type="dxa"/>
            <w:bottom w:w="0" w:type="dxa"/>
            <w:right w:w="108" w:type="dxa"/>
          </w:tblCellMar>
        </w:tblPrEx>
        <w:trPr>
          <w:trHeight w:val="300" w:hRule="atLeast"/>
        </w:trPr>
        <w:tc>
          <w:tcPr>
            <w:tcW w:w="3943" w:type="dxa"/>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35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06" w:type="dxa"/>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99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82"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00" w:hRule="atLeast"/>
        </w:trPr>
        <w:tc>
          <w:tcPr>
            <w:tcW w:w="79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年初结转结余</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25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Layout w:type="fixed"/>
          <w:tblCellMar>
            <w:top w:w="0" w:type="dxa"/>
            <w:left w:w="108" w:type="dxa"/>
            <w:bottom w:w="0" w:type="dxa"/>
            <w:right w:w="108" w:type="dxa"/>
          </w:tblCellMar>
        </w:tblPrEx>
        <w:trPr>
          <w:trHeight w:val="300" w:hRule="atLeast"/>
        </w:trPr>
        <w:tc>
          <w:tcPr>
            <w:tcW w:w="43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615" w:hRule="atLeast"/>
        </w:trPr>
        <w:tc>
          <w:tcPr>
            <w:tcW w:w="43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43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79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1,104.03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1,071.73</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447.73</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r>
      <w:tr>
        <w:tblPrEx>
          <w:tblLayout w:type="fixed"/>
          <w:tblCellMar>
            <w:top w:w="0" w:type="dxa"/>
            <w:left w:w="108" w:type="dxa"/>
            <w:bottom w:w="0" w:type="dxa"/>
            <w:right w:w="108" w:type="dxa"/>
          </w:tblCellMar>
        </w:tblPrEx>
        <w:trPr>
          <w:trHeight w:val="300" w:hRule="atLeast"/>
        </w:trPr>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w:t>
            </w:r>
          </w:p>
        </w:tc>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科学技术支出</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936.04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936.04</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20601</w:t>
            </w:r>
          </w:p>
        </w:tc>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科学技术管理事务</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312.04</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2060101</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2060103</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机关服务</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109.88</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109.88</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109.88</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20604</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技术研究与开发</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624.00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2060499</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其他技术研究与开发支出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93.51</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93.51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90.76</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90.76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2080599</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其他行政事业单位养老支出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2.75</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23.69</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13.57</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2101103</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22406</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自然灾害防治</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32.30</w:t>
            </w:r>
          </w:p>
        </w:tc>
      </w:tr>
      <w:tr>
        <w:tblPrEx>
          <w:tblLayout w:type="fixed"/>
          <w:tblCellMar>
            <w:top w:w="0" w:type="dxa"/>
            <w:left w:w="108" w:type="dxa"/>
            <w:bottom w:w="0" w:type="dxa"/>
            <w:right w:w="108" w:type="dxa"/>
          </w:tblCellMar>
        </w:tblPrEx>
        <w:trPr>
          <w:trHeight w:val="300" w:hRule="atLeast"/>
        </w:trPr>
        <w:tc>
          <w:tcPr>
            <w:tcW w:w="438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2240699</w:t>
            </w:r>
          </w:p>
        </w:tc>
        <w:tc>
          <w:tcPr>
            <w:tcW w:w="35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其他自然灾害防治支出</w:t>
            </w:r>
          </w:p>
        </w:tc>
        <w:tc>
          <w:tcPr>
            <w:tcW w:w="12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c>
          <w:tcPr>
            <w:tcW w:w="99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32.30</w:t>
            </w:r>
          </w:p>
        </w:tc>
      </w:tr>
      <w:tr>
        <w:tblPrEx>
          <w:tblLayout w:type="fixed"/>
          <w:tblCellMar>
            <w:top w:w="0" w:type="dxa"/>
            <w:left w:w="108" w:type="dxa"/>
            <w:bottom w:w="0" w:type="dxa"/>
            <w:right w:w="108" w:type="dxa"/>
          </w:tblCellMar>
        </w:tblPrEx>
        <w:trPr>
          <w:trHeight w:val="300" w:hRule="atLeast"/>
        </w:trPr>
        <w:tc>
          <w:tcPr>
            <w:tcW w:w="12699"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备注：本表反映部门本年度一般公共预算财政拨款收支余情况。</w:t>
            </w:r>
          </w:p>
        </w:tc>
        <w:tc>
          <w:tcPr>
            <w:tcW w:w="138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20"/>
                <w:szCs w:val="20"/>
                <w:u w:val="none"/>
              </w:rPr>
            </w:pPr>
          </w:p>
        </w:tc>
      </w:tr>
    </w:tbl>
    <w:p>
      <w:r>
        <w:br w:type="page"/>
      </w:r>
    </w:p>
    <w:tbl>
      <w:tblPr>
        <w:tblStyle w:val="4"/>
        <w:tblW w:w="14081" w:type="dxa"/>
        <w:tblInd w:w="93" w:type="dxa"/>
        <w:shd w:val="clear" w:color="auto" w:fill="auto"/>
        <w:tblLayout w:type="fixed"/>
        <w:tblCellMar>
          <w:top w:w="0" w:type="dxa"/>
          <w:left w:w="108" w:type="dxa"/>
          <w:bottom w:w="0" w:type="dxa"/>
          <w:right w:w="108" w:type="dxa"/>
        </w:tblCellMar>
      </w:tblPr>
      <w:tblGrid>
        <w:gridCol w:w="2095"/>
        <w:gridCol w:w="2366"/>
        <w:gridCol w:w="993"/>
        <w:gridCol w:w="1338"/>
        <w:gridCol w:w="1685"/>
        <w:gridCol w:w="842"/>
        <w:gridCol w:w="1477"/>
        <w:gridCol w:w="2158"/>
        <w:gridCol w:w="1127"/>
      </w:tblGrid>
      <w:tr>
        <w:tblPrEx>
          <w:shd w:val="clear" w:color="auto" w:fill="auto"/>
          <w:tblLayout w:type="fixed"/>
          <w:tblCellMar>
            <w:top w:w="0" w:type="dxa"/>
            <w:left w:w="108" w:type="dxa"/>
            <w:bottom w:w="0" w:type="dxa"/>
            <w:right w:w="108" w:type="dxa"/>
          </w:tblCellMar>
        </w:tblPrEx>
        <w:trPr>
          <w:trHeight w:val="555" w:hRule="atLeast"/>
        </w:trPr>
        <w:tc>
          <w:tcPr>
            <w:tcW w:w="14081"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Layout w:type="fixed"/>
          <w:tblCellMar>
            <w:top w:w="0" w:type="dxa"/>
            <w:left w:w="108" w:type="dxa"/>
            <w:bottom w:w="0" w:type="dxa"/>
            <w:right w:w="108" w:type="dxa"/>
          </w:tblCellMar>
        </w:tblPrEx>
        <w:trPr>
          <w:trHeight w:val="300" w:hRule="atLeast"/>
        </w:trPr>
        <w:tc>
          <w:tcPr>
            <w:tcW w:w="209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36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8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4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77"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5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公开06表</w:t>
            </w:r>
          </w:p>
        </w:tc>
      </w:tr>
      <w:tr>
        <w:tblPrEx>
          <w:tblLayout w:type="fixed"/>
          <w:tblCellMar>
            <w:top w:w="0" w:type="dxa"/>
            <w:left w:w="108" w:type="dxa"/>
            <w:bottom w:w="0" w:type="dxa"/>
            <w:right w:w="108" w:type="dxa"/>
          </w:tblCellMar>
        </w:tblPrEx>
        <w:trPr>
          <w:trHeight w:val="300" w:hRule="atLeast"/>
        </w:trPr>
        <w:tc>
          <w:tcPr>
            <w:tcW w:w="2095"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2366"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93"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33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68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4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77"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158"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127"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金额单位：万元</w:t>
            </w:r>
          </w:p>
        </w:tc>
      </w:tr>
      <w:tr>
        <w:tblPrEx>
          <w:tblLayout w:type="fixed"/>
          <w:tblCellMar>
            <w:top w:w="0" w:type="dxa"/>
            <w:left w:w="108" w:type="dxa"/>
            <w:bottom w:w="0" w:type="dxa"/>
            <w:right w:w="108" w:type="dxa"/>
          </w:tblCellMar>
        </w:tblPrEx>
        <w:trPr>
          <w:trHeight w:val="300" w:hRule="atLeast"/>
        </w:trPr>
        <w:tc>
          <w:tcPr>
            <w:tcW w:w="5454" w:type="dxa"/>
            <w:gridSpan w:val="3"/>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862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Layout w:type="fixed"/>
          <w:tblCellMar>
            <w:top w:w="0" w:type="dxa"/>
            <w:left w:w="108" w:type="dxa"/>
            <w:bottom w:w="0" w:type="dxa"/>
            <w:right w:w="108" w:type="dxa"/>
          </w:tblCellMar>
        </w:tblPrEx>
        <w:trPr>
          <w:trHeight w:val="300" w:hRule="atLeast"/>
        </w:trPr>
        <w:tc>
          <w:tcPr>
            <w:tcW w:w="2095" w:type="dxa"/>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23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993"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Layout w:type="fixed"/>
          <w:tblCellMar>
            <w:top w:w="0" w:type="dxa"/>
            <w:left w:w="108" w:type="dxa"/>
            <w:bottom w:w="0" w:type="dxa"/>
            <w:right w:w="108" w:type="dxa"/>
          </w:tblCellMar>
        </w:tblPrEx>
        <w:trPr>
          <w:trHeight w:val="600" w:hRule="atLeast"/>
        </w:trPr>
        <w:tc>
          <w:tcPr>
            <w:tcW w:w="2095" w:type="dxa"/>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3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3"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993"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322.45</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73.47</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91"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94.97</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34.22</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44.94</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62.08</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12.85</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15.23</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21.83</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18.51</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51.81</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0.07</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0.89</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3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21.66</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资本金注入</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27.45</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政府投资基金股权投资</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3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其他个人和家庭的补助支出</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6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9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16.87</w:t>
            </w:r>
          </w:p>
        </w:tc>
        <w:tc>
          <w:tcPr>
            <w:tcW w:w="14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1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6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9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5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2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6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9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5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2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6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9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5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2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6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9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5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2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2095" w:type="dxa"/>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36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9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8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77"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158"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2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trPr>
        <w:tc>
          <w:tcPr>
            <w:tcW w:w="446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374.26</w:t>
            </w:r>
          </w:p>
        </w:tc>
        <w:tc>
          <w:tcPr>
            <w:tcW w:w="7500"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11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73.47</w:t>
            </w:r>
          </w:p>
        </w:tc>
      </w:tr>
      <w:tr>
        <w:tblPrEx>
          <w:tblLayout w:type="fixed"/>
          <w:tblCellMar>
            <w:top w:w="0" w:type="dxa"/>
            <w:left w:w="108" w:type="dxa"/>
            <w:bottom w:w="0" w:type="dxa"/>
            <w:right w:w="108" w:type="dxa"/>
          </w:tblCellMar>
        </w:tblPrEx>
        <w:trPr>
          <w:trHeight w:val="300" w:hRule="atLeast"/>
        </w:trPr>
        <w:tc>
          <w:tcPr>
            <w:tcW w:w="14081"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r>
        <w:br w:type="page"/>
      </w:r>
    </w:p>
    <w:tbl>
      <w:tblPr>
        <w:tblStyle w:val="4"/>
        <w:tblW w:w="12660" w:type="dxa"/>
        <w:jc w:val="center"/>
        <w:tblInd w:w="0" w:type="dxa"/>
        <w:shd w:val="clear" w:color="auto" w:fill="auto"/>
        <w:tblLayout w:type="fixed"/>
        <w:tblCellMar>
          <w:top w:w="0" w:type="dxa"/>
          <w:left w:w="108" w:type="dxa"/>
          <w:bottom w:w="0" w:type="dxa"/>
          <w:right w:w="108" w:type="dxa"/>
        </w:tblCellMar>
      </w:tblPr>
      <w:tblGrid>
        <w:gridCol w:w="4056"/>
        <w:gridCol w:w="222"/>
        <w:gridCol w:w="222"/>
        <w:gridCol w:w="2425"/>
        <w:gridCol w:w="1236"/>
        <w:gridCol w:w="821"/>
        <w:gridCol w:w="821"/>
        <w:gridCol w:w="620"/>
        <w:gridCol w:w="821"/>
        <w:gridCol w:w="1416"/>
      </w:tblGrid>
      <w:tr>
        <w:tblPrEx>
          <w:shd w:val="clear" w:color="auto" w:fill="auto"/>
          <w:tblLayout w:type="fixed"/>
          <w:tblCellMar>
            <w:top w:w="0" w:type="dxa"/>
            <w:left w:w="108" w:type="dxa"/>
            <w:bottom w:w="0" w:type="dxa"/>
            <w:right w:w="108" w:type="dxa"/>
          </w:tblCellMar>
        </w:tblPrEx>
        <w:trPr>
          <w:trHeight w:val="555" w:hRule="atLeast"/>
          <w:jc w:val="center"/>
        </w:trPr>
        <w:tc>
          <w:tcPr>
            <w:tcW w:w="12660" w:type="dxa"/>
            <w:gridSpan w:val="10"/>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2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222"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25"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single" w:color="80808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821"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00" w:hRule="atLeast"/>
          <w:jc w:val="center"/>
        </w:trPr>
        <w:tc>
          <w:tcPr>
            <w:tcW w:w="6925"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2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821"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22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Layout w:type="fixed"/>
          <w:tblCellMar>
            <w:top w:w="0" w:type="dxa"/>
            <w:left w:w="108" w:type="dxa"/>
            <w:bottom w:w="0" w:type="dxa"/>
            <w:right w:w="108" w:type="dxa"/>
          </w:tblCellMar>
        </w:tblPrEx>
        <w:trPr>
          <w:trHeight w:val="300" w:hRule="atLeast"/>
          <w:jc w:val="center"/>
        </w:trPr>
        <w:tc>
          <w:tcPr>
            <w:tcW w:w="450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2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23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jc w:val="center"/>
        </w:trPr>
        <w:tc>
          <w:tcPr>
            <w:tcW w:w="45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600" w:hRule="atLeast"/>
          <w:jc w:val="center"/>
        </w:trPr>
        <w:tc>
          <w:tcPr>
            <w:tcW w:w="45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jc w:val="center"/>
        </w:trPr>
        <w:tc>
          <w:tcPr>
            <w:tcW w:w="6925"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50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234</w:t>
            </w:r>
          </w:p>
        </w:tc>
        <w:tc>
          <w:tcPr>
            <w:tcW w:w="2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抗疫特别国债安排的支出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50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23402</w:t>
            </w:r>
          </w:p>
        </w:tc>
        <w:tc>
          <w:tcPr>
            <w:tcW w:w="2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抗疫相关支出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629.00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50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2340299</w:t>
            </w:r>
          </w:p>
        </w:tc>
        <w:tc>
          <w:tcPr>
            <w:tcW w:w="2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其他抗疫相关支出</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6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2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629.00</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12660" w:type="dxa"/>
            <w:gridSpan w:val="1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备注：本表反映部门本年度政府性基金预算财政拨款收入支出及结转和结余情况。</w:t>
            </w:r>
          </w:p>
        </w:tc>
      </w:tr>
    </w:tbl>
    <w:p>
      <w:r>
        <w:br w:type="page"/>
      </w:r>
    </w:p>
    <w:tbl>
      <w:tblPr>
        <w:tblStyle w:val="4"/>
        <w:tblW w:w="12343" w:type="dxa"/>
        <w:jc w:val="center"/>
        <w:tblInd w:w="0" w:type="dxa"/>
        <w:shd w:val="clear" w:color="auto" w:fill="auto"/>
        <w:tblLayout w:type="fixed"/>
        <w:tblCellMar>
          <w:top w:w="0" w:type="dxa"/>
          <w:left w:w="108" w:type="dxa"/>
          <w:bottom w:w="0" w:type="dxa"/>
          <w:right w:w="108" w:type="dxa"/>
        </w:tblCellMar>
      </w:tblPr>
      <w:tblGrid>
        <w:gridCol w:w="4056"/>
        <w:gridCol w:w="819"/>
        <w:gridCol w:w="1236"/>
        <w:gridCol w:w="4816"/>
        <w:gridCol w:w="1416"/>
      </w:tblGrid>
      <w:tr>
        <w:tblPrEx>
          <w:shd w:val="clear" w:color="auto" w:fill="auto"/>
          <w:tblLayout w:type="fixed"/>
          <w:tblCellMar>
            <w:top w:w="0" w:type="dxa"/>
            <w:left w:w="108" w:type="dxa"/>
            <w:bottom w:w="0" w:type="dxa"/>
            <w:right w:w="108" w:type="dxa"/>
          </w:tblCellMar>
        </w:tblPrEx>
        <w:trPr>
          <w:trHeight w:val="555" w:hRule="atLeast"/>
          <w:jc w:val="center"/>
        </w:trPr>
        <w:tc>
          <w:tcPr>
            <w:tcW w:w="12343" w:type="dxa"/>
            <w:gridSpan w:val="5"/>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19"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8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819"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236" w:type="dxa"/>
            <w:tcBorders>
              <w:top w:val="nil"/>
              <w:left w:val="nil"/>
              <w:bottom w:val="single" w:color="80808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481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41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45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  目</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预算数</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  目</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一、“三公”经费支出</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四、机关运行经费</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73.47</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（一）支出合计</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73.47</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1．因公出国（境）费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2．公务用车购置及运行维护费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五、国有资产占用情况</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（1）公务用车购置费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（2）公务用车运行维护费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1.副部（省）级及以上领导用车</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3．公务接待费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2.主要领导干部用车</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（1）国内接待费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4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3.机要通信用车</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其中：外事接待费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4.应急保障用车</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（2）国（境）外接待费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5.执法执勤用车</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（二）相关统计数</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6.特种专业技术用车</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1．因公出国（境）团组数（个）</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7.离退休干部用车</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2．因公出国（境）人次数（人）</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8.其他用车</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3．公务用车购置数（辆）</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（二）单价50万元（含）以上通用设备（台，套）</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4．公务用车保有量（辆）</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（三）单价100万（含）元以上专用设备（台，套）</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5．国内公务接待批次（个）</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六、政府采购支出信息</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其中：外事接待批次（个）</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（一）政府采购支出合计</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158.30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6．国内公务接待人次（人）</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1．政府采购货物支出</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其中：外事接待人次（人）</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2．政府采购工程支出</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7．国（境）外公务接待批次（个）</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3．政府采购服务支出</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158.30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8．国（境）外公务接待人次（人）</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（二）政府采购授予中小企业合同金额</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c>
          <w:tcPr>
            <w:tcW w:w="48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其中：授予小微企业合同金额</w:t>
            </w: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8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0.71</w:t>
            </w:r>
          </w:p>
        </w:tc>
        <w:tc>
          <w:tcPr>
            <w:tcW w:w="48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16"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jc w:val="center"/>
        </w:trPr>
        <w:tc>
          <w:tcPr>
            <w:tcW w:w="12343" w:type="dxa"/>
            <w:gridSpan w:val="5"/>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备注：预算数年初部门预算批复数，决算数包括当年财政拨款预算和以前年度结转结余资金安排的实际支出。</w:t>
            </w:r>
          </w:p>
        </w:tc>
      </w:tr>
    </w:tbl>
    <w:p>
      <w:r>
        <w:br w:type="page"/>
      </w:r>
    </w:p>
    <w:tbl>
      <w:tblPr>
        <w:tblStyle w:val="4"/>
        <w:tblW w:w="10792" w:type="dxa"/>
        <w:jc w:val="center"/>
        <w:tblInd w:w="0" w:type="dxa"/>
        <w:shd w:val="clear" w:color="auto" w:fill="auto"/>
        <w:tblLayout w:type="fixed"/>
        <w:tblCellMar>
          <w:top w:w="0" w:type="dxa"/>
          <w:left w:w="108" w:type="dxa"/>
          <w:bottom w:w="0" w:type="dxa"/>
          <w:right w:w="108" w:type="dxa"/>
        </w:tblCellMar>
      </w:tblPr>
      <w:tblGrid>
        <w:gridCol w:w="4056"/>
        <w:gridCol w:w="222"/>
        <w:gridCol w:w="222"/>
        <w:gridCol w:w="2413"/>
        <w:gridCol w:w="959"/>
        <w:gridCol w:w="959"/>
        <w:gridCol w:w="1961"/>
      </w:tblGrid>
      <w:tr>
        <w:tblPrEx>
          <w:shd w:val="clear" w:color="auto" w:fill="auto"/>
          <w:tblLayout w:type="fixed"/>
          <w:tblCellMar>
            <w:top w:w="0" w:type="dxa"/>
            <w:left w:w="108" w:type="dxa"/>
            <w:bottom w:w="0" w:type="dxa"/>
            <w:right w:w="108" w:type="dxa"/>
          </w:tblCellMar>
        </w:tblPrEx>
        <w:trPr>
          <w:trHeight w:val="555" w:hRule="atLeast"/>
          <w:jc w:val="center"/>
        </w:trPr>
        <w:tc>
          <w:tcPr>
            <w:tcW w:w="10792" w:type="dxa"/>
            <w:gridSpan w:val="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1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59"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59"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961"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公开09表</w:t>
            </w:r>
          </w:p>
        </w:tc>
      </w:tr>
      <w:tr>
        <w:tblPrEx>
          <w:tblLayout w:type="fixed"/>
          <w:tblCellMar>
            <w:top w:w="0" w:type="dxa"/>
            <w:left w:w="108" w:type="dxa"/>
            <w:bottom w:w="0" w:type="dxa"/>
            <w:right w:w="108" w:type="dxa"/>
          </w:tblCellMar>
        </w:tblPrEx>
        <w:trPr>
          <w:trHeight w:val="300" w:hRule="atLeast"/>
          <w:jc w:val="center"/>
        </w:trPr>
        <w:tc>
          <w:tcPr>
            <w:tcW w:w="4056" w:type="dxa"/>
            <w:tcBorders>
              <w:top w:val="nil"/>
              <w:left w:val="nil"/>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公开部门：重庆市合川区科学技术局</w:t>
            </w:r>
          </w:p>
        </w:tc>
        <w:tc>
          <w:tcPr>
            <w:tcW w:w="222"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single" w:color="808080" w:sz="4" w:space="0"/>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413" w:type="dxa"/>
            <w:tcBorders>
              <w:top w:val="nil"/>
              <w:left w:val="nil"/>
              <w:bottom w:val="single" w:color="80808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959"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59"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961"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00" w:hRule="atLeast"/>
          <w:jc w:val="center"/>
        </w:trPr>
        <w:tc>
          <w:tcPr>
            <w:tcW w:w="691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Layout w:type="fixed"/>
          <w:tblCellMar>
            <w:top w:w="0" w:type="dxa"/>
            <w:left w:w="108" w:type="dxa"/>
            <w:bottom w:w="0" w:type="dxa"/>
            <w:right w:w="108" w:type="dxa"/>
          </w:tblCellMar>
        </w:tblPrEx>
        <w:trPr>
          <w:trHeight w:val="300" w:hRule="atLeast"/>
          <w:jc w:val="center"/>
        </w:trPr>
        <w:tc>
          <w:tcPr>
            <w:tcW w:w="450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2413"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19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Layout w:type="fixed"/>
          <w:tblCellMar>
            <w:top w:w="0" w:type="dxa"/>
            <w:left w:w="108" w:type="dxa"/>
            <w:bottom w:w="0" w:type="dxa"/>
            <w:right w:w="108" w:type="dxa"/>
          </w:tblCellMar>
        </w:tblPrEx>
        <w:trPr>
          <w:trHeight w:val="300" w:hRule="atLeast"/>
          <w:jc w:val="center"/>
        </w:trPr>
        <w:tc>
          <w:tcPr>
            <w:tcW w:w="45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13"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600" w:hRule="atLeast"/>
          <w:jc w:val="center"/>
        </w:trPr>
        <w:tc>
          <w:tcPr>
            <w:tcW w:w="45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13" w:type="dxa"/>
            <w:vMerge w:val="continue"/>
            <w:tcBorders>
              <w:top w:val="nil"/>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jc w:val="center"/>
        </w:trPr>
        <w:tc>
          <w:tcPr>
            <w:tcW w:w="691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5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5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6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jc w:val="center"/>
        </w:trPr>
        <w:tc>
          <w:tcPr>
            <w:tcW w:w="4500" w:type="dxa"/>
            <w:gridSpan w:val="3"/>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413"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5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59"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961"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Layout w:type="fixed"/>
          <w:tblCellMar>
            <w:top w:w="0" w:type="dxa"/>
            <w:left w:w="108" w:type="dxa"/>
            <w:bottom w:w="0" w:type="dxa"/>
            <w:right w:w="108" w:type="dxa"/>
          </w:tblCellMar>
        </w:tblPrEx>
        <w:trPr>
          <w:trHeight w:val="300" w:hRule="atLeast"/>
          <w:jc w:val="center"/>
        </w:trPr>
        <w:tc>
          <w:tcPr>
            <w:tcW w:w="10792" w:type="dxa"/>
            <w:gridSpan w:val="7"/>
            <w:tcBorders>
              <w:top w:val="nil"/>
              <w:left w:val="single" w:color="808080" w:sz="4" w:space="0"/>
              <w:bottom w:val="single" w:color="80808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备注：本单无国有资本经营预算安排的支出，故本表无数据。</w:t>
            </w:r>
          </w:p>
        </w:tc>
      </w:tr>
    </w:tbl>
    <w:p/>
    <w:sectPr>
      <w:pgSz w:w="16838" w:h="11906" w:orient="landscape"/>
      <w:pgMar w:top="1803" w:right="1440" w:bottom="1803" w:left="144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C24"/>
    <w:multiLevelType w:val="multilevel"/>
    <w:tmpl w:val="10217C2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039BF"/>
    <w:rsid w:val="1B1039BF"/>
    <w:rsid w:val="1B1874C8"/>
    <w:rsid w:val="26B347F6"/>
    <w:rsid w:val="2BF0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style>
  <w:style w:type="character" w:customStyle="1" w:styleId="5">
    <w:name w:val="15"/>
    <w:basedOn w:val="3"/>
    <w:qFormat/>
    <w:uiPriority w:val="0"/>
    <w:rPr>
      <w:rFonts w:hint="default" w:ascii="Times New Roman" w:hAnsi="Times New Roman" w:cs="Times New Roman"/>
      <w:b/>
      <w:bCs/>
    </w:rPr>
  </w:style>
  <w:style w:type="paragraph" w:customStyle="1" w:styleId="6">
    <w:name w:val="普通(网站) Char"/>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2021-09-26T02:30:00Z</dcterms:created>
  <dc:creator>暖心冬影</dc:creator>
  <cp:lastModifiedBy>123</cp:lastModifiedBy>
  <dcterms:modified xsi:type="dcterms:W3CDTF">2022-03-24T03:04:36Z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CCDCACC7CF6A44288B888A110FE24ACF</vt:lpwstr>
  </property>
</Properties>
</file>