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小标宋_GBK"/>
          <w:color w:val="000000"/>
          <w:sz w:val="32"/>
          <w:szCs w:val="32"/>
          <w:lang w:eastAsia="zh-CN"/>
        </w:rPr>
      </w:pPr>
      <w:bookmarkStart w:id="0" w:name="_GoBack"/>
      <w:bookmarkEnd w:id="0"/>
      <w:r>
        <w:rPr>
          <w:rFonts w:hint="eastAsia" w:ascii="方正仿宋_GBK" w:hAnsi="方正仿宋_GBK" w:eastAsia="方正仿宋_GBK" w:cs="方正小标宋_GBK"/>
          <w:color w:val="000000"/>
          <w:sz w:val="32"/>
          <w:szCs w:val="32"/>
        </w:rPr>
        <w:t>重庆市合川区</w:t>
      </w:r>
      <w:r>
        <w:rPr>
          <w:rFonts w:hint="eastAsia" w:ascii="方正仿宋_GBK" w:hAnsi="方正仿宋_GBK" w:eastAsia="方正仿宋_GBK" w:cs="方正小标宋_GBK"/>
          <w:color w:val="000000"/>
          <w:sz w:val="32"/>
          <w:szCs w:val="32"/>
          <w:lang w:eastAsia="zh-CN"/>
        </w:rPr>
        <w:t>经济信息委</w:t>
      </w:r>
      <w:r>
        <w:rPr>
          <w:rFonts w:hint="eastAsia" w:ascii="方正仿宋_GBK" w:hAnsi="方正仿宋_GBK" w:eastAsia="方正仿宋_GBK" w:cs="方正小标宋_GBK"/>
          <w:color w:val="000000"/>
          <w:sz w:val="32"/>
          <w:szCs w:val="32"/>
        </w:rPr>
        <w:t>行政</w:t>
      </w:r>
      <w:r>
        <w:rPr>
          <w:rFonts w:hint="eastAsia" w:ascii="方正仿宋_GBK" w:hAnsi="方正仿宋_GBK" w:eastAsia="方正仿宋_GBK" w:cs="方正小标宋_GBK"/>
          <w:color w:val="000000"/>
          <w:sz w:val="32"/>
          <w:szCs w:val="32"/>
          <w:lang w:eastAsia="zh-CN"/>
        </w:rPr>
        <w:t>处罚决定</w:t>
      </w:r>
    </w:p>
    <w:tbl>
      <w:tblPr>
        <w:tblStyle w:val="6"/>
        <w:tblW w:w="15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1303"/>
        <w:gridCol w:w="7384"/>
        <w:gridCol w:w="1521"/>
        <w:gridCol w:w="2012"/>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trPr>
        <w:tc>
          <w:tcPr>
            <w:tcW w:w="1956"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决定书编号</w:t>
            </w:r>
          </w:p>
        </w:tc>
        <w:tc>
          <w:tcPr>
            <w:tcW w:w="1303"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被处罚主体</w:t>
            </w:r>
          </w:p>
        </w:tc>
        <w:tc>
          <w:tcPr>
            <w:tcW w:w="7384"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事实依据</w:t>
            </w:r>
          </w:p>
        </w:tc>
        <w:tc>
          <w:tcPr>
            <w:tcW w:w="1521"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处罚时间</w:t>
            </w:r>
          </w:p>
        </w:tc>
        <w:tc>
          <w:tcPr>
            <w:tcW w:w="2012"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处罚结果</w:t>
            </w:r>
          </w:p>
        </w:tc>
        <w:tc>
          <w:tcPr>
            <w:tcW w:w="1029"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1956"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合川经信（盐）罚决字〔2023〕第2号</w:t>
            </w:r>
          </w:p>
        </w:tc>
        <w:tc>
          <w:tcPr>
            <w:tcW w:w="1303"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浙联景都食品超市</w:t>
            </w:r>
          </w:p>
        </w:tc>
        <w:tc>
          <w:tcPr>
            <w:tcW w:w="738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浙联景都食品超市擅自销售非碘食盐，违反了《食盐加碘消除碘缺乏危害管理条例》第二十六条：违反本条例的规定，在缺碘地区的食用盐市场销售不合格碘盐或者擅自销售非碘盐的，由县级以上人民政府盐业主管机构没收其经营的全部盐产品和违法所得，可以并处该盐产品价值3倍以下的罚款；情节严重，构成犯罪的，依法追究刑事责任的规定</w:t>
            </w:r>
          </w:p>
        </w:tc>
        <w:tc>
          <w:tcPr>
            <w:tcW w:w="152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2024.1.2</w:t>
            </w:r>
          </w:p>
        </w:tc>
        <w:tc>
          <w:tcPr>
            <w:tcW w:w="2012"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没收违法所得，罚款214.3元</w:t>
            </w:r>
          </w:p>
        </w:tc>
        <w:tc>
          <w:tcPr>
            <w:tcW w:w="1029"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1956"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合川经信（气）罚决字〔2023〕第9号</w:t>
            </w:r>
          </w:p>
          <w:p>
            <w:pPr>
              <w:jc w:val="center"/>
              <w:rPr>
                <w:rFonts w:hint="eastAsia" w:ascii="方正仿宋_GBK" w:hAnsi="方正仿宋_GBK" w:eastAsia="方正仿宋_GBK" w:cs="方正小标宋_GBK"/>
                <w:color w:val="000000"/>
                <w:sz w:val="32"/>
                <w:szCs w:val="32"/>
                <w:lang w:val="en-US" w:eastAsia="zh-CN"/>
              </w:rPr>
            </w:pPr>
          </w:p>
        </w:tc>
        <w:tc>
          <w:tcPr>
            <w:tcW w:w="1303"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重庆鸿平燃气有限公司</w:t>
            </w:r>
          </w:p>
        </w:tc>
        <w:tc>
          <w:tcPr>
            <w:tcW w:w="738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在2023年10月24日为2名液化石油气用户直接充装液化石油气钢瓶，存在向无液化气经营许可证的个人充装液化气的行为，违反了《重庆市液化石油气经营管理条例》第二十四条第（六）项：不得向无液化气经营许可证的单位和个人充装液化气的规定</w:t>
            </w:r>
          </w:p>
        </w:tc>
        <w:tc>
          <w:tcPr>
            <w:tcW w:w="152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2024.2.29</w:t>
            </w:r>
          </w:p>
        </w:tc>
        <w:tc>
          <w:tcPr>
            <w:tcW w:w="2012"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罚款</w:t>
            </w:r>
            <w:r>
              <w:rPr>
                <w:rFonts w:hint="eastAsia" w:ascii="方正仿宋_GBK" w:hAnsi="方正仿宋_GBK" w:eastAsia="方正仿宋_GBK" w:cs="方正小标宋_GBK"/>
                <w:color w:val="000000"/>
                <w:sz w:val="32"/>
                <w:szCs w:val="32"/>
                <w:lang w:val="en-US" w:eastAsia="zh-CN"/>
              </w:rPr>
              <w:t>3万元</w:t>
            </w:r>
          </w:p>
        </w:tc>
        <w:tc>
          <w:tcPr>
            <w:tcW w:w="1029"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1956"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合川经信（气）罚决字〔2023〕第10号</w:t>
            </w:r>
          </w:p>
        </w:tc>
        <w:tc>
          <w:tcPr>
            <w:tcW w:w="1303"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重庆陈志建燃气有限公司</w:t>
            </w:r>
          </w:p>
        </w:tc>
        <w:tc>
          <w:tcPr>
            <w:tcW w:w="7384"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该单位将三汇镇锦华路464号门市作为库房使用，储存有一定数量液化石油气钢瓶，该门市不具备储存液化石油气钢瓶的安全条件。该行为违反了《城镇燃气管理条例》第十八条第五款：燃气经营者不得在不具备安全条件的场所储存燃气的规定</w:t>
            </w:r>
          </w:p>
        </w:tc>
        <w:tc>
          <w:tcPr>
            <w:tcW w:w="152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2024.2.29</w:t>
            </w:r>
          </w:p>
        </w:tc>
        <w:tc>
          <w:tcPr>
            <w:tcW w:w="2012"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罚款</w:t>
            </w:r>
            <w:r>
              <w:rPr>
                <w:rFonts w:hint="eastAsia" w:ascii="方正仿宋_GBK" w:hAnsi="方正仿宋_GBK" w:eastAsia="方正仿宋_GBK" w:cs="方正小标宋_GBK"/>
                <w:color w:val="000000"/>
                <w:sz w:val="32"/>
                <w:szCs w:val="32"/>
                <w:lang w:val="en-US" w:eastAsia="zh-CN"/>
              </w:rPr>
              <w:t>1万元</w:t>
            </w:r>
          </w:p>
        </w:tc>
        <w:tc>
          <w:tcPr>
            <w:tcW w:w="1029"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区经济信息委</w:t>
            </w:r>
          </w:p>
        </w:tc>
      </w:tr>
    </w:tbl>
    <w:p>
      <w:pPr>
        <w:rPr>
          <w:rFonts w:hint="eastAsia" w:ascii="方正仿宋_GBK" w:hAnsi="方正仿宋_GBK" w:eastAsia="方正仿宋_GBK" w:cs="方正小标宋_GBK"/>
          <w:color w:val="000000"/>
          <w:sz w:val="32"/>
          <w:szCs w:val="32"/>
        </w:rPr>
      </w:pPr>
    </w:p>
    <w:sectPr>
      <w:pgSz w:w="16840" w:h="1190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B3"/>
    <w:rsid w:val="000E7DEF"/>
    <w:rsid w:val="001D5263"/>
    <w:rsid w:val="002755F2"/>
    <w:rsid w:val="003A186D"/>
    <w:rsid w:val="00482864"/>
    <w:rsid w:val="006D1561"/>
    <w:rsid w:val="007347B3"/>
    <w:rsid w:val="00960AD6"/>
    <w:rsid w:val="00EB5D69"/>
    <w:rsid w:val="101205EC"/>
    <w:rsid w:val="2F2F4798"/>
    <w:rsid w:val="4AFB1FFD"/>
    <w:rsid w:val="4CBC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方正仿宋_GBK" w:cs="Times New Roman"/>
      <w:kern w:val="0"/>
      <w:sz w:val="32"/>
      <w:szCs w:val="20"/>
      <w:lang w:val="zh-CN" w:eastAsia="zh-CN"/>
    </w:rPr>
  </w:style>
  <w:style w:type="paragraph" w:styleId="3">
    <w:name w:val="index 7"/>
    <w:basedOn w:val="1"/>
    <w:next w:val="1"/>
    <w:qFormat/>
    <w:uiPriority w:val="0"/>
    <w:pPr>
      <w:ind w:left="2520"/>
    </w:pPr>
    <w:rPr>
      <w:rFonts w:ascii="Times New Roman" w:hAnsi="Times New Roman" w:eastAsia="宋体" w:cs="Times New Roman"/>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ascii="方正仿宋_GBK" w:hAnsi="方正仿宋_GBK" w:eastAsia="方正仿宋_GBK" w:cs="方正仿宋_GBK"/>
      <w:color w:val="000000"/>
      <w:sz w:val="22"/>
      <w:szCs w:val="22"/>
      <w:u w:val="none"/>
    </w:rPr>
  </w:style>
  <w:style w:type="character" w:customStyle="1" w:styleId="9">
    <w:name w:val="font11"/>
    <w:basedOn w:val="7"/>
    <w:qFormat/>
    <w:uiPriority w:val="0"/>
    <w:rPr>
      <w:rFonts w:hint="default" w:ascii="Times New Roman" w:hAnsi="Times New Roman" w:cs="Times New Roman"/>
      <w:color w:val="000000"/>
      <w:sz w:val="22"/>
      <w:szCs w:val="22"/>
      <w:u w:val="none"/>
    </w:rPr>
  </w:style>
  <w:style w:type="character" w:customStyle="1" w:styleId="10">
    <w:name w:val="font41"/>
    <w:basedOn w:val="7"/>
    <w:qFormat/>
    <w:uiPriority w:val="0"/>
    <w:rPr>
      <w:rFonts w:hint="eastAsia" w:ascii="方正仿宋_GBK" w:hAnsi="方正仿宋_GBK" w:eastAsia="方正仿宋_GBK" w:cs="方正仿宋_GBK"/>
      <w:color w:val="000000"/>
      <w:sz w:val="22"/>
      <w:szCs w:val="22"/>
      <w:u w:val="none"/>
    </w:rPr>
  </w:style>
  <w:style w:type="character" w:customStyle="1" w:styleId="11">
    <w:name w:val="font01"/>
    <w:basedOn w:val="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Words>
  <Characters>82</Characters>
  <Lines>1</Lines>
  <Paragraphs>1</Paragraphs>
  <TotalTime>2</TotalTime>
  <ScaleCrop>false</ScaleCrop>
  <LinksUpToDate>false</LinksUpToDate>
  <CharactersWithSpaces>95</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2023-07-26T16:47:00Z</dcterms:created>
  <dc:creator>Microsoft Office 用户</dc:creator>
  <cp:lastModifiedBy>吃不起藤藤菜</cp:lastModifiedBy>
  <dcterms:modified xsi:type="dcterms:W3CDTF">2024-03-11T08:21:42Z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F8357DE7EC6E4F3EBE7055BB6DD5489A</vt:lpwstr>
  </property>
</Properties>
</file>