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600" w:lineRule="exact"/>
        <w:jc w:val="center"/>
        <w:outlineLvl w:val="0"/>
        <w:rPr>
          <w:rFonts w:hint="eastAsia" w:ascii="宋体" w:hAnsi="宋体" w:cs="宋体"/>
          <w:sz w:val="52"/>
        </w:rPr>
      </w:pPr>
    </w:p>
    <w:p>
      <w:pPr>
        <w:jc w:val="center"/>
        <w:rPr>
          <w:rFonts w:hint="eastAsia" w:eastAsia="方正黑体简体"/>
          <w:sz w:val="112"/>
          <w:szCs w:val="112"/>
        </w:rPr>
      </w:pPr>
      <w:r>
        <w:rPr>
          <w:rFonts w:hint="eastAsia" w:eastAsia="方正黑体简体"/>
          <w:sz w:val="112"/>
          <w:szCs w:val="112"/>
        </w:rPr>
        <w:t>政府采购</w:t>
      </w:r>
    </w:p>
    <w:p>
      <w:pPr>
        <w:jc w:val="center"/>
        <w:rPr>
          <w:rFonts w:hint="eastAsia" w:eastAsia="方正黑体简体"/>
          <w:sz w:val="112"/>
          <w:szCs w:val="112"/>
        </w:rPr>
      </w:pPr>
      <w:r>
        <w:rPr>
          <w:rFonts w:hint="eastAsia" w:eastAsia="方正黑体简体"/>
          <w:sz w:val="112"/>
          <w:szCs w:val="112"/>
        </w:rPr>
        <w:t>招 标 文 件</w:t>
      </w:r>
    </w:p>
    <w:p>
      <w:pPr>
        <w:pStyle w:val="25"/>
        <w:spacing w:line="500" w:lineRule="exact"/>
        <w:ind w:left="0"/>
        <w:jc w:val="center"/>
        <w:rPr>
          <w:rFonts w:hint="eastAsia" w:ascii="宋体" w:hAnsi="宋体" w:cs="宋体"/>
          <w:sz w:val="32"/>
        </w:rPr>
      </w:pPr>
    </w:p>
    <w:p>
      <w:pPr>
        <w:pStyle w:val="25"/>
        <w:spacing w:line="500" w:lineRule="exact"/>
        <w:ind w:left="0"/>
        <w:jc w:val="center"/>
        <w:rPr>
          <w:rFonts w:hint="eastAsia" w:ascii="宋体" w:hAnsi="宋体" w:cs="宋体"/>
          <w:sz w:val="32"/>
        </w:rPr>
      </w:pPr>
    </w:p>
    <w:p>
      <w:pPr>
        <w:pStyle w:val="25"/>
        <w:spacing w:line="500" w:lineRule="exact"/>
        <w:ind w:left="0"/>
        <w:jc w:val="center"/>
        <w:rPr>
          <w:rFonts w:hint="eastAsia" w:ascii="宋体" w:hAnsi="宋体" w:cs="宋体"/>
          <w:sz w:val="32"/>
        </w:rPr>
      </w:pPr>
    </w:p>
    <w:p>
      <w:pPr>
        <w:pStyle w:val="25"/>
        <w:spacing w:line="500" w:lineRule="exact"/>
        <w:ind w:left="0"/>
        <w:jc w:val="center"/>
        <w:rPr>
          <w:rFonts w:hint="eastAsia" w:ascii="宋体" w:hAnsi="宋体" w:cs="宋体"/>
          <w:sz w:val="32"/>
        </w:rPr>
      </w:pPr>
    </w:p>
    <w:p>
      <w:pPr>
        <w:pStyle w:val="25"/>
        <w:spacing w:line="500" w:lineRule="exact"/>
        <w:ind w:left="0"/>
        <w:jc w:val="center"/>
        <w:rPr>
          <w:rFonts w:hint="eastAsia" w:ascii="宋体" w:hAnsi="宋体" w:cs="宋体"/>
          <w:sz w:val="32"/>
        </w:rPr>
      </w:pPr>
    </w:p>
    <w:p>
      <w:pPr>
        <w:spacing w:line="700" w:lineRule="exact"/>
        <w:ind w:firstLine="1080" w:firstLineChars="300"/>
        <w:rPr>
          <w:rFonts w:eastAsia="黑体"/>
          <w:color w:val="000000"/>
          <w:sz w:val="36"/>
          <w:szCs w:val="36"/>
        </w:rPr>
      </w:pPr>
      <w:r>
        <w:rPr>
          <w:rFonts w:hint="eastAsia" w:eastAsia="黑体"/>
          <w:color w:val="000000"/>
          <w:sz w:val="36"/>
          <w:szCs w:val="36"/>
        </w:rPr>
        <w:t>采购计划编号：20C00056</w:t>
      </w:r>
    </w:p>
    <w:p>
      <w:pPr>
        <w:spacing w:line="700" w:lineRule="exact"/>
        <w:ind w:firstLine="1080" w:firstLineChars="300"/>
        <w:rPr>
          <w:rFonts w:hint="eastAsia" w:eastAsia="黑体"/>
          <w:color w:val="000000"/>
          <w:sz w:val="36"/>
          <w:szCs w:val="36"/>
        </w:rPr>
      </w:pPr>
      <w:r>
        <w:rPr>
          <w:rFonts w:hint="eastAsia" w:eastAsia="黑体"/>
          <w:color w:val="000000"/>
          <w:sz w:val="36"/>
          <w:szCs w:val="36"/>
        </w:rPr>
        <w:t>招标项目编号：HC2020公15</w:t>
      </w:r>
    </w:p>
    <w:p>
      <w:pPr>
        <w:spacing w:line="700" w:lineRule="exact"/>
        <w:ind w:firstLine="1080" w:firstLineChars="300"/>
        <w:rPr>
          <w:rFonts w:hint="eastAsia" w:eastAsia="黑体"/>
          <w:color w:val="000000"/>
          <w:sz w:val="36"/>
          <w:szCs w:val="36"/>
        </w:rPr>
      </w:pPr>
      <w:r>
        <w:rPr>
          <w:rFonts w:hint="eastAsia" w:eastAsia="黑体"/>
          <w:color w:val="000000"/>
          <w:sz w:val="36"/>
          <w:szCs w:val="36"/>
        </w:rPr>
        <w:t>招标项目名称：合川区南溪河摇金断面水质改善服务</w:t>
      </w:r>
    </w:p>
    <w:p>
      <w:pPr>
        <w:spacing w:line="700" w:lineRule="exact"/>
        <w:ind w:firstLine="1080" w:firstLineChars="300"/>
        <w:rPr>
          <w:rFonts w:hint="eastAsia" w:eastAsia="黑体"/>
          <w:color w:val="000000"/>
          <w:sz w:val="36"/>
          <w:szCs w:val="36"/>
        </w:rPr>
      </w:pPr>
    </w:p>
    <w:p>
      <w:pPr>
        <w:spacing w:line="700" w:lineRule="exact"/>
        <w:ind w:firstLine="1080" w:firstLineChars="300"/>
        <w:rPr>
          <w:rFonts w:hint="eastAsia" w:eastAsia="黑体"/>
          <w:color w:val="000000"/>
          <w:sz w:val="36"/>
          <w:szCs w:val="36"/>
        </w:rPr>
      </w:pPr>
    </w:p>
    <w:p>
      <w:pPr>
        <w:spacing w:line="700" w:lineRule="exact"/>
        <w:ind w:firstLine="1080" w:firstLineChars="300"/>
        <w:rPr>
          <w:rFonts w:hint="eastAsia" w:eastAsia="黑体"/>
          <w:color w:val="000000"/>
          <w:sz w:val="36"/>
          <w:szCs w:val="36"/>
        </w:rPr>
      </w:pPr>
    </w:p>
    <w:p>
      <w:pPr>
        <w:spacing w:line="700" w:lineRule="exact"/>
        <w:ind w:firstLine="1080" w:firstLineChars="300"/>
        <w:rPr>
          <w:rFonts w:hint="eastAsia" w:eastAsia="黑体"/>
          <w:color w:val="000000"/>
          <w:sz w:val="36"/>
          <w:szCs w:val="36"/>
        </w:rPr>
      </w:pPr>
      <w:r>
        <w:rPr>
          <w:rFonts w:hint="eastAsia" w:eastAsia="黑体"/>
          <w:color w:val="000000"/>
          <w:sz w:val="36"/>
          <w:szCs w:val="36"/>
        </w:rPr>
        <w:t>采购人：重庆市合川区生态环境局</w:t>
      </w:r>
    </w:p>
    <w:p>
      <w:pPr>
        <w:spacing w:line="700" w:lineRule="exact"/>
        <w:ind w:firstLine="1080" w:firstLineChars="300"/>
        <w:rPr>
          <w:rFonts w:hint="eastAsia" w:eastAsia="黑体"/>
          <w:color w:val="000000"/>
          <w:sz w:val="36"/>
          <w:szCs w:val="36"/>
        </w:rPr>
      </w:pPr>
      <w:r>
        <w:rPr>
          <w:rFonts w:hint="eastAsia" w:eastAsia="黑体"/>
          <w:color w:val="000000"/>
          <w:sz w:val="36"/>
          <w:szCs w:val="36"/>
        </w:rPr>
        <w:t>采购代理机构：重庆市合川区公共资源交易中心</w:t>
      </w:r>
    </w:p>
    <w:p>
      <w:pPr>
        <w:spacing w:line="700" w:lineRule="exact"/>
        <w:ind w:firstLine="2640" w:firstLineChars="600"/>
        <w:rPr>
          <w:rFonts w:hint="eastAsia" w:eastAsia="黑体"/>
          <w:color w:val="000000"/>
          <w:sz w:val="36"/>
          <w:szCs w:val="36"/>
        </w:rPr>
      </w:pPr>
      <w:r>
        <w:rPr>
          <w:rFonts w:eastAsia="黑体"/>
          <w:color w:val="000000"/>
          <w:sz w:val="44"/>
          <w:szCs w:val="36"/>
        </w:rPr>
        <w:t>二〇二〇</w:t>
      </w:r>
      <w:r>
        <w:rPr>
          <w:rFonts w:hint="eastAsia" w:eastAsia="黑体"/>
          <w:color w:val="000000"/>
          <w:sz w:val="36"/>
          <w:szCs w:val="36"/>
        </w:rPr>
        <w:t>年十一月</w:t>
      </w:r>
    </w:p>
    <w:p>
      <w:pPr>
        <w:spacing w:line="500" w:lineRule="exact"/>
        <w:ind w:firstLine="1600" w:firstLineChars="500"/>
        <w:outlineLvl w:val="0"/>
        <w:rPr>
          <w:rFonts w:hint="eastAsia" w:ascii="方正小标宋_GBK" w:hAnsi="宋体" w:eastAsia="方正小标宋_GBK"/>
          <w:sz w:val="32"/>
          <w:szCs w:val="22"/>
        </w:rPr>
        <w:sectPr>
          <w:headerReference r:id="rId5" w:type="first"/>
          <w:footerReference r:id="rId8" w:type="first"/>
          <w:headerReference r:id="rId3" w:type="default"/>
          <w:footerReference r:id="rId6" w:type="default"/>
          <w:headerReference r:id="rId4" w:type="even"/>
          <w:footerReference r:id="rId7" w:type="even"/>
          <w:pgSz w:w="11907" w:h="16840"/>
          <w:pgMar w:top="1134" w:right="1127" w:bottom="1134" w:left="1304" w:header="964" w:footer="992" w:gutter="0"/>
          <w:pgNumType w:start="1"/>
          <w:cols w:space="720" w:num="1"/>
          <w:titlePg/>
          <w:docGrid w:linePitch="312" w:charSpace="0"/>
        </w:sectPr>
      </w:pPr>
    </w:p>
    <w:p>
      <w:pPr>
        <w:snapToGrid w:val="0"/>
        <w:spacing w:line="500" w:lineRule="exact"/>
        <w:jc w:val="center"/>
        <w:rPr>
          <w:rFonts w:hint="eastAsia" w:ascii="宋体" w:hAnsi="宋体" w:cs="宋体"/>
          <w:sz w:val="44"/>
        </w:rPr>
      </w:pPr>
      <w:r>
        <w:rPr>
          <w:rFonts w:hint="eastAsia" w:ascii="宋体" w:hAnsi="宋体" w:cs="宋体"/>
          <w:sz w:val="44"/>
        </w:rPr>
        <w:t>目  录</w:t>
      </w:r>
    </w:p>
    <w:p>
      <w:pPr>
        <w:pStyle w:val="39"/>
        <w:tabs>
          <w:tab w:val="right" w:leader="dot" w:pos="9412"/>
          <w:tab w:val="clear" w:pos="1260"/>
          <w:tab w:val="clear" w:pos="1685"/>
          <w:tab w:val="clear" w:pos="8400"/>
        </w:tabs>
        <w:ind w:firstLine="210"/>
      </w:pPr>
      <w:r>
        <w:rPr>
          <w:rFonts w:hint="eastAsia" w:ascii="宋体" w:hAnsi="宋体" w:cs="宋体"/>
          <w:sz w:val="21"/>
          <w:szCs w:val="21"/>
        </w:rPr>
        <w:fldChar w:fldCharType="begin"/>
      </w:r>
      <w:r>
        <w:rPr>
          <w:rFonts w:hint="eastAsia" w:ascii="宋体" w:hAnsi="宋体" w:cs="宋体"/>
          <w:sz w:val="21"/>
          <w:szCs w:val="21"/>
        </w:rPr>
        <w:instrText xml:space="preserve"> TOC \o "1-2" \h \z </w:instrText>
      </w:r>
      <w:r>
        <w:rPr>
          <w:rFonts w:hint="eastAsia" w:ascii="宋体" w:hAnsi="宋体" w:cs="宋体"/>
          <w:sz w:val="21"/>
          <w:szCs w:val="21"/>
        </w:rPr>
        <w:fldChar w:fldCharType="separate"/>
      </w:r>
      <w:r>
        <w:fldChar w:fldCharType="begin"/>
      </w:r>
      <w:r>
        <w:instrText xml:space="preserve"> HYPERLINK \l "_Toc21822" </w:instrText>
      </w:r>
      <w:r>
        <w:fldChar w:fldCharType="separate"/>
      </w:r>
      <w:r>
        <w:rPr>
          <w:rFonts w:hint="eastAsia" w:ascii="方正小标宋_GBK" w:eastAsia="方正小标宋_GBK"/>
          <w:szCs w:val="22"/>
        </w:rPr>
        <w:t>第一篇 投标邀请书</w:t>
      </w:r>
      <w:r>
        <w:tab/>
      </w:r>
      <w:r>
        <w:fldChar w:fldCharType="begin"/>
      </w:r>
      <w:r>
        <w:instrText xml:space="preserve"> PAGEREF _Toc21822 </w:instrText>
      </w:r>
      <w:r>
        <w:fldChar w:fldCharType="separate"/>
      </w:r>
      <w:r>
        <w:t>- 3 -</w:t>
      </w:r>
      <w:r>
        <w:fldChar w:fldCharType="end"/>
      </w:r>
      <w:r>
        <w:fldChar w:fldCharType="end"/>
      </w:r>
    </w:p>
    <w:p>
      <w:pPr>
        <w:pStyle w:val="47"/>
        <w:tabs>
          <w:tab w:val="right" w:leader="dot" w:pos="9412"/>
          <w:tab w:val="clear" w:pos="8400"/>
        </w:tabs>
        <w:ind w:right="-255"/>
      </w:pPr>
      <w:r>
        <w:fldChar w:fldCharType="begin"/>
      </w:r>
      <w:r>
        <w:instrText xml:space="preserve"> HYPERLINK \l "_Toc26984" </w:instrText>
      </w:r>
      <w:r>
        <w:fldChar w:fldCharType="separate"/>
      </w:r>
      <w:r>
        <w:rPr>
          <w:rFonts w:hint="eastAsia" w:ascii="方正仿宋_GBK" w:hAnsi="方正仿宋_GBK" w:eastAsia="方正仿宋_GBK" w:cs="方正仿宋_GBK"/>
        </w:rPr>
        <w:t>一、招标项目内容</w:t>
      </w:r>
      <w:r>
        <w:tab/>
      </w:r>
      <w:r>
        <w:fldChar w:fldCharType="begin"/>
      </w:r>
      <w:r>
        <w:instrText xml:space="preserve"> PAGEREF _Toc26984 </w:instrText>
      </w:r>
      <w:r>
        <w:fldChar w:fldCharType="separate"/>
      </w:r>
      <w:r>
        <w:t>- 3 -</w:t>
      </w:r>
      <w:r>
        <w:fldChar w:fldCharType="end"/>
      </w:r>
      <w:r>
        <w:fldChar w:fldCharType="end"/>
      </w:r>
    </w:p>
    <w:p>
      <w:pPr>
        <w:pStyle w:val="47"/>
        <w:tabs>
          <w:tab w:val="right" w:leader="dot" w:pos="9412"/>
          <w:tab w:val="clear" w:pos="8400"/>
        </w:tabs>
        <w:ind w:right="-255"/>
      </w:pPr>
      <w:r>
        <w:fldChar w:fldCharType="begin"/>
      </w:r>
      <w:r>
        <w:instrText xml:space="preserve"> HYPERLINK \l "_Toc25416" </w:instrText>
      </w:r>
      <w:r>
        <w:fldChar w:fldCharType="separate"/>
      </w:r>
      <w:r>
        <w:rPr>
          <w:rFonts w:hint="eastAsia" w:ascii="方正仿宋_GBK" w:hAnsi="方正仿宋_GBK" w:eastAsia="方正仿宋_GBK" w:cs="方正仿宋_GBK"/>
        </w:rPr>
        <w:t>二、资金来源</w:t>
      </w:r>
      <w:r>
        <w:tab/>
      </w:r>
      <w:r>
        <w:fldChar w:fldCharType="begin"/>
      </w:r>
      <w:r>
        <w:instrText xml:space="preserve"> PAGEREF _Toc25416 </w:instrText>
      </w:r>
      <w:r>
        <w:fldChar w:fldCharType="separate"/>
      </w:r>
      <w:r>
        <w:t>- 3 -</w:t>
      </w:r>
      <w:r>
        <w:fldChar w:fldCharType="end"/>
      </w:r>
      <w:r>
        <w:fldChar w:fldCharType="end"/>
      </w:r>
    </w:p>
    <w:p>
      <w:pPr>
        <w:pStyle w:val="47"/>
        <w:tabs>
          <w:tab w:val="right" w:leader="dot" w:pos="9412"/>
          <w:tab w:val="clear" w:pos="8400"/>
        </w:tabs>
        <w:ind w:right="-255"/>
      </w:pPr>
      <w:r>
        <w:fldChar w:fldCharType="begin"/>
      </w:r>
      <w:r>
        <w:instrText xml:space="preserve"> HYPERLINK \l "_Toc19772" </w:instrText>
      </w:r>
      <w:r>
        <w:fldChar w:fldCharType="separate"/>
      </w:r>
      <w:r>
        <w:rPr>
          <w:rFonts w:hint="eastAsia" w:ascii="方正仿宋_GBK" w:hAnsi="方正仿宋_GBK" w:eastAsia="方正仿宋_GBK" w:cs="方正仿宋_GBK"/>
        </w:rPr>
        <w:t>三、投标人资格要求</w:t>
      </w:r>
      <w:r>
        <w:tab/>
      </w:r>
      <w:r>
        <w:fldChar w:fldCharType="begin"/>
      </w:r>
      <w:r>
        <w:instrText xml:space="preserve"> PAGEREF _Toc19772 </w:instrText>
      </w:r>
      <w:r>
        <w:fldChar w:fldCharType="separate"/>
      </w:r>
      <w:r>
        <w:t>- 3 -</w:t>
      </w:r>
      <w:r>
        <w:fldChar w:fldCharType="end"/>
      </w:r>
      <w:r>
        <w:fldChar w:fldCharType="end"/>
      </w:r>
    </w:p>
    <w:p>
      <w:pPr>
        <w:pStyle w:val="47"/>
        <w:tabs>
          <w:tab w:val="right" w:leader="dot" w:pos="9412"/>
          <w:tab w:val="clear" w:pos="8400"/>
        </w:tabs>
        <w:ind w:right="-255"/>
      </w:pPr>
      <w:r>
        <w:fldChar w:fldCharType="begin"/>
      </w:r>
      <w:r>
        <w:instrText xml:space="preserve"> HYPERLINK \l "_Toc22680" </w:instrText>
      </w:r>
      <w:r>
        <w:fldChar w:fldCharType="separate"/>
      </w:r>
      <w:r>
        <w:rPr>
          <w:rFonts w:hint="eastAsia" w:ascii="方正仿宋_GBK" w:hAnsi="方正仿宋_GBK" w:eastAsia="方正仿宋_GBK" w:cs="方正仿宋_GBK"/>
        </w:rPr>
        <w:t>四、投标、开标有关说明</w:t>
      </w:r>
      <w:r>
        <w:tab/>
      </w:r>
      <w:r>
        <w:fldChar w:fldCharType="begin"/>
      </w:r>
      <w:r>
        <w:instrText xml:space="preserve"> PAGEREF _Toc22680 </w:instrText>
      </w:r>
      <w:r>
        <w:fldChar w:fldCharType="separate"/>
      </w:r>
      <w:r>
        <w:t>- 3 -</w:t>
      </w:r>
      <w:r>
        <w:fldChar w:fldCharType="end"/>
      </w:r>
      <w:r>
        <w:fldChar w:fldCharType="end"/>
      </w:r>
    </w:p>
    <w:p>
      <w:pPr>
        <w:pStyle w:val="47"/>
        <w:tabs>
          <w:tab w:val="right" w:leader="dot" w:pos="9412"/>
          <w:tab w:val="clear" w:pos="8400"/>
        </w:tabs>
        <w:ind w:right="-255"/>
      </w:pPr>
      <w:r>
        <w:fldChar w:fldCharType="begin"/>
      </w:r>
      <w:r>
        <w:instrText xml:space="preserve"> HYPERLINK \l "_Toc11024" </w:instrText>
      </w:r>
      <w:r>
        <w:fldChar w:fldCharType="separate"/>
      </w:r>
      <w:r>
        <w:rPr>
          <w:rFonts w:hint="eastAsia" w:ascii="方正仿宋_GBK" w:hAnsi="方正仿宋_GBK" w:eastAsia="方正仿宋_GBK" w:cs="方正仿宋_GBK"/>
        </w:rPr>
        <w:t>五、投标保证金</w:t>
      </w:r>
      <w:r>
        <w:tab/>
      </w:r>
      <w:r>
        <w:fldChar w:fldCharType="begin"/>
      </w:r>
      <w:r>
        <w:instrText xml:space="preserve"> PAGEREF _Toc11024 </w:instrText>
      </w:r>
      <w:r>
        <w:fldChar w:fldCharType="separate"/>
      </w:r>
      <w:r>
        <w:t>- 4 -</w:t>
      </w:r>
      <w:r>
        <w:fldChar w:fldCharType="end"/>
      </w:r>
      <w:r>
        <w:fldChar w:fldCharType="end"/>
      </w:r>
    </w:p>
    <w:p>
      <w:pPr>
        <w:pStyle w:val="47"/>
        <w:tabs>
          <w:tab w:val="right" w:leader="dot" w:pos="9412"/>
          <w:tab w:val="clear" w:pos="8400"/>
        </w:tabs>
        <w:ind w:right="-255"/>
      </w:pPr>
      <w:r>
        <w:fldChar w:fldCharType="begin"/>
      </w:r>
      <w:r>
        <w:instrText xml:space="preserve"> HYPERLINK \l "_Toc9583" </w:instrText>
      </w:r>
      <w:r>
        <w:fldChar w:fldCharType="separate"/>
      </w:r>
      <w:r>
        <w:rPr>
          <w:rFonts w:hint="eastAsia" w:ascii="方正仿宋_GBK" w:hAnsi="方正仿宋_GBK" w:eastAsia="方正仿宋_GBK" w:cs="方正仿宋_GBK"/>
          <w:szCs w:val="22"/>
        </w:rPr>
        <w:t>六、采购项目需落实的政府采购政策</w:t>
      </w:r>
      <w:r>
        <w:tab/>
      </w:r>
      <w:r>
        <w:fldChar w:fldCharType="begin"/>
      </w:r>
      <w:r>
        <w:instrText xml:space="preserve"> PAGEREF _Toc9583 </w:instrText>
      </w:r>
      <w:r>
        <w:fldChar w:fldCharType="separate"/>
      </w:r>
      <w:r>
        <w:t>- 5 -</w:t>
      </w:r>
      <w:r>
        <w:fldChar w:fldCharType="end"/>
      </w:r>
      <w:r>
        <w:fldChar w:fldCharType="end"/>
      </w:r>
    </w:p>
    <w:p>
      <w:pPr>
        <w:pStyle w:val="47"/>
        <w:tabs>
          <w:tab w:val="right" w:leader="dot" w:pos="9412"/>
          <w:tab w:val="clear" w:pos="8400"/>
        </w:tabs>
        <w:ind w:right="-255"/>
      </w:pPr>
      <w:r>
        <w:fldChar w:fldCharType="begin"/>
      </w:r>
      <w:r>
        <w:instrText xml:space="preserve"> HYPERLINK \l "_Toc12969" </w:instrText>
      </w:r>
      <w:r>
        <w:fldChar w:fldCharType="separate"/>
      </w:r>
      <w:r>
        <w:rPr>
          <w:rFonts w:hint="eastAsia" w:ascii="方正仿宋_GBK" w:hAnsi="方正仿宋_GBK" w:eastAsia="方正仿宋_GBK" w:cs="方正仿宋_GBK"/>
        </w:rPr>
        <w:t>七、投标有关规定</w:t>
      </w:r>
      <w:r>
        <w:tab/>
      </w:r>
      <w:r>
        <w:fldChar w:fldCharType="begin"/>
      </w:r>
      <w:r>
        <w:instrText xml:space="preserve"> PAGEREF _Toc12969 </w:instrText>
      </w:r>
      <w:r>
        <w:fldChar w:fldCharType="separate"/>
      </w:r>
      <w:r>
        <w:t>- 6 -</w:t>
      </w:r>
      <w:r>
        <w:fldChar w:fldCharType="end"/>
      </w:r>
      <w:r>
        <w:fldChar w:fldCharType="end"/>
      </w:r>
    </w:p>
    <w:p>
      <w:pPr>
        <w:pStyle w:val="47"/>
        <w:tabs>
          <w:tab w:val="right" w:leader="dot" w:pos="9412"/>
          <w:tab w:val="clear" w:pos="8400"/>
        </w:tabs>
        <w:ind w:right="-255"/>
      </w:pPr>
      <w:r>
        <w:fldChar w:fldCharType="begin"/>
      </w:r>
      <w:r>
        <w:instrText xml:space="preserve"> HYPERLINK \l "_Toc24810" </w:instrText>
      </w:r>
      <w:r>
        <w:fldChar w:fldCharType="separate"/>
      </w:r>
      <w:r>
        <w:rPr>
          <w:rFonts w:hint="eastAsia" w:ascii="方正仿宋_GBK" w:hAnsi="方正仿宋_GBK" w:eastAsia="方正仿宋_GBK" w:cs="方正仿宋_GBK"/>
        </w:rPr>
        <w:t>八、联系方式</w:t>
      </w:r>
      <w:r>
        <w:tab/>
      </w:r>
      <w:r>
        <w:fldChar w:fldCharType="begin"/>
      </w:r>
      <w:r>
        <w:instrText xml:space="preserve"> PAGEREF _Toc24810 </w:instrText>
      </w:r>
      <w:r>
        <w:fldChar w:fldCharType="separate"/>
      </w:r>
      <w:r>
        <w:t>- 6 -</w:t>
      </w:r>
      <w:r>
        <w:fldChar w:fldCharType="end"/>
      </w:r>
      <w:r>
        <w:fldChar w:fldCharType="end"/>
      </w:r>
    </w:p>
    <w:p>
      <w:pPr>
        <w:pStyle w:val="39"/>
        <w:tabs>
          <w:tab w:val="right" w:leader="dot" w:pos="9412"/>
          <w:tab w:val="clear" w:pos="1260"/>
          <w:tab w:val="clear" w:pos="1685"/>
          <w:tab w:val="clear" w:pos="8400"/>
        </w:tabs>
      </w:pPr>
      <w:r>
        <w:fldChar w:fldCharType="begin"/>
      </w:r>
      <w:r>
        <w:instrText xml:space="preserve"> HYPERLINK \l "_Toc13197" </w:instrText>
      </w:r>
      <w:r>
        <w:fldChar w:fldCharType="separate"/>
      </w:r>
      <w:r>
        <w:rPr>
          <w:rFonts w:hint="eastAsia" w:ascii="方正小标宋_GBK" w:eastAsia="方正小标宋_GBK"/>
          <w:szCs w:val="22"/>
        </w:rPr>
        <w:t>第二篇 项目技术</w:t>
      </w:r>
      <w:r>
        <w:rPr>
          <w:rFonts w:hint="eastAsia" w:ascii="方正小标宋_GBK" w:eastAsia="方正小标宋_GBK"/>
          <w:szCs w:val="22"/>
          <w:lang w:val="zh-CN"/>
        </w:rPr>
        <w:t>规格、数量及质量要求</w:t>
      </w:r>
      <w:r>
        <w:tab/>
      </w:r>
      <w:r>
        <w:fldChar w:fldCharType="begin"/>
      </w:r>
      <w:r>
        <w:instrText xml:space="preserve"> PAGEREF _Toc13197 </w:instrText>
      </w:r>
      <w:r>
        <w:fldChar w:fldCharType="separate"/>
      </w:r>
      <w:r>
        <w:t>- 7 -</w:t>
      </w:r>
      <w:r>
        <w:fldChar w:fldCharType="end"/>
      </w:r>
      <w:r>
        <w:fldChar w:fldCharType="end"/>
      </w:r>
    </w:p>
    <w:p>
      <w:pPr>
        <w:pStyle w:val="47"/>
        <w:tabs>
          <w:tab w:val="right" w:leader="dot" w:pos="9412"/>
          <w:tab w:val="clear" w:pos="8400"/>
        </w:tabs>
        <w:ind w:right="-255"/>
      </w:pPr>
      <w:r>
        <w:fldChar w:fldCharType="begin"/>
      </w:r>
      <w:r>
        <w:instrText xml:space="preserve"> HYPERLINK \l "_Toc17891" </w:instrText>
      </w:r>
      <w:r>
        <w:fldChar w:fldCharType="separate"/>
      </w:r>
      <w:r>
        <w:rPr>
          <w:rFonts w:hint="eastAsia" w:ascii="方正仿宋_GBK" w:hAnsi="方正仿宋_GBK" w:eastAsia="方正仿宋_GBK" w:cs="方正仿宋_GBK"/>
          <w:bCs/>
          <w:szCs w:val="24"/>
        </w:rPr>
        <w:t>一、招标项目一览表</w:t>
      </w:r>
      <w:r>
        <w:tab/>
      </w:r>
      <w:r>
        <w:fldChar w:fldCharType="begin"/>
      </w:r>
      <w:r>
        <w:instrText xml:space="preserve"> PAGEREF _Toc13197 </w:instrText>
      </w:r>
      <w:r>
        <w:fldChar w:fldCharType="separate"/>
      </w:r>
      <w:r>
        <w:t>- 7 -</w:t>
      </w:r>
      <w:r>
        <w:fldChar w:fldCharType="end"/>
      </w:r>
      <w:r>
        <w:fldChar w:fldCharType="end"/>
      </w:r>
    </w:p>
    <w:p>
      <w:pPr>
        <w:pStyle w:val="47"/>
        <w:tabs>
          <w:tab w:val="right" w:leader="dot" w:pos="9412"/>
          <w:tab w:val="clear" w:pos="8400"/>
        </w:tabs>
        <w:ind w:right="-255"/>
        <w:rPr>
          <w:rFonts w:hint="eastAsia"/>
        </w:rPr>
      </w:pPr>
      <w:r>
        <w:fldChar w:fldCharType="begin"/>
      </w:r>
      <w:r>
        <w:instrText xml:space="preserve"> HYPERLINK \l "_Toc18645" </w:instrText>
      </w:r>
      <w:r>
        <w:fldChar w:fldCharType="separate"/>
      </w:r>
      <w:r>
        <w:rPr>
          <w:rFonts w:hint="eastAsia" w:ascii="方正仿宋_GBK" w:hAnsi="方正仿宋_GBK" w:eastAsia="方正仿宋_GBK" w:cs="方正仿宋_GBK"/>
          <w:bCs/>
          <w:szCs w:val="24"/>
        </w:rPr>
        <w:t>二、采购项目技术需求</w:t>
      </w:r>
      <w:r>
        <w:tab/>
      </w:r>
      <w:r>
        <w:fldChar w:fldCharType="begin"/>
      </w:r>
      <w:r>
        <w:instrText xml:space="preserve"> PAGEREF _Toc13197 </w:instrText>
      </w:r>
      <w:r>
        <w:fldChar w:fldCharType="separate"/>
      </w:r>
      <w:r>
        <w:t>- 7 -</w:t>
      </w:r>
      <w:r>
        <w:fldChar w:fldCharType="end"/>
      </w:r>
      <w:r>
        <w:fldChar w:fldCharType="end"/>
      </w:r>
    </w:p>
    <w:p>
      <w:pPr>
        <w:pStyle w:val="39"/>
        <w:tabs>
          <w:tab w:val="right" w:leader="dot" w:pos="9412"/>
          <w:tab w:val="clear" w:pos="1260"/>
          <w:tab w:val="clear" w:pos="1685"/>
          <w:tab w:val="clear" w:pos="8400"/>
        </w:tabs>
      </w:pPr>
      <w:r>
        <w:fldChar w:fldCharType="begin"/>
      </w:r>
      <w:r>
        <w:instrText xml:space="preserve"> HYPERLINK \l "_Toc20570" </w:instrText>
      </w:r>
      <w:r>
        <w:fldChar w:fldCharType="separate"/>
      </w:r>
      <w:r>
        <w:rPr>
          <w:rFonts w:hint="eastAsia" w:ascii="方正小标宋_GBK" w:eastAsia="方正小标宋_GBK"/>
          <w:szCs w:val="22"/>
        </w:rPr>
        <w:t>第三篇  项目商务要求</w:t>
      </w:r>
      <w:r>
        <w:tab/>
      </w:r>
      <w:r>
        <w:fldChar w:fldCharType="begin"/>
      </w:r>
      <w:r>
        <w:instrText xml:space="preserve"> PAGEREF _Toc13197 </w:instrText>
      </w:r>
      <w:r>
        <w:fldChar w:fldCharType="separate"/>
      </w:r>
      <w:r>
        <w:t xml:space="preserve">- </w:t>
      </w:r>
      <w:r>
        <w:rPr>
          <w:rFonts w:hint="eastAsia"/>
          <w:lang w:val="en-US" w:eastAsia="zh-CN"/>
        </w:rPr>
        <w:t>9</w:t>
      </w:r>
      <w:r>
        <w:t xml:space="preserve"> -</w:t>
      </w:r>
      <w:r>
        <w:fldChar w:fldCharType="end"/>
      </w:r>
      <w:r>
        <w:fldChar w:fldCharType="end"/>
      </w:r>
    </w:p>
    <w:p>
      <w:pPr>
        <w:pStyle w:val="47"/>
        <w:tabs>
          <w:tab w:val="right" w:leader="dot" w:pos="9412"/>
          <w:tab w:val="clear" w:pos="8400"/>
        </w:tabs>
        <w:ind w:right="-255"/>
      </w:pPr>
      <w:r>
        <w:fldChar w:fldCharType="begin"/>
      </w:r>
      <w:r>
        <w:instrText xml:space="preserve"> HYPERLINK \l "_Toc493506290" </w:instrText>
      </w:r>
      <w:r>
        <w:fldChar w:fldCharType="separate"/>
      </w:r>
      <w:r>
        <w:rPr>
          <w:rFonts w:hint="eastAsia" w:ascii="方正仿宋_GBK" w:hAnsi="方正仿宋_GBK" w:eastAsia="方正仿宋_GBK" w:cs="方正仿宋_GBK"/>
          <w:bCs/>
          <w:szCs w:val="24"/>
        </w:rPr>
        <w:t>一、服务内容、时间、地点及验收方式</w:t>
      </w:r>
      <w:r>
        <w:rPr>
          <w:rFonts w:hint="eastAsia" w:ascii="方正仿宋_GBK" w:hAnsi="方正仿宋_GBK" w:eastAsia="方正仿宋_GBK" w:cs="方正仿宋_GBK"/>
          <w:bCs/>
          <w:szCs w:val="24"/>
        </w:rPr>
        <w:tab/>
      </w:r>
      <w:r>
        <w:rPr>
          <w:rFonts w:hint="eastAsia" w:ascii="方正仿宋_GBK" w:hAnsi="方正仿宋_GBK" w:eastAsia="方正仿宋_GBK" w:cs="方正仿宋_GBK"/>
          <w:bCs/>
          <w:szCs w:val="24"/>
        </w:rPr>
        <w:fldChar w:fldCharType="end"/>
      </w:r>
      <w:r>
        <w:fldChar w:fldCharType="begin"/>
      </w:r>
      <w:r>
        <w:instrText xml:space="preserve"> PAGEREF _Toc13197 </w:instrText>
      </w:r>
      <w:r>
        <w:fldChar w:fldCharType="separate"/>
      </w:r>
      <w:r>
        <w:t xml:space="preserve">- </w:t>
      </w:r>
      <w:r>
        <w:rPr>
          <w:rFonts w:hint="eastAsia"/>
        </w:rPr>
        <w:t>9</w:t>
      </w:r>
      <w:r>
        <w:t xml:space="preserve"> -</w:t>
      </w:r>
      <w:r>
        <w:fldChar w:fldCharType="end"/>
      </w:r>
    </w:p>
    <w:p>
      <w:pPr>
        <w:pStyle w:val="47"/>
        <w:tabs>
          <w:tab w:val="right" w:leader="dot" w:pos="9412"/>
          <w:tab w:val="clear" w:pos="8400"/>
        </w:tabs>
        <w:ind w:right="-255"/>
        <w:rPr>
          <w:rFonts w:hint="eastAsia" w:ascii="方正仿宋_GBK" w:hAnsi="方正仿宋_GBK" w:eastAsia="方正仿宋_GBK" w:cs="方正仿宋_GBK"/>
          <w:bCs/>
          <w:szCs w:val="24"/>
        </w:rPr>
      </w:pPr>
      <w:r>
        <w:fldChar w:fldCharType="begin"/>
      </w:r>
      <w:r>
        <w:instrText xml:space="preserve"> HYPERLINK \l "_Toc493506291" </w:instrText>
      </w:r>
      <w:r>
        <w:fldChar w:fldCharType="separate"/>
      </w:r>
      <w:r>
        <w:rPr>
          <w:rFonts w:hint="eastAsia" w:ascii="方正仿宋_GBK" w:hAnsi="方正仿宋_GBK" w:eastAsia="方正仿宋_GBK" w:cs="方正仿宋_GBK"/>
          <w:bCs/>
          <w:szCs w:val="24"/>
        </w:rPr>
        <w:t>二、报价要求</w:t>
      </w:r>
      <w:r>
        <w:rPr>
          <w:rFonts w:hint="eastAsia" w:ascii="方正仿宋_GBK" w:hAnsi="方正仿宋_GBK" w:eastAsia="方正仿宋_GBK" w:cs="方正仿宋_GBK"/>
          <w:bCs/>
          <w:szCs w:val="24"/>
        </w:rPr>
        <w:tab/>
      </w:r>
      <w:r>
        <w:rPr>
          <w:rFonts w:hint="eastAsia" w:ascii="方正仿宋_GBK" w:hAnsi="方正仿宋_GBK" w:eastAsia="方正仿宋_GBK" w:cs="方正仿宋_GBK"/>
          <w:bCs/>
          <w:szCs w:val="24"/>
        </w:rPr>
        <w:fldChar w:fldCharType="end"/>
      </w:r>
      <w:r>
        <w:fldChar w:fldCharType="begin"/>
      </w:r>
      <w:r>
        <w:instrText xml:space="preserve"> PAGEREF _Toc13197 </w:instrText>
      </w:r>
      <w:r>
        <w:fldChar w:fldCharType="separate"/>
      </w:r>
      <w:r>
        <w:t xml:space="preserve">- </w:t>
      </w:r>
      <w:r>
        <w:rPr>
          <w:rFonts w:hint="eastAsia"/>
        </w:rPr>
        <w:t>9</w:t>
      </w:r>
      <w:r>
        <w:t xml:space="preserve"> -</w:t>
      </w:r>
      <w:r>
        <w:fldChar w:fldCharType="end"/>
      </w:r>
    </w:p>
    <w:p>
      <w:pPr>
        <w:pStyle w:val="47"/>
        <w:tabs>
          <w:tab w:val="right" w:leader="dot" w:pos="9412"/>
          <w:tab w:val="clear" w:pos="8400"/>
        </w:tabs>
        <w:ind w:right="-255"/>
      </w:pPr>
      <w:r>
        <w:fldChar w:fldCharType="begin"/>
      </w:r>
      <w:r>
        <w:instrText xml:space="preserve"> HYPERLINK \l "_Toc493506291" </w:instrText>
      </w:r>
      <w:r>
        <w:fldChar w:fldCharType="separate"/>
      </w:r>
      <w:r>
        <w:rPr>
          <w:rFonts w:hint="eastAsia" w:ascii="方正仿宋_GBK" w:hAnsi="方正仿宋_GBK" w:eastAsia="方正仿宋_GBK" w:cs="方正仿宋_GBK"/>
          <w:bCs/>
          <w:szCs w:val="24"/>
        </w:rPr>
        <w:t>三、质量保证及售后服务</w:t>
      </w:r>
      <w:r>
        <w:rPr>
          <w:rFonts w:hint="eastAsia" w:ascii="方正仿宋_GBK" w:hAnsi="方正仿宋_GBK" w:eastAsia="方正仿宋_GBK" w:cs="方正仿宋_GBK"/>
          <w:bCs/>
          <w:szCs w:val="24"/>
        </w:rPr>
        <w:tab/>
      </w:r>
      <w:r>
        <w:rPr>
          <w:rFonts w:hint="eastAsia" w:ascii="方正仿宋_GBK" w:hAnsi="方正仿宋_GBK" w:eastAsia="方正仿宋_GBK" w:cs="方正仿宋_GBK"/>
          <w:bCs/>
          <w:szCs w:val="24"/>
        </w:rPr>
        <w:fldChar w:fldCharType="end"/>
      </w:r>
      <w:r>
        <w:fldChar w:fldCharType="begin"/>
      </w:r>
      <w:r>
        <w:instrText xml:space="preserve"> PAGEREF _Toc13197 </w:instrText>
      </w:r>
      <w:r>
        <w:fldChar w:fldCharType="separate"/>
      </w:r>
      <w:r>
        <w:t xml:space="preserve">- </w:t>
      </w:r>
      <w:r>
        <w:rPr>
          <w:rFonts w:hint="eastAsia"/>
        </w:rPr>
        <w:t>9</w:t>
      </w:r>
      <w:r>
        <w:t xml:space="preserve"> -</w:t>
      </w:r>
      <w:r>
        <w:fldChar w:fldCharType="end"/>
      </w:r>
    </w:p>
    <w:p>
      <w:pPr>
        <w:pStyle w:val="47"/>
        <w:tabs>
          <w:tab w:val="right" w:leader="dot" w:pos="9412"/>
          <w:tab w:val="clear" w:pos="8400"/>
        </w:tabs>
        <w:ind w:right="-255"/>
      </w:pPr>
      <w:r>
        <w:fldChar w:fldCharType="begin"/>
      </w:r>
      <w:r>
        <w:instrText xml:space="preserve"> HYPERLINK \l "_Toc493506293" </w:instrText>
      </w:r>
      <w:r>
        <w:fldChar w:fldCharType="separate"/>
      </w:r>
      <w:r>
        <w:rPr>
          <w:rFonts w:hint="eastAsia" w:ascii="方正仿宋_GBK" w:hAnsi="方正仿宋_GBK" w:eastAsia="方正仿宋_GBK" w:cs="方正仿宋_GBK"/>
          <w:bCs/>
          <w:szCs w:val="24"/>
        </w:rPr>
        <w:t>四、付款方式</w:t>
      </w:r>
      <w:r>
        <w:rPr>
          <w:rFonts w:hint="eastAsia" w:ascii="方正仿宋_GBK" w:hAnsi="方正仿宋_GBK" w:eastAsia="方正仿宋_GBK" w:cs="方正仿宋_GBK"/>
          <w:bCs/>
          <w:szCs w:val="24"/>
        </w:rPr>
        <w:tab/>
      </w:r>
      <w:r>
        <w:rPr>
          <w:rFonts w:hint="eastAsia" w:ascii="方正仿宋_GBK" w:hAnsi="方正仿宋_GBK" w:eastAsia="方正仿宋_GBK" w:cs="方正仿宋_GBK"/>
          <w:bCs/>
          <w:szCs w:val="24"/>
        </w:rPr>
        <w:fldChar w:fldCharType="end"/>
      </w:r>
      <w:r>
        <w:fldChar w:fldCharType="begin"/>
      </w:r>
      <w:r>
        <w:instrText xml:space="preserve"> PAGEREF _Toc14970 </w:instrText>
      </w:r>
      <w:r>
        <w:fldChar w:fldCharType="separate"/>
      </w:r>
      <w:r>
        <w:t>- 1</w:t>
      </w:r>
      <w:r>
        <w:rPr>
          <w:rFonts w:hint="eastAsia"/>
        </w:rPr>
        <w:t>0</w:t>
      </w:r>
      <w:r>
        <w:t xml:space="preserve"> -</w:t>
      </w:r>
      <w:r>
        <w:fldChar w:fldCharType="end"/>
      </w:r>
    </w:p>
    <w:p>
      <w:pPr>
        <w:pStyle w:val="47"/>
        <w:tabs>
          <w:tab w:val="right" w:leader="dot" w:pos="9412"/>
          <w:tab w:val="clear" w:pos="8400"/>
        </w:tabs>
        <w:ind w:right="-255"/>
        <w:rPr>
          <w:rFonts w:ascii="仿宋_GB2312" w:eastAsia="仿宋_GB2312"/>
        </w:rPr>
      </w:pPr>
      <w:r>
        <w:fldChar w:fldCharType="begin"/>
      </w:r>
      <w:r>
        <w:instrText xml:space="preserve"> HYPERLINK \l "_Toc493506293" </w:instrText>
      </w:r>
      <w:r>
        <w:fldChar w:fldCharType="separate"/>
      </w:r>
      <w:r>
        <w:rPr>
          <w:rFonts w:hint="eastAsia" w:ascii="方正仿宋_GBK" w:hAnsi="方正仿宋_GBK" w:eastAsia="方正仿宋_GBK" w:cs="方正仿宋_GBK"/>
          <w:bCs/>
          <w:szCs w:val="24"/>
        </w:rPr>
        <w:t>五、知识产权</w:t>
      </w:r>
      <w:r>
        <w:rPr>
          <w:rFonts w:hint="eastAsia" w:ascii="方正仿宋_GBK" w:hAnsi="方正仿宋_GBK" w:eastAsia="方正仿宋_GBK" w:cs="方正仿宋_GBK"/>
          <w:bCs/>
          <w:szCs w:val="24"/>
        </w:rPr>
        <w:tab/>
      </w:r>
      <w:r>
        <w:rPr>
          <w:rFonts w:hint="eastAsia" w:ascii="方正仿宋_GBK" w:hAnsi="方正仿宋_GBK" w:eastAsia="方正仿宋_GBK" w:cs="方正仿宋_GBK"/>
          <w:bCs/>
          <w:szCs w:val="24"/>
        </w:rPr>
        <w:fldChar w:fldCharType="end"/>
      </w:r>
      <w:r>
        <w:fldChar w:fldCharType="begin"/>
      </w:r>
      <w:r>
        <w:instrText xml:space="preserve"> PAGEREF _Toc14970 </w:instrText>
      </w:r>
      <w:r>
        <w:fldChar w:fldCharType="separate"/>
      </w:r>
      <w:r>
        <w:t>- 1</w:t>
      </w:r>
      <w:r>
        <w:rPr>
          <w:rFonts w:hint="eastAsia"/>
        </w:rPr>
        <w:t>0</w:t>
      </w:r>
      <w:r>
        <w:t xml:space="preserve"> -</w:t>
      </w:r>
      <w:r>
        <w:fldChar w:fldCharType="end"/>
      </w:r>
    </w:p>
    <w:p>
      <w:pPr>
        <w:pStyle w:val="47"/>
        <w:tabs>
          <w:tab w:val="right" w:leader="dot" w:pos="9412"/>
          <w:tab w:val="clear" w:pos="8400"/>
        </w:tabs>
        <w:ind w:right="-255"/>
      </w:pPr>
      <w:r>
        <w:fldChar w:fldCharType="begin"/>
      </w:r>
      <w:r>
        <w:instrText xml:space="preserve"> HYPERLINK \l "_Toc493506295" </w:instrText>
      </w:r>
      <w:r>
        <w:fldChar w:fldCharType="separate"/>
      </w:r>
      <w:r>
        <w:rPr>
          <w:rStyle w:val="67"/>
          <w:rFonts w:hint="eastAsia" w:ascii="仿宋_GB2312" w:eastAsia="仿宋_GB2312"/>
        </w:rPr>
        <w:t>六、其他</w:t>
      </w:r>
      <w:r>
        <w:rPr>
          <w:rStyle w:val="67"/>
          <w:rFonts w:ascii="仿宋_GB2312" w:eastAsia="仿宋_GB2312"/>
        </w:rPr>
        <w:tab/>
      </w:r>
      <w:r>
        <w:rPr>
          <w:rStyle w:val="67"/>
          <w:rFonts w:ascii="仿宋_GB2312" w:eastAsia="仿宋_GB2312"/>
        </w:rPr>
        <w:fldChar w:fldCharType="end"/>
      </w:r>
      <w:r>
        <w:fldChar w:fldCharType="begin"/>
      </w:r>
      <w:r>
        <w:instrText xml:space="preserve"> PAGEREF _Toc14970 </w:instrText>
      </w:r>
      <w:r>
        <w:fldChar w:fldCharType="separate"/>
      </w:r>
      <w:r>
        <w:t>- 1</w:t>
      </w:r>
      <w:r>
        <w:rPr>
          <w:rFonts w:hint="eastAsia"/>
        </w:rPr>
        <w:t>1</w:t>
      </w:r>
      <w:r>
        <w:t xml:space="preserve"> -</w:t>
      </w:r>
      <w:r>
        <w:fldChar w:fldCharType="end"/>
      </w:r>
    </w:p>
    <w:p>
      <w:pPr>
        <w:pStyle w:val="39"/>
        <w:tabs>
          <w:tab w:val="right" w:leader="dot" w:pos="9412"/>
          <w:tab w:val="clear" w:pos="1260"/>
          <w:tab w:val="clear" w:pos="1685"/>
          <w:tab w:val="clear" w:pos="8400"/>
        </w:tabs>
      </w:pPr>
      <w:r>
        <w:fldChar w:fldCharType="begin"/>
      </w:r>
      <w:r>
        <w:instrText xml:space="preserve"> HYPERLINK \l "_Toc9063" </w:instrText>
      </w:r>
      <w:r>
        <w:fldChar w:fldCharType="separate"/>
      </w:r>
      <w:r>
        <w:rPr>
          <w:rFonts w:hint="eastAsia" w:ascii="方正小标宋_GBK" w:eastAsia="方正小标宋_GBK"/>
        </w:rPr>
        <w:t xml:space="preserve">第四篇  </w:t>
      </w:r>
      <w:r>
        <w:rPr>
          <w:rFonts w:hint="eastAsia" w:ascii="方正小标宋_GBK" w:eastAsia="方正小标宋_GBK"/>
          <w:szCs w:val="22"/>
        </w:rPr>
        <w:t>资格审查及评标办法</w:t>
      </w:r>
      <w:r>
        <w:tab/>
      </w:r>
      <w:r>
        <w:fldChar w:fldCharType="begin"/>
      </w:r>
      <w:r>
        <w:instrText xml:space="preserve"> PAGEREF _Toc9063 </w:instrText>
      </w:r>
      <w:r>
        <w:fldChar w:fldCharType="separate"/>
      </w:r>
      <w:r>
        <w:t>-</w:t>
      </w:r>
      <w:r>
        <w:rPr>
          <w:rFonts w:hint="eastAsia"/>
          <w:lang w:val="en-US" w:eastAsia="zh-CN"/>
        </w:rPr>
        <w:t>12</w:t>
      </w:r>
      <w:r>
        <w:t xml:space="preserve"> -</w:t>
      </w:r>
      <w:r>
        <w:fldChar w:fldCharType="end"/>
      </w:r>
      <w:r>
        <w:fldChar w:fldCharType="end"/>
      </w:r>
    </w:p>
    <w:p>
      <w:pPr>
        <w:pStyle w:val="47"/>
        <w:tabs>
          <w:tab w:val="right" w:leader="dot" w:pos="9412"/>
          <w:tab w:val="clear" w:pos="8400"/>
        </w:tabs>
        <w:ind w:right="-255"/>
      </w:pPr>
      <w:r>
        <w:fldChar w:fldCharType="begin"/>
      </w:r>
      <w:r>
        <w:instrText xml:space="preserve"> HYPERLINK \l "_Toc14970" </w:instrText>
      </w:r>
      <w:r>
        <w:fldChar w:fldCharType="separate"/>
      </w:r>
      <w:r>
        <w:rPr>
          <w:rFonts w:hint="eastAsia" w:ascii="方正仿宋_GBK" w:eastAsia="方正仿宋_GBK"/>
          <w:szCs w:val="24"/>
        </w:rPr>
        <w:t>一、资格审查</w:t>
      </w:r>
      <w:r>
        <w:tab/>
      </w:r>
      <w:r>
        <w:fldChar w:fldCharType="begin"/>
      </w:r>
      <w:r>
        <w:instrText xml:space="preserve"> PAGEREF _Toc14970 </w:instrText>
      </w:r>
      <w:r>
        <w:fldChar w:fldCharType="separate"/>
      </w:r>
      <w:r>
        <w:t>- 12 -</w:t>
      </w:r>
      <w:r>
        <w:fldChar w:fldCharType="end"/>
      </w:r>
      <w:r>
        <w:fldChar w:fldCharType="end"/>
      </w:r>
    </w:p>
    <w:p>
      <w:pPr>
        <w:pStyle w:val="47"/>
        <w:tabs>
          <w:tab w:val="right" w:leader="dot" w:pos="9412"/>
          <w:tab w:val="clear" w:pos="8400"/>
        </w:tabs>
        <w:ind w:right="-255"/>
      </w:pPr>
      <w:r>
        <w:fldChar w:fldCharType="begin"/>
      </w:r>
      <w:r>
        <w:instrText xml:space="preserve"> HYPERLINK \l "_Toc22698" </w:instrText>
      </w:r>
      <w:r>
        <w:fldChar w:fldCharType="separate"/>
      </w:r>
      <w:r>
        <w:rPr>
          <w:rFonts w:hint="eastAsia" w:ascii="方正仿宋_GBK" w:hAnsi="方正仿宋_GBK" w:eastAsia="方正仿宋_GBK" w:cs="方正仿宋_GBK"/>
          <w:szCs w:val="24"/>
        </w:rPr>
        <w:t>二、评标方法</w:t>
      </w:r>
      <w:r>
        <w:tab/>
      </w:r>
      <w:r>
        <w:fldChar w:fldCharType="begin"/>
      </w:r>
      <w:r>
        <w:instrText xml:space="preserve"> PAGEREF _Toc22698 </w:instrText>
      </w:r>
      <w:r>
        <w:fldChar w:fldCharType="separate"/>
      </w:r>
      <w:r>
        <w:t>- 13 -</w:t>
      </w:r>
      <w:r>
        <w:fldChar w:fldCharType="end"/>
      </w:r>
      <w:r>
        <w:fldChar w:fldCharType="end"/>
      </w:r>
    </w:p>
    <w:p>
      <w:pPr>
        <w:pStyle w:val="47"/>
        <w:tabs>
          <w:tab w:val="right" w:leader="dot" w:pos="9412"/>
          <w:tab w:val="clear" w:pos="8400"/>
        </w:tabs>
        <w:ind w:right="-255"/>
      </w:pPr>
      <w:r>
        <w:fldChar w:fldCharType="begin"/>
      </w:r>
      <w:r>
        <w:instrText xml:space="preserve"> HYPERLINK \l "_Toc24978" </w:instrText>
      </w:r>
      <w:r>
        <w:fldChar w:fldCharType="separate"/>
      </w:r>
      <w:r>
        <w:rPr>
          <w:rFonts w:hint="eastAsia" w:ascii="方正仿宋_GBK" w:eastAsia="方正仿宋_GBK"/>
          <w:szCs w:val="24"/>
        </w:rPr>
        <w:t>三、评标标准</w:t>
      </w:r>
      <w:r>
        <w:tab/>
      </w:r>
      <w:r>
        <w:fldChar w:fldCharType="begin"/>
      </w:r>
      <w:r>
        <w:instrText xml:space="preserve"> PAGEREF _Toc24978 </w:instrText>
      </w:r>
      <w:r>
        <w:fldChar w:fldCharType="separate"/>
      </w:r>
      <w:r>
        <w:t>- 14 -</w:t>
      </w:r>
      <w:r>
        <w:fldChar w:fldCharType="end"/>
      </w:r>
      <w:r>
        <w:fldChar w:fldCharType="end"/>
      </w:r>
    </w:p>
    <w:p>
      <w:pPr>
        <w:pStyle w:val="47"/>
        <w:tabs>
          <w:tab w:val="right" w:leader="dot" w:pos="9412"/>
          <w:tab w:val="clear" w:pos="8400"/>
        </w:tabs>
        <w:ind w:right="-255"/>
      </w:pPr>
      <w:r>
        <w:fldChar w:fldCharType="begin"/>
      </w:r>
      <w:r>
        <w:instrText xml:space="preserve"> HYPERLINK \l "_Toc13150" </w:instrText>
      </w:r>
      <w:r>
        <w:fldChar w:fldCharType="separate"/>
      </w:r>
      <w:r>
        <w:rPr>
          <w:rFonts w:hint="eastAsia" w:ascii="方正仿宋_GBK" w:hAnsi="方正仿宋_GBK" w:eastAsia="方正仿宋_GBK" w:cs="方正仿宋_GBK"/>
          <w:szCs w:val="24"/>
        </w:rPr>
        <w:t>四、无效投标条款</w:t>
      </w:r>
      <w:r>
        <w:tab/>
      </w:r>
      <w:r>
        <w:fldChar w:fldCharType="begin"/>
      </w:r>
      <w:r>
        <w:instrText xml:space="preserve"> PAGEREF _Toc13150 </w:instrText>
      </w:r>
      <w:r>
        <w:fldChar w:fldCharType="separate"/>
      </w:r>
      <w:r>
        <w:t>- 14 -</w:t>
      </w:r>
      <w:r>
        <w:fldChar w:fldCharType="end"/>
      </w:r>
      <w:r>
        <w:fldChar w:fldCharType="end"/>
      </w:r>
    </w:p>
    <w:p>
      <w:pPr>
        <w:pStyle w:val="47"/>
        <w:tabs>
          <w:tab w:val="right" w:leader="dot" w:pos="9412"/>
          <w:tab w:val="clear" w:pos="8400"/>
        </w:tabs>
        <w:ind w:right="-255"/>
      </w:pPr>
      <w:r>
        <w:fldChar w:fldCharType="begin"/>
      </w:r>
      <w:r>
        <w:instrText xml:space="preserve"> HYPERLINK \l "_Toc29596" </w:instrText>
      </w:r>
      <w:r>
        <w:fldChar w:fldCharType="separate"/>
      </w:r>
      <w:r>
        <w:rPr>
          <w:rFonts w:hint="eastAsia" w:ascii="方正仿宋_GBK" w:hAnsi="方正仿宋_GBK" w:eastAsia="方正仿宋_GBK" w:cs="方正仿宋_GBK"/>
          <w:szCs w:val="24"/>
        </w:rPr>
        <w:t>五、废标条款</w:t>
      </w:r>
      <w:r>
        <w:tab/>
      </w:r>
      <w:r>
        <w:fldChar w:fldCharType="begin"/>
      </w:r>
      <w:r>
        <w:instrText xml:space="preserve"> PAGEREF _Toc29596 </w:instrText>
      </w:r>
      <w:r>
        <w:fldChar w:fldCharType="separate"/>
      </w:r>
      <w:r>
        <w:t>- 16 -</w:t>
      </w:r>
      <w:r>
        <w:fldChar w:fldCharType="end"/>
      </w:r>
      <w:r>
        <w:fldChar w:fldCharType="end"/>
      </w:r>
    </w:p>
    <w:p>
      <w:pPr>
        <w:pStyle w:val="39"/>
        <w:tabs>
          <w:tab w:val="right" w:leader="dot" w:pos="9412"/>
          <w:tab w:val="clear" w:pos="1260"/>
          <w:tab w:val="clear" w:pos="1685"/>
          <w:tab w:val="clear" w:pos="8400"/>
        </w:tabs>
      </w:pPr>
      <w:r>
        <w:fldChar w:fldCharType="begin"/>
      </w:r>
      <w:r>
        <w:instrText xml:space="preserve"> HYPERLINK \l "_Toc24689" </w:instrText>
      </w:r>
      <w:r>
        <w:fldChar w:fldCharType="separate"/>
      </w:r>
      <w:r>
        <w:rPr>
          <w:rFonts w:hint="eastAsia" w:ascii="方正小标宋_GBK" w:eastAsia="方正小标宋_GBK"/>
        </w:rPr>
        <w:t>第五篇  投标人须知</w:t>
      </w:r>
      <w:r>
        <w:tab/>
      </w:r>
      <w:r>
        <w:fldChar w:fldCharType="begin"/>
      </w:r>
      <w:r>
        <w:instrText xml:space="preserve"> PAGEREF _Toc24689 </w:instrText>
      </w:r>
      <w:r>
        <w:fldChar w:fldCharType="separate"/>
      </w:r>
      <w:r>
        <w:t>- 17 -</w:t>
      </w:r>
      <w:r>
        <w:fldChar w:fldCharType="end"/>
      </w:r>
      <w:r>
        <w:fldChar w:fldCharType="end"/>
      </w:r>
    </w:p>
    <w:p>
      <w:pPr>
        <w:pStyle w:val="47"/>
        <w:tabs>
          <w:tab w:val="right" w:leader="dot" w:pos="9412"/>
          <w:tab w:val="clear" w:pos="8400"/>
        </w:tabs>
        <w:ind w:right="-255"/>
      </w:pPr>
      <w:r>
        <w:fldChar w:fldCharType="begin"/>
      </w:r>
      <w:r>
        <w:instrText xml:space="preserve"> HYPERLINK \l "_Toc26104" </w:instrText>
      </w:r>
      <w:r>
        <w:fldChar w:fldCharType="separate"/>
      </w:r>
      <w:r>
        <w:rPr>
          <w:rFonts w:hint="eastAsia" w:ascii="方正仿宋_GBK" w:eastAsia="方正仿宋_GBK"/>
        </w:rPr>
        <w:t>一、投标人</w:t>
      </w:r>
      <w:r>
        <w:tab/>
      </w:r>
      <w:r>
        <w:fldChar w:fldCharType="begin"/>
      </w:r>
      <w:r>
        <w:instrText xml:space="preserve"> PAGEREF _Toc26104 </w:instrText>
      </w:r>
      <w:r>
        <w:fldChar w:fldCharType="separate"/>
      </w:r>
      <w:r>
        <w:t>- 17 -</w:t>
      </w:r>
      <w:r>
        <w:fldChar w:fldCharType="end"/>
      </w:r>
      <w:r>
        <w:fldChar w:fldCharType="end"/>
      </w:r>
    </w:p>
    <w:p>
      <w:pPr>
        <w:pStyle w:val="47"/>
        <w:tabs>
          <w:tab w:val="right" w:leader="dot" w:pos="9412"/>
          <w:tab w:val="clear" w:pos="8400"/>
        </w:tabs>
        <w:ind w:right="-255"/>
      </w:pPr>
      <w:r>
        <w:fldChar w:fldCharType="begin"/>
      </w:r>
      <w:r>
        <w:instrText xml:space="preserve"> HYPERLINK \l "_Toc13116" </w:instrText>
      </w:r>
      <w:r>
        <w:fldChar w:fldCharType="separate"/>
      </w:r>
      <w:r>
        <w:rPr>
          <w:rFonts w:hint="eastAsia" w:ascii="方正仿宋_GBK" w:eastAsia="方正仿宋_GBK"/>
        </w:rPr>
        <w:t>二、招标文件</w:t>
      </w:r>
      <w:r>
        <w:tab/>
      </w:r>
      <w:r>
        <w:fldChar w:fldCharType="begin"/>
      </w:r>
      <w:r>
        <w:instrText xml:space="preserve"> PAGEREF _Toc13116 </w:instrText>
      </w:r>
      <w:r>
        <w:fldChar w:fldCharType="separate"/>
      </w:r>
      <w:r>
        <w:t>- 17 -</w:t>
      </w:r>
      <w:r>
        <w:fldChar w:fldCharType="end"/>
      </w:r>
      <w:r>
        <w:fldChar w:fldCharType="end"/>
      </w:r>
    </w:p>
    <w:p>
      <w:pPr>
        <w:pStyle w:val="47"/>
        <w:tabs>
          <w:tab w:val="right" w:leader="dot" w:pos="9412"/>
          <w:tab w:val="clear" w:pos="8400"/>
        </w:tabs>
        <w:ind w:right="-255"/>
      </w:pPr>
      <w:r>
        <w:fldChar w:fldCharType="begin"/>
      </w:r>
      <w:r>
        <w:instrText xml:space="preserve"> HYPERLINK \l "_Toc11287" </w:instrText>
      </w:r>
      <w:r>
        <w:fldChar w:fldCharType="separate"/>
      </w:r>
      <w:r>
        <w:rPr>
          <w:rFonts w:hint="eastAsia" w:ascii="方正仿宋_GBK" w:eastAsia="方正仿宋_GBK"/>
        </w:rPr>
        <w:t>三、投标文件</w:t>
      </w:r>
      <w:r>
        <w:tab/>
      </w:r>
      <w:r>
        <w:fldChar w:fldCharType="begin"/>
      </w:r>
      <w:r>
        <w:instrText xml:space="preserve"> PAGEREF _Toc11287 </w:instrText>
      </w:r>
      <w:r>
        <w:fldChar w:fldCharType="separate"/>
      </w:r>
      <w:r>
        <w:t>- 17 -</w:t>
      </w:r>
      <w:r>
        <w:fldChar w:fldCharType="end"/>
      </w:r>
      <w:r>
        <w:fldChar w:fldCharType="end"/>
      </w:r>
    </w:p>
    <w:p>
      <w:pPr>
        <w:pStyle w:val="47"/>
        <w:tabs>
          <w:tab w:val="right" w:leader="dot" w:pos="9412"/>
          <w:tab w:val="clear" w:pos="8400"/>
        </w:tabs>
        <w:ind w:right="-255"/>
      </w:pPr>
      <w:r>
        <w:fldChar w:fldCharType="begin"/>
      </w:r>
      <w:r>
        <w:instrText xml:space="preserve"> HYPERLINK \l "_Toc28932" </w:instrText>
      </w:r>
      <w:r>
        <w:fldChar w:fldCharType="separate"/>
      </w:r>
      <w:r>
        <w:rPr>
          <w:rFonts w:hint="eastAsia" w:ascii="方正仿宋_GBK" w:eastAsia="方正仿宋_GBK"/>
        </w:rPr>
        <w:t>四、开标</w:t>
      </w:r>
      <w:r>
        <w:tab/>
      </w:r>
      <w:r>
        <w:fldChar w:fldCharType="begin"/>
      </w:r>
      <w:r>
        <w:instrText xml:space="preserve"> PAGEREF _Toc28932 </w:instrText>
      </w:r>
      <w:r>
        <w:fldChar w:fldCharType="separate"/>
      </w:r>
      <w:r>
        <w:t>- 19 -</w:t>
      </w:r>
      <w:r>
        <w:fldChar w:fldCharType="end"/>
      </w:r>
      <w:r>
        <w:fldChar w:fldCharType="end"/>
      </w:r>
    </w:p>
    <w:p>
      <w:pPr>
        <w:pStyle w:val="47"/>
        <w:tabs>
          <w:tab w:val="right" w:leader="dot" w:pos="9412"/>
          <w:tab w:val="clear" w:pos="8400"/>
        </w:tabs>
        <w:ind w:right="-255"/>
      </w:pPr>
      <w:r>
        <w:fldChar w:fldCharType="begin"/>
      </w:r>
      <w:r>
        <w:instrText xml:space="preserve"> HYPERLINK \l "_Toc24433" </w:instrText>
      </w:r>
      <w:r>
        <w:fldChar w:fldCharType="separate"/>
      </w:r>
      <w:r>
        <w:rPr>
          <w:rFonts w:hint="eastAsia" w:ascii="方正仿宋_GBK" w:eastAsia="方正仿宋_GBK"/>
        </w:rPr>
        <w:t>五、评标</w:t>
      </w:r>
      <w:r>
        <w:tab/>
      </w:r>
      <w:r>
        <w:fldChar w:fldCharType="begin"/>
      </w:r>
      <w:r>
        <w:instrText xml:space="preserve"> PAGEREF _Toc24433 </w:instrText>
      </w:r>
      <w:r>
        <w:fldChar w:fldCharType="separate"/>
      </w:r>
      <w:r>
        <w:t>- 20 -</w:t>
      </w:r>
      <w:r>
        <w:fldChar w:fldCharType="end"/>
      </w:r>
      <w:r>
        <w:fldChar w:fldCharType="end"/>
      </w:r>
    </w:p>
    <w:p>
      <w:pPr>
        <w:pStyle w:val="47"/>
        <w:tabs>
          <w:tab w:val="right" w:leader="dot" w:pos="9412"/>
          <w:tab w:val="clear" w:pos="8400"/>
        </w:tabs>
        <w:ind w:right="-255"/>
      </w:pPr>
      <w:r>
        <w:fldChar w:fldCharType="begin"/>
      </w:r>
      <w:r>
        <w:instrText xml:space="preserve"> HYPERLINK \l "_Toc14721" </w:instrText>
      </w:r>
      <w:r>
        <w:fldChar w:fldCharType="separate"/>
      </w:r>
      <w:r>
        <w:rPr>
          <w:rFonts w:hint="eastAsia" w:ascii="方正仿宋_GBK" w:eastAsia="方正仿宋_GBK"/>
        </w:rPr>
        <w:t>六、定标</w:t>
      </w:r>
      <w:r>
        <w:tab/>
      </w:r>
      <w:r>
        <w:fldChar w:fldCharType="begin"/>
      </w:r>
      <w:r>
        <w:instrText xml:space="preserve"> PAGEREF _Toc14721 </w:instrText>
      </w:r>
      <w:r>
        <w:fldChar w:fldCharType="separate"/>
      </w:r>
      <w:r>
        <w:t>- 20 -</w:t>
      </w:r>
      <w:r>
        <w:fldChar w:fldCharType="end"/>
      </w:r>
      <w:r>
        <w:fldChar w:fldCharType="end"/>
      </w:r>
    </w:p>
    <w:p>
      <w:pPr>
        <w:pStyle w:val="47"/>
        <w:tabs>
          <w:tab w:val="right" w:leader="dot" w:pos="9412"/>
          <w:tab w:val="clear" w:pos="8400"/>
        </w:tabs>
        <w:ind w:right="-255"/>
      </w:pPr>
      <w:r>
        <w:fldChar w:fldCharType="begin"/>
      </w:r>
      <w:r>
        <w:instrText xml:space="preserve"> HYPERLINK \l "_Toc25719" </w:instrText>
      </w:r>
      <w:r>
        <w:fldChar w:fldCharType="separate"/>
      </w:r>
      <w:r>
        <w:rPr>
          <w:rFonts w:hint="eastAsia" w:ascii="方正仿宋_GBK" w:eastAsia="方正仿宋_GBK"/>
          <w:szCs w:val="22"/>
        </w:rPr>
        <w:t>七、中标通知书</w:t>
      </w:r>
      <w:r>
        <w:tab/>
      </w:r>
      <w:r>
        <w:fldChar w:fldCharType="begin"/>
      </w:r>
      <w:r>
        <w:instrText xml:space="preserve"> PAGEREF _Toc25719 </w:instrText>
      </w:r>
      <w:r>
        <w:fldChar w:fldCharType="separate"/>
      </w:r>
      <w:r>
        <w:t>- 20 -</w:t>
      </w:r>
      <w:r>
        <w:fldChar w:fldCharType="end"/>
      </w:r>
      <w:r>
        <w:fldChar w:fldCharType="end"/>
      </w:r>
    </w:p>
    <w:p>
      <w:pPr>
        <w:pStyle w:val="47"/>
        <w:tabs>
          <w:tab w:val="right" w:leader="dot" w:pos="9412"/>
          <w:tab w:val="clear" w:pos="8400"/>
        </w:tabs>
        <w:ind w:right="-255"/>
      </w:pPr>
      <w:r>
        <w:fldChar w:fldCharType="begin"/>
      </w:r>
      <w:r>
        <w:instrText xml:space="preserve"> HYPERLINK \l "_Toc31889" </w:instrText>
      </w:r>
      <w:r>
        <w:fldChar w:fldCharType="separate"/>
      </w:r>
      <w:r>
        <w:rPr>
          <w:rFonts w:hint="eastAsia" w:ascii="方正仿宋_GBK" w:eastAsia="方正仿宋_GBK"/>
        </w:rPr>
        <w:t>八、</w:t>
      </w:r>
      <w:r>
        <w:rPr>
          <w:rFonts w:hint="eastAsia" w:ascii="方正仿宋_GBK" w:hAnsi="方正仿宋_GBK" w:eastAsia="方正仿宋_GBK"/>
          <w:szCs w:val="22"/>
        </w:rPr>
        <w:t>询问、质疑和投诉</w:t>
      </w:r>
      <w:r>
        <w:tab/>
      </w:r>
      <w:r>
        <w:fldChar w:fldCharType="begin"/>
      </w:r>
      <w:r>
        <w:instrText xml:space="preserve"> PAGEREF _Toc31889 </w:instrText>
      </w:r>
      <w:r>
        <w:fldChar w:fldCharType="separate"/>
      </w:r>
      <w:r>
        <w:t>- 20 -</w:t>
      </w:r>
      <w:r>
        <w:fldChar w:fldCharType="end"/>
      </w:r>
      <w:r>
        <w:fldChar w:fldCharType="end"/>
      </w:r>
    </w:p>
    <w:p>
      <w:pPr>
        <w:pStyle w:val="47"/>
        <w:tabs>
          <w:tab w:val="right" w:leader="dot" w:pos="9412"/>
          <w:tab w:val="clear" w:pos="8400"/>
        </w:tabs>
        <w:ind w:right="-255"/>
        <w:rPr>
          <w:rFonts w:hint="eastAsia" w:ascii="宋体" w:hAnsi="宋体" w:cs="宋体"/>
          <w:szCs w:val="21"/>
        </w:rPr>
      </w:pPr>
      <w:r>
        <w:fldChar w:fldCharType="begin"/>
      </w:r>
      <w:r>
        <w:instrText xml:space="preserve"> HYPERLINK \l "_Toc23549" </w:instrText>
      </w:r>
      <w:r>
        <w:fldChar w:fldCharType="separate"/>
      </w:r>
      <w:r>
        <w:rPr>
          <w:rFonts w:hint="eastAsia" w:ascii="方正仿宋_GBK" w:eastAsia="方正仿宋_GBK"/>
        </w:rPr>
        <w:t>九、签订合同</w:t>
      </w:r>
      <w:r>
        <w:tab/>
      </w:r>
      <w:r>
        <w:fldChar w:fldCharType="begin"/>
      </w:r>
      <w:r>
        <w:instrText xml:space="preserve"> PAGEREF _Toc23549 </w:instrText>
      </w:r>
      <w:r>
        <w:fldChar w:fldCharType="separate"/>
      </w:r>
      <w:r>
        <w:t>- 21 -</w:t>
      </w:r>
      <w:r>
        <w:fldChar w:fldCharType="end"/>
      </w:r>
      <w:r>
        <w:fldChar w:fldCharType="end"/>
      </w:r>
    </w:p>
    <w:p>
      <w:pPr>
        <w:pStyle w:val="47"/>
        <w:tabs>
          <w:tab w:val="right" w:leader="dot" w:pos="9412"/>
          <w:tab w:val="clear" w:pos="8400"/>
        </w:tabs>
        <w:ind w:right="-255"/>
      </w:pPr>
      <w:r>
        <w:rPr>
          <w:rFonts w:hint="eastAsia" w:ascii="方正仿宋_GBK" w:hAnsi="Calibri" w:eastAsia="方正仿宋_GBK"/>
        </w:rPr>
        <w:t>十</w:t>
      </w:r>
      <w:r>
        <w:fldChar w:fldCharType="begin"/>
      </w:r>
      <w:r>
        <w:instrText xml:space="preserve"> HYPERLINK \l "_Toc14209" </w:instrText>
      </w:r>
      <w:r>
        <w:fldChar w:fldCharType="separate"/>
      </w:r>
      <w:r>
        <w:rPr>
          <w:rFonts w:hint="eastAsia" w:ascii="方正仿宋_GBK" w:hAnsi="Calibri" w:eastAsia="方正仿宋_GBK"/>
        </w:rPr>
        <w:t>、政府采购信用融资</w:t>
      </w:r>
      <w:r>
        <w:rPr>
          <w:rFonts w:hint="eastAsia" w:ascii="方正仿宋_GBK" w:hAnsi="Calibri" w:eastAsia="方正仿宋_GBK"/>
        </w:rPr>
        <w:tab/>
      </w:r>
      <w:r>
        <w:fldChar w:fldCharType="begin"/>
      </w:r>
      <w:r>
        <w:instrText xml:space="preserve"> PAGEREF _Toc23549 </w:instrText>
      </w:r>
      <w:r>
        <w:fldChar w:fldCharType="separate"/>
      </w:r>
      <w:r>
        <w:t>- 21 -</w:t>
      </w:r>
      <w:r>
        <w:fldChar w:fldCharType="end"/>
      </w:r>
      <w:r>
        <w:fldChar w:fldCharType="end"/>
      </w:r>
    </w:p>
    <w:p>
      <w:pPr>
        <w:pStyle w:val="39"/>
        <w:tabs>
          <w:tab w:val="right" w:leader="dot" w:pos="9412"/>
          <w:tab w:val="clear" w:pos="1260"/>
          <w:tab w:val="clear" w:pos="1685"/>
          <w:tab w:val="clear" w:pos="8400"/>
        </w:tabs>
      </w:pPr>
      <w:r>
        <w:fldChar w:fldCharType="begin"/>
      </w:r>
      <w:r>
        <w:instrText xml:space="preserve"> HYPERLINK \l "_Toc11902" </w:instrText>
      </w:r>
      <w:r>
        <w:fldChar w:fldCharType="separate"/>
      </w:r>
      <w:r>
        <w:rPr>
          <w:rFonts w:hint="eastAsia" w:ascii="方正小标宋_GBK" w:eastAsia="方正小标宋_GBK"/>
        </w:rPr>
        <w:t>第六篇  合同（样本）</w:t>
      </w:r>
      <w:r>
        <w:tab/>
      </w:r>
      <w:r>
        <w:fldChar w:fldCharType="begin"/>
      </w:r>
      <w:r>
        <w:instrText xml:space="preserve"> PAGEREF _Toc11902 </w:instrText>
      </w:r>
      <w:r>
        <w:fldChar w:fldCharType="separate"/>
      </w:r>
      <w:r>
        <w:t>- 23 -</w:t>
      </w:r>
      <w:r>
        <w:fldChar w:fldCharType="end"/>
      </w:r>
      <w:r>
        <w:fldChar w:fldCharType="end"/>
      </w:r>
    </w:p>
    <w:p>
      <w:pPr>
        <w:pStyle w:val="39"/>
        <w:tabs>
          <w:tab w:val="right" w:leader="dot" w:pos="9412"/>
          <w:tab w:val="clear" w:pos="1260"/>
          <w:tab w:val="clear" w:pos="1685"/>
          <w:tab w:val="clear" w:pos="8400"/>
        </w:tabs>
      </w:pPr>
      <w:r>
        <w:fldChar w:fldCharType="begin"/>
      </w:r>
      <w:r>
        <w:instrText xml:space="preserve"> HYPERLINK \l "_Toc27871" </w:instrText>
      </w:r>
      <w:r>
        <w:fldChar w:fldCharType="separate"/>
      </w:r>
      <w:r>
        <w:rPr>
          <w:rFonts w:hint="eastAsia" w:ascii="方正小标宋_GBK" w:eastAsia="方正小标宋_GBK"/>
        </w:rPr>
        <w:t>第七篇  投标文件格式</w:t>
      </w:r>
      <w:r>
        <w:tab/>
      </w:r>
      <w:r>
        <w:fldChar w:fldCharType="begin"/>
      </w:r>
      <w:r>
        <w:instrText xml:space="preserve"> PAGEREF _Toc27871 </w:instrText>
      </w:r>
      <w:r>
        <w:fldChar w:fldCharType="separate"/>
      </w:r>
      <w:r>
        <w:t>- 2</w:t>
      </w:r>
      <w:r>
        <w:rPr>
          <w:rFonts w:hint="eastAsia"/>
          <w:lang w:val="en-US" w:eastAsia="zh-CN"/>
        </w:rPr>
        <w:t>9</w:t>
      </w:r>
      <w:r>
        <w:t xml:space="preserve"> -</w:t>
      </w:r>
      <w:r>
        <w:fldChar w:fldCharType="end"/>
      </w:r>
      <w:r>
        <w:fldChar w:fldCharType="end"/>
      </w:r>
    </w:p>
    <w:p>
      <w:pPr>
        <w:pStyle w:val="47"/>
        <w:tabs>
          <w:tab w:val="right" w:leader="dot" w:pos="9412"/>
          <w:tab w:val="clear" w:pos="8400"/>
        </w:tabs>
        <w:ind w:right="-255"/>
      </w:pPr>
      <w:r>
        <w:fldChar w:fldCharType="begin"/>
      </w:r>
      <w:r>
        <w:instrText xml:space="preserve"> HYPERLINK \l "_Toc14209" </w:instrText>
      </w:r>
      <w:r>
        <w:fldChar w:fldCharType="separate"/>
      </w:r>
      <w:r>
        <w:rPr>
          <w:rFonts w:hint="eastAsia" w:ascii="方正仿宋_GBK" w:hAnsi="方正仿宋_GBK" w:eastAsia="方正仿宋_GBK" w:cs="方正仿宋_GBK"/>
          <w:szCs w:val="28"/>
        </w:rPr>
        <w:t>一、经济文件</w:t>
      </w:r>
      <w:r>
        <w:tab/>
      </w:r>
      <w:r>
        <w:fldChar w:fldCharType="begin"/>
      </w:r>
      <w:r>
        <w:instrText xml:space="preserve"> PAGEREF _Toc14209 </w:instrText>
      </w:r>
      <w:r>
        <w:fldChar w:fldCharType="separate"/>
      </w:r>
      <w:r>
        <w:t>- 30 -</w:t>
      </w:r>
      <w:r>
        <w:fldChar w:fldCharType="end"/>
      </w:r>
      <w:r>
        <w:fldChar w:fldCharType="end"/>
      </w:r>
    </w:p>
    <w:p>
      <w:pPr>
        <w:pStyle w:val="47"/>
        <w:tabs>
          <w:tab w:val="right" w:leader="dot" w:pos="9412"/>
          <w:tab w:val="clear" w:pos="8400"/>
        </w:tabs>
        <w:ind w:right="-255"/>
      </w:pPr>
      <w:r>
        <w:fldChar w:fldCharType="begin"/>
      </w:r>
      <w:r>
        <w:instrText xml:space="preserve"> HYPERLINK \l "_Toc4087" </w:instrText>
      </w:r>
      <w:r>
        <w:fldChar w:fldCharType="separate"/>
      </w:r>
      <w:r>
        <w:rPr>
          <w:rFonts w:hint="eastAsia" w:ascii="方正仿宋_GBK" w:hAnsi="方正仿宋_GBK" w:eastAsia="方正仿宋_GBK" w:cs="方正仿宋_GBK"/>
          <w:szCs w:val="28"/>
        </w:rPr>
        <w:t>二、技术文件</w:t>
      </w:r>
      <w:r>
        <w:tab/>
      </w:r>
      <w:r>
        <w:fldChar w:fldCharType="begin"/>
      </w:r>
      <w:r>
        <w:instrText xml:space="preserve"> PAGEREF _Toc4087 </w:instrText>
      </w:r>
      <w:r>
        <w:fldChar w:fldCharType="separate"/>
      </w:r>
      <w:r>
        <w:t>- 32 -</w:t>
      </w:r>
      <w:r>
        <w:fldChar w:fldCharType="end"/>
      </w:r>
      <w:r>
        <w:fldChar w:fldCharType="end"/>
      </w:r>
    </w:p>
    <w:p>
      <w:pPr>
        <w:pStyle w:val="47"/>
        <w:tabs>
          <w:tab w:val="right" w:leader="dot" w:pos="9412"/>
          <w:tab w:val="clear" w:pos="8400"/>
        </w:tabs>
        <w:ind w:right="-255"/>
      </w:pPr>
      <w:r>
        <w:fldChar w:fldCharType="begin"/>
      </w:r>
      <w:r>
        <w:instrText xml:space="preserve"> HYPERLINK \l "_Toc16498" </w:instrText>
      </w:r>
      <w:r>
        <w:fldChar w:fldCharType="separate"/>
      </w:r>
      <w:r>
        <w:rPr>
          <w:rFonts w:hint="eastAsia" w:ascii="方正仿宋_GBK" w:hAnsi="方正仿宋_GBK" w:eastAsia="方正仿宋_GBK" w:cs="方正仿宋_GBK"/>
          <w:szCs w:val="28"/>
        </w:rPr>
        <w:t>三、商务文件</w:t>
      </w:r>
      <w:r>
        <w:tab/>
      </w:r>
      <w:r>
        <w:fldChar w:fldCharType="begin"/>
      </w:r>
      <w:r>
        <w:instrText xml:space="preserve"> PAGEREF _Toc16498 </w:instrText>
      </w:r>
      <w:r>
        <w:fldChar w:fldCharType="separate"/>
      </w:r>
      <w:r>
        <w:t>- 34 -</w:t>
      </w:r>
      <w:r>
        <w:fldChar w:fldCharType="end"/>
      </w:r>
      <w:r>
        <w:fldChar w:fldCharType="end"/>
      </w:r>
    </w:p>
    <w:p>
      <w:pPr>
        <w:pStyle w:val="47"/>
        <w:tabs>
          <w:tab w:val="right" w:leader="dot" w:pos="9412"/>
          <w:tab w:val="clear" w:pos="8400"/>
        </w:tabs>
        <w:ind w:right="-255"/>
      </w:pPr>
      <w:r>
        <w:fldChar w:fldCharType="begin"/>
      </w:r>
      <w:r>
        <w:instrText xml:space="preserve"> HYPERLINK \l "_Toc6302" </w:instrText>
      </w:r>
      <w:r>
        <w:fldChar w:fldCharType="separate"/>
      </w:r>
      <w:r>
        <w:rPr>
          <w:rFonts w:hint="eastAsia" w:ascii="方正仿宋_GBK" w:hAnsi="方正仿宋_GBK" w:eastAsia="方正仿宋_GBK" w:cs="方正仿宋_GBK"/>
          <w:szCs w:val="28"/>
        </w:rPr>
        <w:t>四、资格文件</w:t>
      </w:r>
      <w:r>
        <w:tab/>
      </w:r>
      <w:r>
        <w:fldChar w:fldCharType="begin"/>
      </w:r>
      <w:r>
        <w:instrText xml:space="preserve"> PAGEREF _Toc16498 </w:instrText>
      </w:r>
      <w:r>
        <w:fldChar w:fldCharType="separate"/>
      </w:r>
      <w:r>
        <w:t xml:space="preserve">- </w:t>
      </w:r>
      <w:r>
        <w:rPr>
          <w:rFonts w:hint="eastAsia"/>
        </w:rPr>
        <w:t>41</w:t>
      </w:r>
      <w:r>
        <w:t xml:space="preserve"> -</w:t>
      </w:r>
      <w:r>
        <w:fldChar w:fldCharType="end"/>
      </w:r>
      <w:r>
        <w:fldChar w:fldCharType="end"/>
      </w:r>
    </w:p>
    <w:p>
      <w:pPr>
        <w:pStyle w:val="39"/>
        <w:ind w:firstLine="0" w:firstLineChars="0"/>
        <w:rPr>
          <w:rFonts w:hint="eastAsia" w:ascii="宋体" w:hAnsi="宋体" w:cs="宋体"/>
          <w:sz w:val="32"/>
        </w:rPr>
        <w:sectPr>
          <w:pgSz w:w="11907" w:h="16840"/>
          <w:pgMar w:top="1134" w:right="1191" w:bottom="1134" w:left="1304" w:header="964" w:footer="992" w:gutter="0"/>
          <w:pgNumType w:fmt="numberInDash" w:start="1"/>
          <w:cols w:space="720" w:num="1"/>
          <w:docGrid w:linePitch="312" w:charSpace="0"/>
        </w:sectPr>
      </w:pPr>
      <w:r>
        <w:rPr>
          <w:rFonts w:hint="eastAsia" w:ascii="宋体" w:hAnsi="宋体" w:cs="宋体"/>
          <w:szCs w:val="21"/>
        </w:rPr>
        <w:fldChar w:fldCharType="end"/>
      </w:r>
    </w:p>
    <w:p>
      <w:pPr>
        <w:pStyle w:val="4"/>
        <w:spacing w:beforeLines="0" w:afterLines="0" w:line="360" w:lineRule="auto"/>
        <w:rPr>
          <w:rFonts w:hint="eastAsia" w:ascii="方正小标宋_GBK" w:eastAsia="方正小标宋_GBK"/>
          <w:szCs w:val="22"/>
        </w:rPr>
      </w:pPr>
      <w:bookmarkStart w:id="0" w:name="_Toc21822"/>
      <w:r>
        <w:rPr>
          <w:rFonts w:hint="eastAsia" w:ascii="方正小标宋_GBK" w:eastAsia="方正小标宋_GBK"/>
          <w:szCs w:val="22"/>
        </w:rPr>
        <w:t>第一篇 投标邀请书</w:t>
      </w:r>
      <w:bookmarkEnd w:id="0"/>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重庆市合川区公共资源交易中心（以下简称：采购代理机构）受</w:t>
      </w:r>
      <w:r>
        <w:rPr>
          <w:rFonts w:hint="eastAsia" w:ascii="方正仿宋_GBK" w:hAnsi="方正仿宋_GBK" w:eastAsia="方正仿宋_GBK" w:cs="方正仿宋_GBK"/>
          <w:sz w:val="24"/>
          <w:szCs w:val="24"/>
          <w:u w:val="single"/>
        </w:rPr>
        <w:t>重庆市合川区生态环境局</w:t>
      </w:r>
      <w:r>
        <w:rPr>
          <w:rFonts w:hint="eastAsia" w:ascii="方正仿宋_GBK" w:hAnsi="方正仿宋_GBK" w:eastAsia="方正仿宋_GBK" w:cs="方正仿宋_GBK"/>
          <w:sz w:val="24"/>
          <w:szCs w:val="24"/>
        </w:rPr>
        <w:t>的委托，按照重庆市合川区财政局下达的采购计划，对</w:t>
      </w:r>
      <w:r>
        <w:rPr>
          <w:rFonts w:hint="eastAsia" w:ascii="方正仿宋_GBK" w:hAnsi="方正仿宋_GBK" w:eastAsia="方正仿宋_GBK" w:cs="方正仿宋_GBK"/>
          <w:sz w:val="24"/>
          <w:szCs w:val="24"/>
          <w:u w:val="single"/>
        </w:rPr>
        <w:t>合川区南溪河摇金断面水质改善服务</w:t>
      </w:r>
      <w:r>
        <w:rPr>
          <w:rFonts w:hint="eastAsia" w:ascii="方正仿宋_GBK" w:hAnsi="方正仿宋_GBK" w:eastAsia="方正仿宋_GBK" w:cs="方正仿宋_GBK"/>
          <w:sz w:val="24"/>
          <w:szCs w:val="24"/>
        </w:rPr>
        <w:t>项目进行公开招标，欢迎有资格的供应商参加投标。</w:t>
      </w:r>
    </w:p>
    <w:p>
      <w:pPr>
        <w:pStyle w:val="5"/>
        <w:spacing w:line="500" w:lineRule="exact"/>
        <w:ind w:firstLine="482" w:firstLineChars="200"/>
        <w:rPr>
          <w:rFonts w:hint="eastAsia" w:ascii="方正仿宋_GBK" w:hAnsi="方正仿宋_GBK" w:eastAsia="方正仿宋_GBK" w:cs="方正仿宋_GBK"/>
          <w:b/>
          <w:sz w:val="24"/>
        </w:rPr>
      </w:pPr>
      <w:bookmarkStart w:id="1" w:name="_Toc26984"/>
      <w:r>
        <w:rPr>
          <w:rFonts w:hint="eastAsia" w:ascii="方正仿宋_GBK" w:hAnsi="方正仿宋_GBK" w:eastAsia="方正仿宋_GBK" w:cs="方正仿宋_GBK"/>
          <w:b/>
          <w:sz w:val="24"/>
        </w:rPr>
        <w:t>一、招标项目内容</w:t>
      </w:r>
      <w:bookmarkEnd w:id="1"/>
    </w:p>
    <w:tbl>
      <w:tblPr>
        <w:tblStyle w:val="60"/>
        <w:tblW w:w="85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222"/>
        <w:gridCol w:w="1659"/>
        <w:gridCol w:w="2090"/>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1" w:type="dxa"/>
            <w:vAlign w:val="center"/>
          </w:tcPr>
          <w:p>
            <w:pPr>
              <w:pStyle w:val="25"/>
              <w:spacing w:line="240" w:lineRule="atLeast"/>
              <w:ind w:left="0"/>
              <w:jc w:val="center"/>
              <w:outlineLvl w:val="0"/>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分包号</w:t>
            </w:r>
          </w:p>
        </w:tc>
        <w:tc>
          <w:tcPr>
            <w:tcW w:w="2222" w:type="dxa"/>
            <w:vAlign w:val="center"/>
          </w:tcPr>
          <w:p>
            <w:pPr>
              <w:pStyle w:val="25"/>
              <w:spacing w:line="240" w:lineRule="atLeast"/>
              <w:ind w:left="0"/>
              <w:jc w:val="center"/>
              <w:outlineLvl w:val="0"/>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分包名称</w:t>
            </w:r>
          </w:p>
        </w:tc>
        <w:tc>
          <w:tcPr>
            <w:tcW w:w="1659" w:type="dxa"/>
            <w:vAlign w:val="center"/>
          </w:tcPr>
          <w:p>
            <w:pPr>
              <w:pStyle w:val="25"/>
              <w:spacing w:line="240" w:lineRule="atLeast"/>
              <w:ind w:left="0"/>
              <w:jc w:val="center"/>
              <w:outlineLvl w:val="0"/>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最高限价</w:t>
            </w:r>
          </w:p>
          <w:p>
            <w:pPr>
              <w:pStyle w:val="25"/>
              <w:spacing w:line="240" w:lineRule="atLeast"/>
              <w:ind w:left="0"/>
              <w:jc w:val="center"/>
              <w:outlineLvl w:val="0"/>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（万元）</w:t>
            </w:r>
          </w:p>
        </w:tc>
        <w:tc>
          <w:tcPr>
            <w:tcW w:w="2090" w:type="dxa"/>
            <w:vAlign w:val="center"/>
          </w:tcPr>
          <w:p>
            <w:pPr>
              <w:pStyle w:val="25"/>
              <w:spacing w:line="240" w:lineRule="atLeast"/>
              <w:ind w:left="0"/>
              <w:jc w:val="center"/>
              <w:outlineLvl w:val="0"/>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投标保证金</w:t>
            </w:r>
          </w:p>
          <w:p>
            <w:pPr>
              <w:pStyle w:val="25"/>
              <w:spacing w:line="240" w:lineRule="atLeast"/>
              <w:ind w:left="0"/>
              <w:jc w:val="center"/>
              <w:outlineLvl w:val="0"/>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（万元）</w:t>
            </w:r>
          </w:p>
        </w:tc>
        <w:tc>
          <w:tcPr>
            <w:tcW w:w="1831" w:type="dxa"/>
            <w:vAlign w:val="center"/>
          </w:tcPr>
          <w:p>
            <w:pPr>
              <w:pStyle w:val="25"/>
              <w:spacing w:line="240" w:lineRule="atLeast"/>
              <w:ind w:left="0"/>
              <w:jc w:val="center"/>
              <w:outlineLvl w:val="0"/>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jc w:val="center"/>
        </w:trPr>
        <w:tc>
          <w:tcPr>
            <w:tcW w:w="721" w:type="dxa"/>
            <w:vAlign w:val="center"/>
          </w:tcPr>
          <w:p>
            <w:pPr>
              <w:pStyle w:val="17"/>
              <w:spacing w:line="240" w:lineRule="atLeast"/>
              <w:ind w:firstLine="0"/>
              <w:jc w:val="center"/>
              <w:outlineLvl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c>
          <w:tcPr>
            <w:tcW w:w="2222" w:type="dxa"/>
            <w:vAlign w:val="center"/>
          </w:tcPr>
          <w:p>
            <w:pPr>
              <w:pStyle w:val="25"/>
              <w:spacing w:line="240" w:lineRule="atLeast"/>
              <w:ind w:left="0"/>
              <w:jc w:val="center"/>
              <w:outlineLvl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合川区南溪河摇金断面水质改善服务</w:t>
            </w:r>
          </w:p>
        </w:tc>
        <w:tc>
          <w:tcPr>
            <w:tcW w:w="1659" w:type="dxa"/>
            <w:vAlign w:val="center"/>
          </w:tcPr>
          <w:p>
            <w:pPr>
              <w:pStyle w:val="25"/>
              <w:spacing w:line="240" w:lineRule="atLeast"/>
              <w:ind w:left="0"/>
              <w:jc w:val="center"/>
              <w:outlineLvl w:val="0"/>
              <w:rPr>
                <w:rFonts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812</w:t>
            </w:r>
          </w:p>
        </w:tc>
        <w:tc>
          <w:tcPr>
            <w:tcW w:w="2090" w:type="dxa"/>
            <w:vAlign w:val="center"/>
          </w:tcPr>
          <w:p>
            <w:pPr>
              <w:pStyle w:val="25"/>
              <w:spacing w:line="240" w:lineRule="atLeast"/>
              <w:ind w:left="0"/>
              <w:jc w:val="center"/>
              <w:outlineLvl w:val="0"/>
              <w:rPr>
                <w:rFonts w:ascii="方正仿宋_GBK" w:hAnsi="方正仿宋_GBK" w:eastAsia="方正仿宋_GBK" w:cs="方正仿宋_GBK"/>
                <w:color w:val="FF0000"/>
                <w:sz w:val="21"/>
                <w:szCs w:val="21"/>
              </w:rPr>
            </w:pPr>
            <w:r>
              <w:rPr>
                <w:rFonts w:hint="eastAsia" w:ascii="方正仿宋_GBK" w:hAnsi="方正仿宋_GBK" w:eastAsia="方正仿宋_GBK" w:cs="方正仿宋_GBK"/>
                <w:sz w:val="21"/>
                <w:szCs w:val="21"/>
              </w:rPr>
              <w:t>16</w:t>
            </w:r>
          </w:p>
        </w:tc>
        <w:tc>
          <w:tcPr>
            <w:tcW w:w="1831" w:type="dxa"/>
          </w:tcPr>
          <w:p>
            <w:pPr>
              <w:pStyle w:val="17"/>
              <w:spacing w:line="400" w:lineRule="exact"/>
              <w:ind w:firstLine="0"/>
              <w:outlineLvl w:val="0"/>
              <w:rPr>
                <w:rFonts w:hint="eastAsia" w:ascii="方正仿宋_GBK" w:hAnsi="方正仿宋_GBK" w:eastAsia="方正仿宋_GBK" w:cs="方正仿宋_GBK"/>
                <w:color w:val="FF0000"/>
                <w:sz w:val="21"/>
                <w:szCs w:val="21"/>
              </w:rPr>
            </w:pPr>
          </w:p>
        </w:tc>
      </w:tr>
    </w:tbl>
    <w:p>
      <w:pPr>
        <w:pStyle w:val="5"/>
        <w:spacing w:line="500" w:lineRule="exact"/>
        <w:ind w:firstLine="482" w:firstLineChars="200"/>
        <w:rPr>
          <w:rFonts w:hint="eastAsia" w:ascii="方正仿宋_GBK" w:hAnsi="方正仿宋_GBK" w:eastAsia="方正仿宋_GBK" w:cs="方正仿宋_GBK"/>
          <w:b/>
          <w:sz w:val="24"/>
        </w:rPr>
      </w:pPr>
      <w:bookmarkStart w:id="2" w:name="_Toc25416"/>
      <w:r>
        <w:rPr>
          <w:rFonts w:hint="eastAsia" w:ascii="方正仿宋_GBK" w:hAnsi="方正仿宋_GBK" w:eastAsia="方正仿宋_GBK" w:cs="方正仿宋_GBK"/>
          <w:b/>
          <w:sz w:val="24"/>
        </w:rPr>
        <w:t>二、资金来源</w:t>
      </w:r>
      <w:bookmarkEnd w:id="2"/>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财政预算资金。</w:t>
      </w:r>
    </w:p>
    <w:p>
      <w:pPr>
        <w:pStyle w:val="5"/>
        <w:spacing w:line="500" w:lineRule="exact"/>
        <w:ind w:firstLine="482" w:firstLineChars="200"/>
        <w:rPr>
          <w:rFonts w:hint="eastAsia" w:ascii="方正仿宋_GBK" w:hAnsi="方正仿宋_GBK" w:eastAsia="方正仿宋_GBK" w:cs="方正仿宋_GBK"/>
          <w:b/>
          <w:sz w:val="24"/>
        </w:rPr>
      </w:pPr>
      <w:bookmarkStart w:id="3" w:name="_Toc19772"/>
      <w:r>
        <w:rPr>
          <w:rFonts w:hint="eastAsia" w:ascii="方正仿宋_GBK" w:hAnsi="方正仿宋_GBK" w:eastAsia="方正仿宋_GBK" w:cs="方正仿宋_GBK"/>
          <w:b/>
          <w:sz w:val="24"/>
        </w:rPr>
        <w:t>三、投标人资格要求</w:t>
      </w:r>
      <w:bookmarkEnd w:id="3"/>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合格投标人应首先符合政府采购法第二十二条规定的基本条件，同时符合根据该项目特点设置的特定资格条件。</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（一）基本资格条件</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1、具有独立承担民事责任的能力；</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2、具有良好的商业信誉和健全的财务会计制度；</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3、具有履行合同所必需的设备和专业技术能力；</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4、有依法缴纳税收和社会保障资金的良好记录；</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5、参加政府采购活动前三年内，在经营活动中没有重大违法记录;</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6、法律、行政法规规定的其他条件。</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（二）特定资格条件</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1、本次招标要求投标人须同时具备环境工程专项（水污染防治工程）乙级及以上设计资质和环保工程专业承包三级及以上施工资质。（提供以上资质证书复印件并加盖投标人公章，原件备查）</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2、投标人从事环保咨询服务，在1年内（2019年9月30日至2020年9月30日），未被生态环境部官方网站（http://www.mee.gov.cn/ywdt/bgt/tb/）通报、失信记分的。投标人提供诚信声明，并加盖投标人单位公章。</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（三）本项目不接受联合体投标，不允许转包。</w:t>
      </w:r>
    </w:p>
    <w:p>
      <w:pPr>
        <w:pStyle w:val="5"/>
        <w:spacing w:line="500" w:lineRule="exact"/>
        <w:ind w:firstLine="482" w:firstLineChars="200"/>
        <w:rPr>
          <w:rFonts w:hint="eastAsia" w:ascii="方正仿宋_GBK" w:hAnsi="方正仿宋_GBK" w:eastAsia="方正仿宋_GBK" w:cs="方正仿宋_GBK"/>
          <w:b/>
          <w:sz w:val="24"/>
        </w:rPr>
      </w:pPr>
      <w:bookmarkStart w:id="4" w:name="_Toc22680"/>
      <w:r>
        <w:rPr>
          <w:rFonts w:hint="eastAsia" w:ascii="方正仿宋_GBK" w:hAnsi="方正仿宋_GBK" w:eastAsia="方正仿宋_GBK" w:cs="方正仿宋_GBK"/>
          <w:b/>
          <w:sz w:val="24"/>
        </w:rPr>
        <w:t>四、投标、开标有关说明</w:t>
      </w:r>
      <w:bookmarkEnd w:id="4"/>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w:t>
      </w:r>
      <w:bookmarkStart w:id="5" w:name="字"/>
      <w:r>
        <w:rPr>
          <w:rFonts w:hint="eastAsia" w:ascii="方正仿宋_GBK" w:hAnsi="方正仿宋_GBK" w:eastAsia="方正仿宋_GBK" w:cs="方正仿宋_GBK"/>
          <w:sz w:val="24"/>
          <w:szCs w:val="24"/>
        </w:rPr>
        <w:t>根据《重庆市财政局关于印发〈重庆市政府采购供应商注册及诚信管理暂行办法〉的通知》（渝财采购</w:t>
      </w:r>
      <w:bookmarkEnd w:id="5"/>
      <w:r>
        <w:rPr>
          <w:rFonts w:hint="eastAsia" w:ascii="方正仿宋_GBK" w:hAnsi="方正仿宋_GBK" w:eastAsia="方正仿宋_GBK" w:cs="方正仿宋_GBK"/>
          <w:sz w:val="24"/>
          <w:szCs w:val="24"/>
        </w:rPr>
        <w:t>〔</w:t>
      </w:r>
      <w:bookmarkStart w:id="6" w:name="年"/>
      <w:r>
        <w:rPr>
          <w:rFonts w:hint="eastAsia" w:ascii="方正仿宋_GBK" w:hAnsi="方正仿宋_GBK" w:eastAsia="方正仿宋_GBK" w:cs="方正仿宋_GBK"/>
          <w:sz w:val="24"/>
          <w:szCs w:val="24"/>
        </w:rPr>
        <w:t>2015</w:t>
      </w:r>
      <w:bookmarkEnd w:id="6"/>
      <w:r>
        <w:rPr>
          <w:rFonts w:hint="eastAsia" w:ascii="方正仿宋_GBK" w:hAnsi="方正仿宋_GBK" w:eastAsia="方正仿宋_GBK" w:cs="方正仿宋_GBK"/>
          <w:sz w:val="24"/>
          <w:szCs w:val="24"/>
        </w:rPr>
        <w:t>〕</w:t>
      </w:r>
      <w:bookmarkStart w:id="7" w:name="号"/>
      <w:r>
        <w:rPr>
          <w:rFonts w:hint="eastAsia" w:ascii="方正仿宋_GBK" w:hAnsi="方正仿宋_GBK" w:eastAsia="方正仿宋_GBK" w:cs="方正仿宋_GBK"/>
          <w:sz w:val="24"/>
          <w:szCs w:val="24"/>
        </w:rPr>
        <w:t>45</w:t>
      </w:r>
      <w:bookmarkEnd w:id="7"/>
      <w:r>
        <w:rPr>
          <w:rFonts w:hint="eastAsia" w:ascii="方正仿宋_GBK" w:hAnsi="方正仿宋_GBK" w:eastAsia="方正仿宋_GBK" w:cs="方正仿宋_GBK"/>
          <w:sz w:val="24"/>
          <w:szCs w:val="24"/>
        </w:rPr>
        <w:t>号）规定，投标人应按要求进行注册，通过重庆市政府采购网（https://www.ccgp-chongqing.gov.cn），登记加入“重庆市政府采购供应商库”。</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（二）凡有意参加投标的投标人，请在“重庆市政府采购网</w:t>
      </w:r>
      <w:r>
        <w:rPr>
          <w:rFonts w:hint="eastAsia" w:ascii="方正仿宋_GBK" w:hAnsi="宋体" w:eastAsia="方正仿宋_GBK"/>
          <w:sz w:val="24"/>
          <w:szCs w:val="24"/>
        </w:rPr>
        <w:t>（http://www.ccgp-chongqing.gov.cn）</w:t>
      </w:r>
      <w:r>
        <w:rPr>
          <w:rFonts w:hint="eastAsia" w:ascii="方正仿宋_GBK" w:hAnsi="方正仿宋_GBK" w:eastAsia="方正仿宋_GBK" w:cs="方正仿宋_GBK"/>
          <w:sz w:val="24"/>
          <w:szCs w:val="24"/>
        </w:rPr>
        <w:t>”网上下载本项目招标文件以及图纸、补遗等开标前公布的所有项目资料，无论投标人下载与否，均视为已知晓所有招标内容。</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（三）招标文件公告期限：自招标公告发布之日（2020年11月12日）起五个工作日。</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（四）招标文件发布</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1.时间：2020年11月12日-2020年11月19日（注：发布时间不少于五个工作日）</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2.招标文件获取方式：重庆市政府采购网（https://www.ccgp-chongqing.gov.cn）上下载</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color w:val="000000"/>
          <w:sz w:val="24"/>
          <w:szCs w:val="24"/>
        </w:rPr>
        <w:t>（五）投标（报名）地点：</w:t>
      </w:r>
      <w:r>
        <w:rPr>
          <w:rFonts w:hint="eastAsia" w:ascii="方正仿宋_GBK" w:hAnsi="方正仿宋_GBK" w:eastAsia="方正仿宋_GBK" w:cs="方正仿宋_GBK"/>
          <w:sz w:val="24"/>
          <w:szCs w:val="24"/>
        </w:rPr>
        <w:t>按《重庆市财政局关于进一步规范投标报名及保证金缴纳的通知》（渝财采购﹝2013﹞30号）文的规定，</w:t>
      </w:r>
      <w:r>
        <w:rPr>
          <w:rFonts w:hint="eastAsia" w:ascii="方正仿宋_GBK" w:hAnsi="方正仿宋_GBK" w:eastAsia="方正仿宋_GBK" w:cs="方正仿宋_GBK"/>
          <w:b/>
          <w:bCs/>
          <w:sz w:val="24"/>
          <w:szCs w:val="24"/>
        </w:rPr>
        <w:t>报名方式为开标当天</w:t>
      </w:r>
      <w:r>
        <w:rPr>
          <w:rFonts w:hint="eastAsia" w:ascii="方正仿宋_GBK" w:hAnsi="方正仿宋_GBK" w:eastAsia="方正仿宋_GBK" w:cs="方正仿宋_GBK"/>
          <w:b/>
          <w:bCs/>
          <w:color w:val="FF0000"/>
          <w:sz w:val="24"/>
          <w:szCs w:val="24"/>
        </w:rPr>
        <w:t>09:30-10:00</w:t>
      </w:r>
      <w:r>
        <w:rPr>
          <w:rFonts w:hint="eastAsia" w:ascii="方正仿宋_GBK" w:hAnsi="方正仿宋_GBK" w:eastAsia="方正仿宋_GBK" w:cs="方正仿宋_GBK"/>
          <w:b/>
          <w:bCs/>
          <w:sz w:val="24"/>
          <w:szCs w:val="24"/>
        </w:rPr>
        <w:t>现场报名，不需提前报名</w:t>
      </w:r>
      <w:r>
        <w:rPr>
          <w:rFonts w:hint="eastAsia" w:ascii="方正仿宋_GBK" w:hAnsi="方正仿宋_GBK" w:eastAsia="方正仿宋_GBK" w:cs="方正仿宋_GBK"/>
          <w:sz w:val="24"/>
          <w:szCs w:val="24"/>
        </w:rPr>
        <w:t>。</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（六）报名时间：2020年12月3日北京时间9:30</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（七）报名方式：现场报名</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（八）投标（报名）截止时间：2020年12月3日北京时间10:00</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（九）开标时间：2020年12月3日北京时间10:00</w:t>
      </w:r>
    </w:p>
    <w:p>
      <w:pPr>
        <w:spacing w:line="400" w:lineRule="exact"/>
        <w:ind w:firstLine="480" w:firstLineChars="20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（十）开标地点：重庆市合川区公共资源交易中心</w:t>
      </w:r>
    </w:p>
    <w:p>
      <w:pPr>
        <w:spacing w:line="400" w:lineRule="exact"/>
        <w:ind w:firstLine="480" w:firstLineChars="20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 (十一）为确认投标人身份合法有效，由法定代表人参与投标的，需持本人身份证原件（复印件加盖投标单位鲜章）和法定代表人身份证明书（格式）原件，报名时与投标文件同时递交。</w:t>
      </w:r>
    </w:p>
    <w:p>
      <w:pPr>
        <w:snapToGrid w:val="0"/>
        <w:spacing w:line="440" w:lineRule="exact"/>
        <w:ind w:firstLine="480" w:firstLineChars="200"/>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十二）为确认投标人身份合法有效，由法定代表人授权代表参与投标的，需持法定代表人身份证复印件（加盖投标单位鲜章）和法定代表人身份证明书（格式）原件，法定代表人授权委托书（格式）原件和被委托人身份证原件（复印件加盖投标单位鲜章），报名时与投标文件同时递交。</w:t>
      </w:r>
    </w:p>
    <w:p>
      <w:pPr>
        <w:snapToGrid w:val="0"/>
        <w:spacing w:line="440" w:lineRule="exact"/>
        <w:ind w:firstLine="482" w:firstLineChars="200"/>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 xml:space="preserve"> 注：以上要求的资料须在现场报名时单独提交一份进行验核和收取，未按以上要求执行的投标人将视为以他人名义投标，其响应文件拒绝接收。</w:t>
      </w:r>
    </w:p>
    <w:p>
      <w:pPr>
        <w:pStyle w:val="5"/>
        <w:spacing w:line="500" w:lineRule="exact"/>
        <w:ind w:firstLine="482" w:firstLineChars="200"/>
        <w:rPr>
          <w:rFonts w:hint="eastAsia" w:ascii="方正仿宋_GBK" w:hAnsi="方正仿宋_GBK" w:eastAsia="方正仿宋_GBK" w:cs="方正仿宋_GBK"/>
          <w:b/>
          <w:sz w:val="24"/>
        </w:rPr>
      </w:pPr>
      <w:bookmarkStart w:id="8" w:name="_Toc11024"/>
      <w:r>
        <w:rPr>
          <w:rFonts w:hint="eastAsia" w:ascii="方正仿宋_GBK" w:hAnsi="方正仿宋_GBK" w:eastAsia="方正仿宋_GBK" w:cs="方正仿宋_GBK"/>
          <w:b/>
          <w:sz w:val="24"/>
        </w:rPr>
        <w:t>五、投标保证金</w:t>
      </w:r>
      <w:bookmarkEnd w:id="8"/>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（一）缴纳投标保证金方式</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投标保证金以转账方式从投标人基本银行账户支付至投标保证金账户</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（二）投标保证金账户</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银行名称:中国农业银行重庆市分行合川合阳支行</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银行账号:311504010400125670000000075</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银行账户名称:重庆市合川区公共资源交易中心</w:t>
      </w:r>
    </w:p>
    <w:p>
      <w:pPr>
        <w:snapToGrid w:val="0"/>
        <w:spacing w:line="400" w:lineRule="exact"/>
        <w:ind w:firstLine="482" w:firstLineChars="200"/>
        <w:rPr>
          <w:rFonts w:hint="eastAsia"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注：转账时账号中的“-”不得舍去，否则会导致投标保证金不能到达规定账号。</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（三）缴纳投标保证金方式</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投标人将投标保证金从投标人开户银行账户按规定金额一次性支付至投标保证金指定账户内，并于2020年12月3日10时前到账，投标人应自行考虑投标保证金的汇入时间风险，否则出现的一切后果由投标人自行负责。</w:t>
      </w:r>
    </w:p>
    <w:p>
      <w:pPr>
        <w:snapToGrid w:val="0"/>
        <w:spacing w:line="440" w:lineRule="exact"/>
        <w:ind w:firstLine="482" w:firstLineChars="200"/>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注：投标保证金未按招标文件要求缴纳、未在规定时间内到账，视为未缴纳该项目的投标保证金，投标无效。</w:t>
      </w:r>
    </w:p>
    <w:p>
      <w:pPr>
        <w:snapToGrid w:val="0"/>
        <w:spacing w:line="440" w:lineRule="exact"/>
        <w:ind w:firstLine="482" w:firstLineChars="200"/>
        <w:rPr>
          <w:rFonts w:hint="eastAsia"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特别提醒：</w:t>
      </w:r>
    </w:p>
    <w:p>
      <w:pPr>
        <w:pStyle w:val="35"/>
        <w:spacing w:line="380" w:lineRule="exact"/>
        <w:ind w:firstLine="482" w:firstLineChars="200"/>
        <w:rPr>
          <w:rFonts w:hint="eastAsia" w:ascii="方正仿宋_GBK" w:hAnsi="宋体" w:eastAsia="方正仿宋_GBK"/>
          <w:b/>
          <w:bCs/>
          <w:sz w:val="24"/>
          <w:szCs w:val="24"/>
        </w:rPr>
      </w:pPr>
      <w:r>
        <w:rPr>
          <w:rFonts w:hint="eastAsia" w:ascii="方正仿宋_GBK" w:hAnsi="宋体" w:eastAsia="方正仿宋_GBK"/>
          <w:b/>
          <w:bCs/>
          <w:sz w:val="24"/>
          <w:szCs w:val="24"/>
        </w:rPr>
        <w:t>1、为方便投标保证金的核查，请各投标人把银行进帐单带至开标现场备查。</w:t>
      </w:r>
    </w:p>
    <w:p>
      <w:pPr>
        <w:snapToGrid w:val="0"/>
        <w:spacing w:line="400" w:lineRule="exact"/>
        <w:ind w:firstLine="482" w:firstLineChars="200"/>
        <w:rPr>
          <w:rFonts w:hint="eastAsia" w:ascii="方正仿宋_GBK" w:hAnsi="方正仿宋_GBK" w:eastAsia="方正仿宋_GBK" w:cs="方正仿宋_GBK"/>
          <w:sz w:val="24"/>
          <w:szCs w:val="24"/>
        </w:rPr>
      </w:pPr>
      <w:r>
        <w:rPr>
          <w:rFonts w:hint="eastAsia" w:ascii="方正仿宋_GBK" w:hAnsi="宋体" w:eastAsia="方正仿宋_GBK"/>
          <w:b/>
          <w:bCs/>
          <w:sz w:val="24"/>
          <w:szCs w:val="24"/>
        </w:rPr>
        <w:t>2、为保证投标保证金的及时退还，投标供应商必须自行进入重庆市公共资源交易网（合川区）（https://www.cqggzy.com/hechuanweb/）（注册名称应与银行开户名称一致）。并于递交响应文件截止时间前持银行帐户开户许可证复印件（盖单位鲜章）到合川交易中心财务室（501室）进行核验。（已经注册并通过核验的企业帐户信息，无需重新注册。如账户信息发生变化，应修改相应信息，并按上述程序在递交响应文件截止</w:t>
      </w:r>
      <w:r>
        <w:rPr>
          <w:rFonts w:hint="eastAsia" w:ascii="方正仿宋_GBK" w:eastAsia="方正仿宋_GBK"/>
          <w:b/>
          <w:bCs/>
          <w:sz w:val="24"/>
          <w:szCs w:val="24"/>
        </w:rPr>
        <w:t>时间前提交账户变化资料原件到财务室进行注册变更和核验）。</w:t>
      </w:r>
      <w:r>
        <w:rPr>
          <w:rFonts w:hint="eastAsia" w:ascii="方正仿宋_GBK" w:eastAsia="方正仿宋_GBK"/>
          <w:b/>
          <w:bCs/>
          <w:sz w:val="24"/>
          <w:szCs w:val="24"/>
        </w:rPr>
        <w:br w:type="textWrapping"/>
      </w:r>
      <w:r>
        <w:rPr>
          <w:rFonts w:hint="eastAsia" w:ascii="方正仿宋_GBK" w:eastAsia="方正仿宋_GBK"/>
          <w:b/>
          <w:bCs/>
          <w:sz w:val="24"/>
          <w:szCs w:val="24"/>
        </w:rPr>
        <w:t xml:space="preserve">    3、如果投标供应商未按照上述要求注册核验的，应持银行开户许可证复印件加盖鲜章带至开标现场审验。</w:t>
      </w:r>
      <w:r>
        <w:rPr>
          <w:rFonts w:hint="eastAsia" w:ascii="方正仿宋_GBK" w:eastAsia="方正仿宋_GBK"/>
          <w:b/>
          <w:bCs/>
          <w:sz w:val="24"/>
          <w:szCs w:val="24"/>
        </w:rPr>
        <w:br w:type="textWrapping"/>
      </w:r>
      <w:r>
        <w:rPr>
          <w:rFonts w:hint="eastAsia" w:ascii="方正仿宋_GBK" w:hAnsi="方正仿宋_GBK" w:eastAsia="方正仿宋_GBK" w:cs="方正仿宋_GBK"/>
          <w:sz w:val="24"/>
          <w:szCs w:val="24"/>
        </w:rPr>
        <w:t>（四）保证金退还方式</w:t>
      </w:r>
    </w:p>
    <w:p>
      <w:pPr>
        <w:pStyle w:val="35"/>
        <w:spacing w:line="380" w:lineRule="exact"/>
        <w:rPr>
          <w:rFonts w:hint="eastAsia" w:ascii="方正仿宋_GBK" w:eastAsia="方正仿宋_GBK"/>
          <w:bCs/>
          <w:sz w:val="24"/>
          <w:szCs w:val="24"/>
        </w:rPr>
      </w:pPr>
      <w:bookmarkStart w:id="9" w:name="_Toc9583"/>
      <w:r>
        <w:rPr>
          <w:rFonts w:hint="eastAsia" w:ascii="方正仿宋_GBK" w:eastAsia="方正仿宋_GBK"/>
          <w:bCs/>
          <w:sz w:val="24"/>
          <w:szCs w:val="24"/>
        </w:rPr>
        <w:t>1、未成交供应商的投标保证金，在发出结果公示无异议后2个工作日内，由重庆市合川区公共资源交易中心按来款渠道直接退还。</w:t>
      </w:r>
      <w:r>
        <w:rPr>
          <w:rFonts w:hint="eastAsia" w:ascii="方正仿宋_GBK" w:eastAsia="方正仿宋_GBK"/>
          <w:bCs/>
          <w:sz w:val="24"/>
          <w:szCs w:val="24"/>
        </w:rPr>
        <w:br w:type="textWrapping"/>
      </w:r>
      <w:r>
        <w:rPr>
          <w:rFonts w:hint="eastAsia" w:ascii="方正仿宋_GBK" w:eastAsia="方正仿宋_GBK"/>
          <w:bCs/>
          <w:sz w:val="24"/>
          <w:szCs w:val="24"/>
        </w:rPr>
        <w:t xml:space="preserve">    2、成交供应商的投标保证金，在成交供应商与采购人签订合同后2个工作日内送至区交易中心进行合同鉴证，由重庆市合川区公共资源交易中心按资金来款渠道直接退还。</w:t>
      </w:r>
      <w:r>
        <w:rPr>
          <w:rFonts w:hint="eastAsia" w:ascii="方正仿宋_GBK" w:eastAsia="方正仿宋_GBK"/>
          <w:bCs/>
          <w:sz w:val="24"/>
          <w:szCs w:val="24"/>
        </w:rPr>
        <w:br w:type="textWrapping"/>
      </w:r>
      <w:r>
        <w:rPr>
          <w:rFonts w:hint="eastAsia" w:ascii="方正仿宋_GBK" w:eastAsia="方正仿宋_GBK"/>
          <w:bCs/>
          <w:sz w:val="24"/>
          <w:szCs w:val="24"/>
        </w:rPr>
        <w:t xml:space="preserve">    3、流标项目的保证金由重庆市合川区公共资源交易中心2个工作日内按资金来款渠道直接退还。</w:t>
      </w:r>
      <w:r>
        <w:rPr>
          <w:rFonts w:hint="eastAsia" w:ascii="方正仿宋_GBK" w:eastAsia="方正仿宋_GBK"/>
          <w:bCs/>
          <w:sz w:val="24"/>
          <w:szCs w:val="24"/>
        </w:rPr>
        <w:br w:type="textWrapping"/>
      </w:r>
      <w:r>
        <w:rPr>
          <w:rFonts w:hint="eastAsia" w:ascii="方正仿宋_GBK" w:eastAsia="方正仿宋_GBK"/>
          <w:bCs/>
          <w:sz w:val="24"/>
          <w:szCs w:val="24"/>
        </w:rPr>
        <w:t xml:space="preserve">    4、因故未到交易中心办理银行基本账户注册或未进行合同鉴证等自身原因而耽误了投标保证金退还的，由供应商自行负责。</w:t>
      </w:r>
    </w:p>
    <w:p>
      <w:pPr>
        <w:shd w:val="clear" w:color="auto" w:fill="FFFFFF"/>
        <w:spacing w:line="400" w:lineRule="exact"/>
        <w:ind w:firstLine="480"/>
        <w:rPr>
          <w:rFonts w:hint="eastAsia" w:ascii="方正仿宋_GBK" w:hAnsi="宋体" w:eastAsia="方正仿宋_GBK"/>
          <w:sz w:val="24"/>
          <w:szCs w:val="24"/>
        </w:rPr>
      </w:pPr>
      <w:r>
        <w:rPr>
          <w:rFonts w:hint="eastAsia" w:ascii="方正仿宋_GBK" w:hAnsi="宋体" w:eastAsia="方正仿宋_GBK"/>
          <w:sz w:val="24"/>
          <w:szCs w:val="24"/>
        </w:rPr>
        <w:t>咨询电话：（023）42757282</w:t>
      </w:r>
    </w:p>
    <w:p>
      <w:pPr>
        <w:pStyle w:val="5"/>
        <w:spacing w:line="500" w:lineRule="exact"/>
        <w:ind w:firstLine="482" w:firstLineChars="200"/>
        <w:rPr>
          <w:rFonts w:hint="eastAsia" w:ascii="方正仿宋_GBK" w:hAnsi="方正仿宋_GBK" w:eastAsia="方正仿宋_GBK" w:cs="方正仿宋_GBK"/>
          <w:b/>
          <w:sz w:val="24"/>
          <w:szCs w:val="22"/>
        </w:rPr>
      </w:pPr>
      <w:r>
        <w:rPr>
          <w:rFonts w:hint="eastAsia" w:ascii="方正仿宋_GBK" w:hAnsi="方正仿宋_GBK" w:eastAsia="方正仿宋_GBK" w:cs="方正仿宋_GBK"/>
          <w:b/>
          <w:sz w:val="24"/>
          <w:szCs w:val="22"/>
        </w:rPr>
        <w:t>六、采购项目需落实的政府采购政策</w:t>
      </w:r>
      <w:bookmarkEnd w:id="9"/>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（二）按照&lt;财政部 工业和信息化部关于印发《政府采购促进中小企业发展暂行办法》的通知&gt;（财库〔2011〕181号）的规定，落实促进中小企业发展政策。</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（三）按照&lt;财政部、司法部关于政府采购支持监狱企业发展有关问题的通知&gt;（财库〔2014〕68号）的规定，落实支持监狱企业发展政策。</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（四）按照《三部门联合发布关于促进残疾人就业政府采购政策的通知》（财库〔2017〕 141号）的规定，落实支持残疾人福利性单位发展政策。</w:t>
      </w:r>
    </w:p>
    <w:p>
      <w:pPr>
        <w:pStyle w:val="5"/>
        <w:spacing w:line="500" w:lineRule="exact"/>
        <w:ind w:firstLine="482" w:firstLineChars="200"/>
        <w:rPr>
          <w:rFonts w:hint="eastAsia" w:ascii="方正仿宋_GBK" w:hAnsi="方正仿宋_GBK" w:eastAsia="方正仿宋_GBK" w:cs="方正仿宋_GBK"/>
          <w:b/>
          <w:sz w:val="24"/>
        </w:rPr>
      </w:pPr>
      <w:bookmarkStart w:id="10" w:name="_Toc12969"/>
      <w:r>
        <w:rPr>
          <w:rFonts w:hint="eastAsia" w:ascii="方正仿宋_GBK" w:hAnsi="方正仿宋_GBK" w:eastAsia="方正仿宋_GBK" w:cs="方正仿宋_GBK"/>
          <w:b/>
          <w:sz w:val="24"/>
        </w:rPr>
        <w:t>七、投标有关规定</w:t>
      </w:r>
      <w:bookmarkEnd w:id="10"/>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（一）单位负责人为同一人或者存在直接控股、管理关系的不同投标人，不得参加同一合同项（分包）下的政府采购活动。</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（二）为采购项目提供整体设计、规范编制或者项目管理、监理、检测等服务的投标人，不得再参加该采购项目的其他采购活动。</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（三）本项目的补遗文件（如果有）一律在“重庆市政府采购网”（https://www.ccgp-chongqing.gov.cn）上发布，请各投标人注意下载；无论投标人下载与否，均视同投标人已知晓本项目补遗文件的内容。</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（四）超过投标截止时间递交的投标文件，恕不接收。</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（五）投标费用：无论投标结果如何，投标人参与本项目投标的所有费用均应由投标人自行承担。</w:t>
      </w:r>
    </w:p>
    <w:p>
      <w:pPr>
        <w:snapToGrid w:val="0"/>
        <w:spacing w:line="400" w:lineRule="exact"/>
        <w:ind w:firstLine="480" w:firstLineChars="200"/>
        <w:rPr>
          <w:rFonts w:hint="eastAsia" w:ascii="方正仿宋_GBK" w:hAnsi="方正仿宋_GBK" w:eastAsia="方正仿宋_GBK" w:cs="方正仿宋_GBK"/>
          <w:color w:val="FF0000"/>
          <w:sz w:val="24"/>
          <w:szCs w:val="24"/>
        </w:rPr>
      </w:pPr>
      <w:r>
        <w:rPr>
          <w:rFonts w:hint="eastAsia" w:ascii="方正仿宋_GBK" w:hAnsi="方正仿宋_GBK" w:eastAsia="方正仿宋_GBK" w:cs="方正仿宋_GBK"/>
          <w:color w:val="FF0000"/>
          <w:sz w:val="24"/>
          <w:szCs w:val="24"/>
        </w:rPr>
        <w:t>（六）本项目不接受联合体参与投标（注①）。</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七）按照《财政部关于在政府采购活动中查询及使用信用记录有关问题的通知》财库〔2016〕125号，投标人列入失信被执行人、重大税收违法案件当事人名单、政府采购严重违法失信行为记录名单及其他不符合《中华人民共和国政府采购法》第二十二条规定条件的投标人，将拒绝其参与政府采购活动。</w:t>
      </w:r>
    </w:p>
    <w:p>
      <w:pPr>
        <w:pStyle w:val="5"/>
        <w:spacing w:line="500" w:lineRule="exact"/>
        <w:ind w:firstLine="482" w:firstLineChars="200"/>
        <w:rPr>
          <w:rFonts w:hint="eastAsia" w:ascii="方正仿宋_GBK" w:hAnsi="方正仿宋_GBK" w:eastAsia="方正仿宋_GBK" w:cs="方正仿宋_GBK"/>
          <w:sz w:val="24"/>
          <w:szCs w:val="24"/>
        </w:rPr>
      </w:pPr>
      <w:bookmarkStart w:id="11" w:name="_Toc24810"/>
      <w:r>
        <w:rPr>
          <w:rFonts w:hint="eastAsia" w:ascii="方正仿宋_GBK" w:hAnsi="方正仿宋_GBK" w:eastAsia="方正仿宋_GBK" w:cs="方正仿宋_GBK"/>
          <w:b/>
          <w:sz w:val="24"/>
        </w:rPr>
        <w:t>八、联系方式</w:t>
      </w:r>
      <w:bookmarkEnd w:id="11"/>
    </w:p>
    <w:p>
      <w:pPr>
        <w:snapToGrid w:val="0"/>
        <w:spacing w:line="400" w:lineRule="exact"/>
        <w:ind w:firstLine="480" w:firstLineChars="200"/>
        <w:rPr>
          <w:rFonts w:hint="eastAsia" w:ascii="方正仿宋_GBK" w:hAnsi="宋体" w:eastAsia="方正仿宋_GBK"/>
          <w:sz w:val="24"/>
          <w:szCs w:val="22"/>
        </w:rPr>
      </w:pPr>
      <w:r>
        <w:rPr>
          <w:rFonts w:hint="eastAsia" w:ascii="方正仿宋_GBK" w:hAnsi="宋体" w:eastAsia="方正仿宋_GBK"/>
          <w:sz w:val="24"/>
        </w:rPr>
        <w:t>采购人：</w:t>
      </w:r>
      <w:r>
        <w:rPr>
          <w:rFonts w:hint="eastAsia" w:ascii="方正仿宋_GBK" w:hAnsi="宋体" w:eastAsia="方正仿宋_GBK"/>
          <w:sz w:val="24"/>
          <w:szCs w:val="22"/>
        </w:rPr>
        <w:t>重庆市合川区生态环境局</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联系人：李勇</w:t>
      </w:r>
    </w:p>
    <w:p>
      <w:pPr>
        <w:snapToGrid w:val="0"/>
        <w:spacing w:line="400" w:lineRule="exact"/>
        <w:ind w:firstLine="480" w:firstLineChars="200"/>
        <w:rPr>
          <w:rFonts w:ascii="方正仿宋_GBK" w:hAnsi="宋体" w:eastAsia="方正仿宋_GBK"/>
          <w:sz w:val="24"/>
        </w:rPr>
      </w:pPr>
      <w:r>
        <w:rPr>
          <w:rFonts w:hint="eastAsia" w:ascii="方正仿宋_GBK" w:hAnsi="宋体" w:eastAsia="方正仿宋_GBK"/>
          <w:sz w:val="24"/>
        </w:rPr>
        <w:t>电  话：023-42834845</w:t>
      </w:r>
    </w:p>
    <w:p>
      <w:pPr>
        <w:snapToGrid w:val="0"/>
        <w:spacing w:line="400" w:lineRule="exact"/>
        <w:ind w:firstLine="480" w:firstLineChars="200"/>
        <w:rPr>
          <w:rFonts w:eastAsia="方正仿宋_GBK"/>
          <w:sz w:val="24"/>
        </w:rPr>
      </w:pPr>
      <w:r>
        <w:rPr>
          <w:rFonts w:hint="eastAsia" w:ascii="方正仿宋_GBK" w:hAnsi="宋体" w:eastAsia="方正仿宋_GBK"/>
          <w:sz w:val="24"/>
        </w:rPr>
        <w:t>地  址：重庆市合川区南屏路91号</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（二）采购代理机构：重庆市合川区公共资源交易中心 </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联系人：胡洁</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邮  编：401520</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话：（023）42757303</w:t>
      </w:r>
    </w:p>
    <w:p>
      <w:pPr>
        <w:snapToGrid w:val="0"/>
        <w:spacing w:line="400" w:lineRule="exact"/>
        <w:ind w:firstLine="480" w:firstLineChars="200"/>
        <w:rPr>
          <w:rFonts w:hint="eastAsia" w:ascii="宋体" w:hAnsi="宋体" w:cs="宋体"/>
          <w:sz w:val="24"/>
          <w:szCs w:val="24"/>
        </w:rPr>
      </w:pPr>
      <w:r>
        <w:rPr>
          <w:rFonts w:hint="eastAsia" w:ascii="方正仿宋_GBK" w:hAnsi="方正仿宋_GBK" w:eastAsia="方正仿宋_GBK" w:cs="方正仿宋_GBK"/>
          <w:sz w:val="24"/>
          <w:szCs w:val="24"/>
        </w:rPr>
        <w:t>地  址：重庆市合川区希尔安大道225号文化艺术中心五楼</w:t>
      </w:r>
      <w:r>
        <w:rPr>
          <w:rFonts w:hint="eastAsia" w:ascii="宋体" w:hAnsi="宋体" w:cs="宋体"/>
          <w:sz w:val="24"/>
          <w:szCs w:val="24"/>
        </w:rPr>
        <w:t xml:space="preserve"> </w:t>
      </w:r>
    </w:p>
    <w:p>
      <w:pPr>
        <w:pStyle w:val="4"/>
        <w:spacing w:beforeLines="0" w:afterLines="0" w:line="360" w:lineRule="auto"/>
        <w:rPr>
          <w:rFonts w:hint="eastAsia" w:ascii="方正小标宋_GBK" w:eastAsia="方正小标宋_GBK"/>
          <w:szCs w:val="22"/>
        </w:rPr>
      </w:pPr>
      <w:r>
        <w:rPr>
          <w:rFonts w:hint="eastAsia" w:ascii="宋体" w:hAnsi="宋体" w:eastAsia="宋体" w:cs="宋体"/>
        </w:rPr>
        <w:br w:type="page"/>
      </w:r>
      <w:bookmarkStart w:id="12" w:name="_Toc13197"/>
      <w:r>
        <w:rPr>
          <w:rFonts w:hint="eastAsia" w:ascii="方正小标宋_GBK" w:eastAsia="方正小标宋_GBK"/>
          <w:szCs w:val="22"/>
        </w:rPr>
        <w:t>第二篇 项目技术</w:t>
      </w:r>
      <w:bookmarkEnd w:id="12"/>
      <w:r>
        <w:rPr>
          <w:rFonts w:hint="eastAsia" w:ascii="方正小标宋_GBK" w:eastAsia="方正小标宋_GBK"/>
          <w:szCs w:val="22"/>
          <w:lang w:val="zh-CN"/>
        </w:rPr>
        <w:t>规格、数量及质量要求</w:t>
      </w:r>
    </w:p>
    <w:p>
      <w:pPr>
        <w:pStyle w:val="5"/>
        <w:spacing w:line="400" w:lineRule="exact"/>
        <w:rPr>
          <w:rFonts w:ascii="Times New Roman" w:hAnsi="Times New Roman" w:eastAsia="仿宋"/>
          <w:b/>
          <w:sz w:val="24"/>
          <w:szCs w:val="24"/>
        </w:rPr>
      </w:pPr>
      <w:bookmarkStart w:id="13" w:name="_Toc22650747"/>
      <w:bookmarkStart w:id="14" w:name="_Toc30407976"/>
      <w:bookmarkStart w:id="15" w:name="_Toc27586622"/>
      <w:r>
        <w:rPr>
          <w:rFonts w:hint="eastAsia" w:ascii="Times New Roman" w:hAnsi="Times New Roman" w:eastAsia="仿宋"/>
          <w:b/>
          <w:sz w:val="24"/>
          <w:szCs w:val="24"/>
        </w:rPr>
        <w:t>一、</w:t>
      </w:r>
      <w:bookmarkEnd w:id="13"/>
      <w:r>
        <w:rPr>
          <w:rFonts w:hint="eastAsia" w:ascii="Times New Roman" w:hAnsi="Times New Roman" w:eastAsia="仿宋"/>
          <w:b/>
          <w:sz w:val="24"/>
          <w:szCs w:val="24"/>
        </w:rPr>
        <w:t>招标项目一览表</w:t>
      </w:r>
      <w:bookmarkEnd w:id="14"/>
      <w:bookmarkEnd w:id="15"/>
    </w:p>
    <w:tbl>
      <w:tblPr>
        <w:tblStyle w:val="60"/>
        <w:tblW w:w="95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1"/>
        <w:gridCol w:w="4566"/>
        <w:gridCol w:w="1322"/>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2651" w:type="dxa"/>
            <w:vAlign w:val="center"/>
          </w:tcPr>
          <w:p>
            <w:pPr>
              <w:jc w:val="center"/>
              <w:rPr>
                <w:rFonts w:ascii="方正仿宋_GBK" w:hAnsi="宋体" w:eastAsia="方正仿宋_GBK"/>
                <w:b/>
                <w:sz w:val="21"/>
                <w:szCs w:val="21"/>
              </w:rPr>
            </w:pPr>
            <w:r>
              <w:rPr>
                <w:rFonts w:hint="eastAsia" w:ascii="方正仿宋_GBK" w:hAnsi="宋体" w:eastAsia="方正仿宋_GBK"/>
                <w:b/>
                <w:sz w:val="21"/>
                <w:szCs w:val="21"/>
              </w:rPr>
              <w:t>项目名称</w:t>
            </w:r>
          </w:p>
        </w:tc>
        <w:tc>
          <w:tcPr>
            <w:tcW w:w="4566" w:type="dxa"/>
            <w:vAlign w:val="center"/>
          </w:tcPr>
          <w:p>
            <w:pPr>
              <w:jc w:val="center"/>
              <w:rPr>
                <w:rFonts w:hint="eastAsia" w:ascii="方正仿宋_GBK" w:hAnsi="宋体" w:eastAsia="方正仿宋_GBK"/>
                <w:b/>
                <w:sz w:val="21"/>
                <w:szCs w:val="21"/>
              </w:rPr>
            </w:pPr>
            <w:r>
              <w:rPr>
                <w:rFonts w:hint="eastAsia" w:ascii="方正仿宋_GBK" w:hAnsi="宋体" w:eastAsia="方正仿宋_GBK"/>
                <w:b/>
                <w:sz w:val="21"/>
                <w:szCs w:val="21"/>
              </w:rPr>
              <w:t>项目主要内容</w:t>
            </w:r>
          </w:p>
        </w:tc>
        <w:tc>
          <w:tcPr>
            <w:tcW w:w="1322" w:type="dxa"/>
            <w:vAlign w:val="center"/>
          </w:tcPr>
          <w:p>
            <w:pPr>
              <w:jc w:val="center"/>
              <w:rPr>
                <w:rFonts w:ascii="方正仿宋_GBK" w:hAnsi="宋体" w:eastAsia="方正仿宋_GBK"/>
                <w:b/>
                <w:sz w:val="21"/>
                <w:szCs w:val="21"/>
              </w:rPr>
            </w:pPr>
            <w:r>
              <w:rPr>
                <w:rFonts w:hint="eastAsia" w:ascii="方正仿宋_GBK" w:hAnsi="宋体" w:eastAsia="方正仿宋_GBK"/>
                <w:b/>
                <w:sz w:val="21"/>
                <w:szCs w:val="21"/>
              </w:rPr>
              <w:t>运营服务期</w:t>
            </w:r>
          </w:p>
        </w:tc>
        <w:tc>
          <w:tcPr>
            <w:tcW w:w="1024" w:type="dxa"/>
            <w:vAlign w:val="center"/>
          </w:tcPr>
          <w:p>
            <w:pPr>
              <w:jc w:val="center"/>
              <w:rPr>
                <w:rFonts w:ascii="方正仿宋_GBK" w:hAnsi="宋体" w:eastAsia="方正仿宋_GBK"/>
                <w:b/>
                <w:sz w:val="21"/>
                <w:szCs w:val="21"/>
              </w:rPr>
            </w:pPr>
            <w:r>
              <w:rPr>
                <w:rFonts w:hint="eastAsia" w:ascii="方正仿宋_GBK" w:hAnsi="宋体" w:eastAsia="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2651" w:type="dxa"/>
            <w:vAlign w:val="center"/>
          </w:tcPr>
          <w:p>
            <w:pPr>
              <w:jc w:val="center"/>
              <w:rPr>
                <w:rFonts w:ascii="方正仿宋_GBK" w:hAnsi="宋体" w:eastAsia="方正仿宋_GBK"/>
                <w:sz w:val="24"/>
                <w:szCs w:val="24"/>
              </w:rPr>
            </w:pPr>
            <w:r>
              <w:rPr>
                <w:rFonts w:hint="eastAsia" w:ascii="方正仿宋_GBK" w:hAnsi="宋体" w:eastAsia="方正仿宋_GBK"/>
                <w:sz w:val="24"/>
                <w:szCs w:val="24"/>
              </w:rPr>
              <w:t>合川区南溪河摇金断面水质改善服务项目</w:t>
            </w:r>
          </w:p>
        </w:tc>
        <w:tc>
          <w:tcPr>
            <w:tcW w:w="4566" w:type="dxa"/>
            <w:vAlign w:val="center"/>
          </w:tcPr>
          <w:p>
            <w:pPr>
              <w:jc w:val="center"/>
              <w:rPr>
                <w:rFonts w:hint="eastAsia" w:ascii="方正仿宋_GBK" w:hAnsi="宋体" w:eastAsia="方正仿宋_GBK"/>
                <w:sz w:val="24"/>
                <w:szCs w:val="24"/>
              </w:rPr>
            </w:pPr>
            <w:r>
              <w:rPr>
                <w:rFonts w:hint="eastAsia" w:ascii="方正仿宋_GBK" w:hAnsi="宋体" w:eastAsia="方正仿宋_GBK"/>
                <w:sz w:val="24"/>
                <w:szCs w:val="24"/>
              </w:rPr>
              <w:t>在南溪河摇金国控断面以上允许实施生态治理技术河段，安装生态修复设施8套以上（含8套）并有效运行维护，确保摇金断面水质达到验收标准。</w:t>
            </w:r>
          </w:p>
        </w:tc>
        <w:tc>
          <w:tcPr>
            <w:tcW w:w="1322" w:type="dxa"/>
            <w:vAlign w:val="center"/>
          </w:tcPr>
          <w:p>
            <w:pPr>
              <w:jc w:val="center"/>
              <w:rPr>
                <w:rFonts w:ascii="方正仿宋_GBK" w:hAnsi="宋体" w:eastAsia="方正仿宋_GBK"/>
                <w:sz w:val="24"/>
                <w:szCs w:val="24"/>
              </w:rPr>
            </w:pPr>
            <w:r>
              <w:rPr>
                <w:rFonts w:hint="eastAsia" w:ascii="方正仿宋_GBK" w:hAnsi="宋体" w:eastAsia="方正仿宋_GBK"/>
                <w:sz w:val="24"/>
                <w:szCs w:val="24"/>
              </w:rPr>
              <w:t>18个月</w:t>
            </w:r>
          </w:p>
        </w:tc>
        <w:tc>
          <w:tcPr>
            <w:tcW w:w="1024" w:type="dxa"/>
            <w:vAlign w:val="center"/>
          </w:tcPr>
          <w:p>
            <w:pPr>
              <w:jc w:val="center"/>
              <w:rPr>
                <w:rFonts w:ascii="方正仿宋_GBK" w:hAnsi="宋体" w:eastAsia="方正仿宋_GBK"/>
                <w:sz w:val="24"/>
                <w:szCs w:val="24"/>
              </w:rPr>
            </w:pPr>
            <w:r>
              <w:rPr>
                <w:rFonts w:hint="eastAsia" w:ascii="方正仿宋_GBK" w:hAnsi="宋体" w:eastAsia="方正仿宋_GBK"/>
                <w:sz w:val="24"/>
                <w:szCs w:val="24"/>
              </w:rPr>
              <w:t>2个考核年</w:t>
            </w:r>
          </w:p>
        </w:tc>
      </w:tr>
    </w:tbl>
    <w:p>
      <w:pPr>
        <w:pStyle w:val="5"/>
        <w:spacing w:line="400" w:lineRule="exact"/>
        <w:rPr>
          <w:rFonts w:ascii="Times New Roman" w:hAnsi="Times New Roman" w:eastAsia="仿宋"/>
          <w:b/>
          <w:sz w:val="24"/>
          <w:szCs w:val="24"/>
        </w:rPr>
      </w:pPr>
      <w:r>
        <w:rPr>
          <w:rFonts w:hint="eastAsia" w:ascii="Times New Roman" w:hAnsi="Times New Roman" w:eastAsia="仿宋"/>
          <w:b/>
          <w:sz w:val="24"/>
          <w:szCs w:val="24"/>
        </w:rPr>
        <w:t>二、采购项目技术需求</w:t>
      </w:r>
    </w:p>
    <w:p>
      <w:pPr>
        <w:snapToGrid w:val="0"/>
        <w:spacing w:line="440" w:lineRule="exact"/>
        <w:ind w:firstLine="482" w:firstLineChars="200"/>
        <w:rPr>
          <w:rFonts w:eastAsia="方正仿宋_GBK"/>
          <w:b/>
          <w:sz w:val="24"/>
          <w:szCs w:val="24"/>
        </w:rPr>
      </w:pPr>
      <w:r>
        <w:rPr>
          <w:rFonts w:hint="eastAsia" w:eastAsia="方正仿宋_GBK"/>
          <w:b/>
          <w:sz w:val="24"/>
          <w:szCs w:val="24"/>
        </w:rPr>
        <w:t>（一）项目基本情况及技术需求</w:t>
      </w:r>
    </w:p>
    <w:p>
      <w:pPr>
        <w:snapToGrid w:val="0"/>
        <w:spacing w:line="440" w:lineRule="exact"/>
        <w:ind w:firstLine="480" w:firstLineChars="200"/>
        <w:rPr>
          <w:rFonts w:eastAsia="方正仿宋_GBK"/>
          <w:sz w:val="24"/>
          <w:szCs w:val="24"/>
        </w:rPr>
      </w:pPr>
      <w:r>
        <w:rPr>
          <w:rFonts w:hint="eastAsia" w:eastAsia="方正仿宋_GBK"/>
          <w:sz w:val="24"/>
          <w:szCs w:val="24"/>
        </w:rPr>
        <w:t>1、项目概况</w:t>
      </w:r>
    </w:p>
    <w:p>
      <w:pPr>
        <w:snapToGrid w:val="0"/>
        <w:spacing w:line="440" w:lineRule="exact"/>
        <w:ind w:firstLine="480" w:firstLineChars="200"/>
        <w:rPr>
          <w:rFonts w:eastAsia="方正仿宋_GBK"/>
          <w:sz w:val="24"/>
          <w:szCs w:val="24"/>
        </w:rPr>
      </w:pPr>
      <w:r>
        <w:rPr>
          <w:rFonts w:hint="eastAsia" w:eastAsia="方正仿宋_GBK"/>
          <w:sz w:val="24"/>
          <w:szCs w:val="24"/>
        </w:rPr>
        <w:t>南溪河系嘉陵江右岸一级支流，发源于二郎镇联珠村超英水库，流经二郎镇、燕窝镇、三庙镇、古楼镇，过四川武胜的宝箴塞、万隆、清平等镇，自古楼镇天子村进入四川武胜县清平镇境内，于南溪口注入嘉陵江。南溪河干流全长66km，集雨面积370.3km2。其中合川境内流长62.50km，河道坡降2.93‰，集雨面积269.50km2。流域内年降水量1000mm左右，合川段天然降雨年径流深300-350mm，折合地表水资源量约0.81~0.94亿m3，河口多年平均流量3.99 m3/s。</w:t>
      </w:r>
    </w:p>
    <w:p>
      <w:pPr>
        <w:snapToGrid w:val="0"/>
        <w:spacing w:line="440" w:lineRule="exact"/>
        <w:ind w:firstLine="480" w:firstLineChars="200"/>
        <w:rPr>
          <w:rFonts w:eastAsia="方正仿宋_GBK"/>
          <w:sz w:val="24"/>
          <w:szCs w:val="24"/>
        </w:rPr>
      </w:pPr>
      <w:r>
        <w:rPr>
          <w:rFonts w:hint="eastAsia" w:eastAsia="方正仿宋_GBK"/>
          <w:sz w:val="24"/>
          <w:szCs w:val="24"/>
        </w:rPr>
        <w:t>2、项目实施范围</w:t>
      </w:r>
    </w:p>
    <w:p>
      <w:pPr>
        <w:snapToGrid w:val="0"/>
        <w:ind w:firstLine="432" w:firstLineChars="180"/>
        <w:rPr>
          <w:rFonts w:ascii="方正仿宋_GBK" w:hAnsi="宋体" w:eastAsia="方正仿宋_GBK"/>
          <w:sz w:val="24"/>
          <w:szCs w:val="24"/>
        </w:rPr>
      </w:pPr>
      <w:r>
        <w:rPr>
          <w:rFonts w:hint="eastAsia" w:ascii="方正仿宋_GBK" w:hAnsi="宋体" w:eastAsia="方正仿宋_GBK"/>
          <w:sz w:val="24"/>
          <w:szCs w:val="24"/>
        </w:rPr>
        <w:t>在南溪河摇金国控断面以上允许实施生态治理技术河段实施生态原位修复。</w:t>
      </w:r>
    </w:p>
    <w:p>
      <w:pPr>
        <w:snapToGrid w:val="0"/>
        <w:ind w:firstLine="432" w:firstLineChars="180"/>
        <w:rPr>
          <w:rFonts w:ascii="方正仿宋_GBK" w:hAnsi="宋体" w:eastAsia="方正仿宋_GBK"/>
          <w:sz w:val="24"/>
          <w:szCs w:val="24"/>
        </w:rPr>
      </w:pPr>
      <w:r>
        <w:rPr>
          <w:rFonts w:hint="eastAsia" w:ascii="方正仿宋_GBK" w:hAnsi="宋体" w:eastAsia="方正仿宋_GBK"/>
          <w:sz w:val="24"/>
          <w:szCs w:val="24"/>
        </w:rPr>
        <w:t>奥维地图坐标为：南溪河摇金市控断面经纬度：106.183360</w:t>
      </w:r>
      <w:r>
        <w:rPr>
          <w:rFonts w:hint="eastAsia" w:ascii="方正仿宋_GBK" w:hAnsi="宋体" w:eastAsia="方正仿宋_GBK"/>
          <w:sz w:val="24"/>
          <w:szCs w:val="24"/>
          <w:vertAlign w:val="superscript"/>
        </w:rPr>
        <w:t>。</w:t>
      </w:r>
      <w:r>
        <w:rPr>
          <w:rFonts w:hint="eastAsia" w:ascii="方正仿宋_GBK" w:hAnsi="宋体" w:eastAsia="方正仿宋_GBK"/>
          <w:sz w:val="24"/>
          <w:szCs w:val="24"/>
        </w:rPr>
        <w:t>，30.205503</w:t>
      </w:r>
      <w:r>
        <w:rPr>
          <w:rFonts w:hint="eastAsia" w:ascii="方正仿宋_GBK" w:hAnsi="宋体" w:eastAsia="方正仿宋_GBK"/>
          <w:sz w:val="24"/>
          <w:szCs w:val="24"/>
          <w:vertAlign w:val="superscript"/>
        </w:rPr>
        <w:t>。</w:t>
      </w:r>
      <w:r>
        <w:rPr>
          <w:rFonts w:hint="eastAsia" w:ascii="方正仿宋_GBK" w:hAnsi="宋体" w:eastAsia="方正仿宋_GBK"/>
          <w:sz w:val="24"/>
          <w:szCs w:val="24"/>
        </w:rPr>
        <w:t>；南溪河摇金国控断面经纬度: 106.202860</w:t>
      </w:r>
      <w:r>
        <w:rPr>
          <w:rFonts w:hint="eastAsia" w:ascii="方正仿宋_GBK" w:hAnsi="宋体" w:eastAsia="方正仿宋_GBK"/>
          <w:sz w:val="24"/>
          <w:szCs w:val="24"/>
          <w:vertAlign w:val="superscript"/>
        </w:rPr>
        <w:t>。</w:t>
      </w:r>
      <w:r>
        <w:rPr>
          <w:rFonts w:hint="eastAsia" w:ascii="方正仿宋_GBK" w:hAnsi="宋体" w:eastAsia="方正仿宋_GBK"/>
          <w:sz w:val="24"/>
          <w:szCs w:val="24"/>
        </w:rPr>
        <w:t>，30.230409</w:t>
      </w:r>
      <w:r>
        <w:rPr>
          <w:rFonts w:hint="eastAsia" w:ascii="方正仿宋_GBK" w:hAnsi="宋体" w:eastAsia="方正仿宋_GBK"/>
          <w:sz w:val="24"/>
          <w:szCs w:val="24"/>
          <w:vertAlign w:val="superscript"/>
        </w:rPr>
        <w:t>。</w:t>
      </w:r>
      <w:r>
        <w:rPr>
          <w:rFonts w:hint="eastAsia" w:ascii="方正仿宋_GBK" w:hAnsi="宋体" w:eastAsia="方正仿宋_GBK"/>
          <w:sz w:val="24"/>
          <w:szCs w:val="24"/>
        </w:rPr>
        <w:t>(GCJ-02坐标)</w:t>
      </w:r>
    </w:p>
    <w:p>
      <w:pPr>
        <w:snapToGrid w:val="0"/>
        <w:jc w:val="left"/>
        <w:rPr>
          <w:rFonts w:ascii="方正仿宋_GBK" w:hAnsi="宋体" w:eastAsia="方正仿宋_GBK"/>
          <w:sz w:val="24"/>
          <w:szCs w:val="24"/>
        </w:rPr>
      </w:pPr>
      <w:r>
        <w:drawing>
          <wp:inline distT="0" distB="0" distL="0" distR="0">
            <wp:extent cx="6007100" cy="32321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srcRect/>
                    <a:stretch>
                      <a:fillRect/>
                    </a:stretch>
                  </pic:blipFill>
                  <pic:spPr>
                    <a:xfrm>
                      <a:off x="0" y="0"/>
                      <a:ext cx="6007100" cy="3232150"/>
                    </a:xfrm>
                    <a:prstGeom prst="rect">
                      <a:avLst/>
                    </a:prstGeom>
                    <a:noFill/>
                    <a:ln w="9525" cmpd="sng">
                      <a:noFill/>
                      <a:miter lim="800000"/>
                      <a:headEnd/>
                      <a:tailEnd/>
                    </a:ln>
                  </pic:spPr>
                </pic:pic>
              </a:graphicData>
            </a:graphic>
          </wp:inline>
        </w:drawing>
      </w:r>
    </w:p>
    <w:p>
      <w:pPr>
        <w:snapToGrid w:val="0"/>
        <w:spacing w:line="440" w:lineRule="exact"/>
        <w:ind w:firstLine="480" w:firstLineChars="200"/>
        <w:rPr>
          <w:rFonts w:eastAsia="方正仿宋_GBK"/>
          <w:sz w:val="24"/>
          <w:szCs w:val="24"/>
        </w:rPr>
      </w:pPr>
      <w:r>
        <w:rPr>
          <w:rFonts w:hint="eastAsia" w:eastAsia="方正仿宋_GBK"/>
          <w:sz w:val="24"/>
          <w:szCs w:val="24"/>
        </w:rPr>
        <w:t>3、技术需求描述</w:t>
      </w:r>
    </w:p>
    <w:p>
      <w:pPr>
        <w:snapToGrid w:val="0"/>
        <w:spacing w:line="440" w:lineRule="exact"/>
        <w:ind w:firstLine="480" w:firstLineChars="200"/>
        <w:rPr>
          <w:rFonts w:eastAsia="方正仿宋_GBK"/>
          <w:sz w:val="24"/>
          <w:szCs w:val="24"/>
        </w:rPr>
      </w:pPr>
      <w:r>
        <w:rPr>
          <w:rFonts w:hint="eastAsia" w:eastAsia="方正仿宋_GBK"/>
          <w:sz w:val="24"/>
          <w:szCs w:val="24"/>
        </w:rPr>
        <w:t>（1）在不对南溪河考核断面流域进行清淤和不影响南溪河河道行洪的基础上，采取原位治理生态修复技术；</w:t>
      </w:r>
    </w:p>
    <w:p>
      <w:pPr>
        <w:snapToGrid w:val="0"/>
        <w:spacing w:line="440" w:lineRule="exact"/>
        <w:ind w:firstLine="480" w:firstLineChars="200"/>
        <w:rPr>
          <w:rFonts w:eastAsia="方正仿宋_GBK"/>
          <w:sz w:val="24"/>
          <w:szCs w:val="24"/>
        </w:rPr>
      </w:pPr>
      <w:r>
        <w:rPr>
          <w:rFonts w:hint="eastAsia" w:eastAsia="方正仿宋_GBK"/>
          <w:sz w:val="24"/>
          <w:szCs w:val="24"/>
        </w:rPr>
        <w:t>（2）在自行组织现场踏勘的基础上，全面考虑现场实际条件，不得采取现行有效的有关河流治理修复的禁止性规定、技术等；</w:t>
      </w:r>
    </w:p>
    <w:p>
      <w:pPr>
        <w:snapToGrid w:val="0"/>
        <w:spacing w:line="440" w:lineRule="exact"/>
        <w:ind w:firstLine="480" w:firstLineChars="200"/>
        <w:rPr>
          <w:rFonts w:hint="eastAsia" w:eastAsia="方正仿宋_GBK"/>
          <w:sz w:val="24"/>
          <w:szCs w:val="24"/>
        </w:rPr>
      </w:pPr>
      <w:r>
        <w:rPr>
          <w:rFonts w:hint="eastAsia" w:eastAsia="方正仿宋_GBK"/>
          <w:sz w:val="24"/>
          <w:szCs w:val="24"/>
        </w:rPr>
        <w:t>（3）禁止采用换水、人工调节河道径流量、河道改道等方式改善水质；</w:t>
      </w:r>
    </w:p>
    <w:p>
      <w:pPr>
        <w:snapToGrid w:val="0"/>
        <w:spacing w:line="440" w:lineRule="exact"/>
        <w:ind w:firstLine="480" w:firstLineChars="200"/>
        <w:rPr>
          <w:rFonts w:hint="eastAsia" w:eastAsia="方正仿宋_GBK"/>
          <w:sz w:val="24"/>
          <w:szCs w:val="24"/>
        </w:rPr>
      </w:pPr>
      <w:r>
        <w:rPr>
          <w:rFonts w:hint="eastAsia" w:eastAsia="方正仿宋_GBK"/>
          <w:sz w:val="24"/>
          <w:szCs w:val="24"/>
        </w:rPr>
        <w:t>（4）禁止使用絮凝剂、杀藻剂、氧化剂等有毒有害的化学制剂，禁止投撒对现有河流生态系统有生态安全隐患的生物菌；</w:t>
      </w:r>
    </w:p>
    <w:p>
      <w:pPr>
        <w:snapToGrid w:val="0"/>
        <w:spacing w:line="440" w:lineRule="exact"/>
        <w:ind w:firstLine="480" w:firstLineChars="200"/>
        <w:rPr>
          <w:rFonts w:hint="eastAsia" w:eastAsia="方正仿宋_GBK"/>
          <w:sz w:val="24"/>
          <w:szCs w:val="24"/>
        </w:rPr>
      </w:pPr>
      <w:r>
        <w:rPr>
          <w:rFonts w:hint="eastAsia" w:eastAsia="方正仿宋_GBK"/>
          <w:sz w:val="24"/>
          <w:szCs w:val="24"/>
        </w:rPr>
        <w:t>（5）投标人派往本项目的人员：项目负责人1人，技术负责人1人，安全员不少于1人。项目负责人须具有环保或市政类中级及以上职称；技术负责人须具有环保或市政类高级及以上职称。（提供职称证书复印件并加盖公章，原件备查）。</w:t>
      </w:r>
    </w:p>
    <w:p>
      <w:pPr>
        <w:snapToGrid w:val="0"/>
        <w:spacing w:line="440" w:lineRule="exact"/>
        <w:ind w:firstLine="482" w:firstLineChars="200"/>
        <w:rPr>
          <w:rFonts w:eastAsia="方正仿宋_GBK"/>
          <w:b/>
          <w:sz w:val="24"/>
          <w:szCs w:val="24"/>
        </w:rPr>
      </w:pPr>
      <w:r>
        <w:rPr>
          <w:rFonts w:hint="eastAsia" w:eastAsia="方正仿宋_GBK"/>
          <w:b/>
          <w:sz w:val="24"/>
          <w:szCs w:val="24"/>
        </w:rPr>
        <w:t>（二）具体考核指标要求</w:t>
      </w:r>
    </w:p>
    <w:p>
      <w:pPr>
        <w:snapToGrid w:val="0"/>
        <w:spacing w:line="440" w:lineRule="exact"/>
        <w:ind w:firstLine="480" w:firstLineChars="200"/>
        <w:rPr>
          <w:rFonts w:eastAsia="方正仿宋_GBK"/>
          <w:sz w:val="24"/>
          <w:szCs w:val="24"/>
        </w:rPr>
      </w:pPr>
      <w:r>
        <w:rPr>
          <w:rFonts w:hint="eastAsia" w:eastAsia="方正仿宋_GBK"/>
          <w:sz w:val="24"/>
          <w:szCs w:val="24"/>
        </w:rPr>
        <w:t>1、采购人根据经有效性审核的上游实施原位修复的起始断面（南溪河干流断面）、摇金断面（考核摇金市控断面前，以市控断面水质作为考核依据；考核摇金国控断面后，以国控断面水质作为考核依据）水质在线监测数据的月均值和水质手工监测当月数据作为验收依据；当水质在线监测数据未满足有效性审核要求时，由重庆市合川区生态环境监测站提供相应辅助考核依据。</w:t>
      </w:r>
    </w:p>
    <w:p>
      <w:pPr>
        <w:snapToGrid w:val="0"/>
        <w:spacing w:line="440" w:lineRule="exact"/>
        <w:ind w:firstLine="480" w:firstLineChars="200"/>
        <w:rPr>
          <w:rFonts w:eastAsia="方正仿宋_GBK"/>
          <w:sz w:val="24"/>
          <w:szCs w:val="24"/>
        </w:rPr>
      </w:pPr>
      <w:r>
        <w:rPr>
          <w:rFonts w:hint="eastAsia" w:eastAsia="方正仿宋_GBK"/>
          <w:sz w:val="24"/>
          <w:szCs w:val="24"/>
        </w:rPr>
        <w:t>2、验收评价因子为化学需氧量、高锰酸盐指数、总磷。</w:t>
      </w:r>
    </w:p>
    <w:p>
      <w:pPr>
        <w:snapToGrid w:val="0"/>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3、考核验收标准</w:t>
      </w:r>
    </w:p>
    <w:p>
      <w:pPr>
        <w:snapToGrid w:val="0"/>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（1）验收考核方式按以下两种情况进行：1）南溪河摇金断</w:t>
      </w:r>
      <w:r>
        <w:rPr>
          <w:rFonts w:hint="eastAsia" w:eastAsia="方正仿宋_GBK"/>
          <w:sz w:val="24"/>
          <w:szCs w:val="24"/>
        </w:rPr>
        <w:t>面的高锰酸盐指数、总磷在</w:t>
      </w:r>
      <w:r>
        <w:rPr>
          <w:rFonts w:hint="eastAsia" w:ascii="方正仿宋_GBK" w:hAnsi="方正仿宋_GBK" w:eastAsia="方正仿宋_GBK" w:cs="方正仿宋_GBK"/>
          <w:sz w:val="24"/>
          <w:szCs w:val="24"/>
        </w:rPr>
        <w:t>线监测月均值和化学需氧量手工监测值浓度满足地表水Ⅲ类标准，则认定当月考核达标。2）南溪河摇金断</w:t>
      </w:r>
      <w:r>
        <w:rPr>
          <w:rFonts w:hint="eastAsia" w:eastAsia="方正仿宋_GBK"/>
          <w:sz w:val="24"/>
          <w:szCs w:val="24"/>
        </w:rPr>
        <w:t>面的高锰酸盐指数、总磷在</w:t>
      </w:r>
      <w:r>
        <w:rPr>
          <w:rFonts w:hint="eastAsia" w:ascii="方正仿宋_GBK" w:hAnsi="方正仿宋_GBK" w:eastAsia="方正仿宋_GBK" w:cs="方正仿宋_GBK"/>
          <w:sz w:val="24"/>
          <w:szCs w:val="24"/>
        </w:rPr>
        <w:t>线监测年均值和化学需氧量手工监测年均值浓度达到地表水Ⅲ类标准，则认定全年考核达标。</w:t>
      </w:r>
    </w:p>
    <w:p>
      <w:pPr>
        <w:widowControl/>
        <w:snapToGrid w:val="0"/>
        <w:ind w:firstLine="480" w:firstLineChars="200"/>
        <w:jc w:val="left"/>
        <w:rPr>
          <w:rFonts w:ascii="方正仿宋_GBK" w:hAnsi="方正仿宋_GBK" w:eastAsia="方正仿宋_GBK" w:cs="方正仿宋_GBK"/>
          <w:sz w:val="24"/>
          <w:szCs w:val="24"/>
        </w:rPr>
      </w:pPr>
      <w:r>
        <w:rPr>
          <w:rFonts w:hint="eastAsia" w:eastAsia="方正仿宋_GBK"/>
          <w:sz w:val="24"/>
          <w:szCs w:val="24"/>
        </w:rPr>
        <w:t>（2）不是因中标人因素</w:t>
      </w:r>
      <w:r>
        <w:rPr>
          <w:rFonts w:hint="eastAsia" w:ascii="方正仿宋_GBK" w:hAnsi="方正仿宋_GBK" w:eastAsia="方正仿宋_GBK" w:cs="方正仿宋_GBK"/>
          <w:sz w:val="24"/>
          <w:szCs w:val="24"/>
        </w:rPr>
        <w:t>或因不可抗力因素造成考核断面水质数据异常的，经中标人书面提出申诉，采购人确认后可以免责，主要包括：项目实施河段及上游流域降雨、农村畜禽散养排污影响导致污染指标浓度异常增高的（</w:t>
      </w:r>
      <w:r>
        <w:rPr>
          <w:rFonts w:hint="eastAsia" w:eastAsia="方正仿宋_GBK"/>
          <w:sz w:val="24"/>
          <w:szCs w:val="24"/>
        </w:rPr>
        <w:t>任一指标浓度2h内增加幅度</w:t>
      </w:r>
      <w:r>
        <w:rPr>
          <w:rFonts w:hint="eastAsia" w:ascii="方正仿宋_GBK" w:hAnsi="方正仿宋_GBK" w:eastAsia="方正仿宋_GBK" w:cs="方正仿宋_GBK"/>
          <w:sz w:val="24"/>
          <w:szCs w:val="24"/>
        </w:rPr>
        <w:t>超过30%）；考核断面上游异常排污或突发风险事故（如清淤、渗漏或溢流排污、其它突发环境风险事故等因素）导致污染指标浓度异常增高的。因污染指标浓度异常增高的，在异常情况发生之日起至异常情况消失后3天的时间段不予考核。</w:t>
      </w:r>
    </w:p>
    <w:p>
      <w:pPr>
        <w:snapToGrid w:val="0"/>
        <w:spacing w:line="440" w:lineRule="exact"/>
        <w:ind w:firstLine="480" w:firstLineChars="200"/>
        <w:rPr>
          <w:rFonts w:eastAsia="方正仿宋_GBK"/>
          <w:sz w:val="24"/>
          <w:szCs w:val="24"/>
        </w:rPr>
      </w:pPr>
    </w:p>
    <w:p>
      <w:pPr>
        <w:pStyle w:val="4"/>
        <w:spacing w:beforeLines="0" w:afterLines="0" w:line="360" w:lineRule="auto"/>
        <w:rPr>
          <w:rFonts w:hint="eastAsia" w:ascii="方正小标宋_GBK" w:eastAsia="方正小标宋_GBK"/>
          <w:szCs w:val="22"/>
        </w:rPr>
      </w:pPr>
      <w:r>
        <w:rPr>
          <w:rFonts w:hint="eastAsia" w:ascii="宋体" w:hAnsi="宋体" w:eastAsia="宋体" w:cs="宋体"/>
        </w:rPr>
        <w:br w:type="page"/>
      </w:r>
      <w:r>
        <w:rPr>
          <w:rFonts w:hint="eastAsia" w:ascii="方正小标宋_GBK" w:eastAsia="方正小标宋_GBK"/>
          <w:szCs w:val="22"/>
        </w:rPr>
        <w:t>第三篇 项目商务要求</w:t>
      </w:r>
    </w:p>
    <w:p>
      <w:pPr>
        <w:pStyle w:val="5"/>
        <w:spacing w:line="400" w:lineRule="exact"/>
        <w:rPr>
          <w:rFonts w:ascii="Times New Roman" w:hAnsi="Times New Roman" w:eastAsia="仿宋"/>
          <w:b/>
          <w:sz w:val="24"/>
          <w:szCs w:val="24"/>
        </w:rPr>
      </w:pPr>
      <w:bookmarkStart w:id="16" w:name="_Toc267320049"/>
      <w:bookmarkStart w:id="17" w:name="_Toc22650750"/>
      <w:bookmarkStart w:id="18" w:name="_Toc30407980"/>
      <w:bookmarkStart w:id="19" w:name="_Toc27586626"/>
      <w:bookmarkStart w:id="20" w:name="_Toc18318214"/>
      <w:bookmarkStart w:id="21" w:name="_Toc2147"/>
      <w:bookmarkStart w:id="22" w:name="_Toc15933"/>
      <w:bookmarkStart w:id="23" w:name="_Toc441065673"/>
      <w:bookmarkStart w:id="24" w:name="_Toc9063"/>
      <w:r>
        <w:rPr>
          <w:rFonts w:hint="eastAsia" w:ascii="Times New Roman" w:hAnsi="Times New Roman" w:eastAsia="仿宋"/>
          <w:b/>
          <w:sz w:val="24"/>
          <w:szCs w:val="24"/>
        </w:rPr>
        <w:t>一、</w:t>
      </w:r>
      <w:bookmarkEnd w:id="16"/>
      <w:r>
        <w:rPr>
          <w:rFonts w:hint="eastAsia" w:ascii="Times New Roman" w:hAnsi="Times New Roman" w:eastAsia="仿宋"/>
          <w:b/>
          <w:sz w:val="24"/>
          <w:szCs w:val="24"/>
        </w:rPr>
        <w:t>服务内容、时间、地点及验收方式</w:t>
      </w:r>
      <w:bookmarkEnd w:id="17"/>
      <w:bookmarkEnd w:id="18"/>
      <w:bookmarkEnd w:id="19"/>
    </w:p>
    <w:p>
      <w:pPr>
        <w:snapToGrid w:val="0"/>
        <w:spacing w:line="400" w:lineRule="exact"/>
        <w:ind w:firstLine="480" w:firstLineChars="200"/>
        <w:rPr>
          <w:rFonts w:hint="eastAsia" w:ascii="方正仿宋_GBK" w:hAnsi="宋体" w:eastAsia="方正仿宋_GBK" w:cs="宋体"/>
          <w:kern w:val="0"/>
          <w:sz w:val="24"/>
          <w:szCs w:val="24"/>
        </w:rPr>
      </w:pPr>
      <w:bookmarkStart w:id="25" w:name="_Toc267320050"/>
      <w:bookmarkStart w:id="26" w:name="_Toc27586627"/>
      <w:bookmarkStart w:id="27" w:name="_Toc22650752"/>
      <w:bookmarkStart w:id="28" w:name="_Toc30407981"/>
      <w:r>
        <w:rPr>
          <w:rFonts w:hint="eastAsia" w:ascii="方正仿宋_GBK" w:hAnsi="宋体" w:eastAsia="方正仿宋_GBK" w:cs="宋体"/>
          <w:kern w:val="0"/>
          <w:sz w:val="24"/>
          <w:szCs w:val="24"/>
        </w:rPr>
        <w:t>（一）服务内容</w:t>
      </w:r>
    </w:p>
    <w:p>
      <w:pPr>
        <w:snapToGrid w:val="0"/>
        <w:spacing w:line="440" w:lineRule="exact"/>
        <w:ind w:firstLine="480" w:firstLineChars="200"/>
        <w:rPr>
          <w:rFonts w:eastAsia="方正仿宋_GBK"/>
          <w:sz w:val="24"/>
          <w:szCs w:val="24"/>
        </w:rPr>
      </w:pPr>
      <w:r>
        <w:rPr>
          <w:rFonts w:hint="eastAsia" w:ascii="方正仿宋_GBK" w:hAnsi="宋体" w:eastAsia="方正仿宋_GBK"/>
          <w:sz w:val="24"/>
          <w:szCs w:val="24"/>
        </w:rPr>
        <w:t>在南溪河摇金国控断面以上允许实施生态治理技术河段（在南溪河干流、南溪河支流三庙河均可实施），安装生态修复设施8套以上（含8套）并有效运行维护，确保摇金断面水质达到验收标准。</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（二）服务时间</w:t>
      </w:r>
    </w:p>
    <w:p>
      <w:pPr>
        <w:snapToGrid w:val="0"/>
        <w:spacing w:line="440" w:lineRule="exact"/>
        <w:ind w:firstLine="480" w:firstLineChars="200"/>
        <w:rPr>
          <w:rFonts w:eastAsia="方正仿宋_GBK"/>
          <w:sz w:val="24"/>
          <w:szCs w:val="24"/>
        </w:rPr>
      </w:pPr>
      <w:r>
        <w:rPr>
          <w:rFonts w:hint="eastAsia" w:eastAsia="方正仿宋_GBK"/>
          <w:sz w:val="24"/>
          <w:szCs w:val="24"/>
        </w:rPr>
        <w:t>（1）设施安装调试期</w:t>
      </w:r>
    </w:p>
    <w:p>
      <w:pPr>
        <w:snapToGrid w:val="0"/>
        <w:spacing w:line="440" w:lineRule="exact"/>
        <w:ind w:firstLine="480" w:firstLineChars="200"/>
        <w:rPr>
          <w:rFonts w:eastAsia="方正仿宋_GBK"/>
          <w:sz w:val="24"/>
          <w:szCs w:val="24"/>
        </w:rPr>
      </w:pPr>
      <w:r>
        <w:rPr>
          <w:rFonts w:hint="eastAsia" w:eastAsia="方正仿宋_GBK"/>
          <w:sz w:val="24"/>
          <w:szCs w:val="24"/>
        </w:rPr>
        <w:t>中标人应在采购合同签订后 60 个日历天内完成生态修复设施安装工作，确保系统能投入调试运行。采购人负责协调进场道路、用水、用电、用地等工作。</w:t>
      </w:r>
    </w:p>
    <w:p>
      <w:pPr>
        <w:snapToGrid w:val="0"/>
        <w:spacing w:line="440" w:lineRule="exact"/>
        <w:ind w:firstLine="480" w:firstLineChars="200"/>
        <w:rPr>
          <w:rFonts w:eastAsia="方正仿宋_GBK"/>
          <w:sz w:val="24"/>
          <w:szCs w:val="24"/>
        </w:rPr>
      </w:pPr>
      <w:r>
        <w:rPr>
          <w:rFonts w:hint="eastAsia" w:eastAsia="方正仿宋_GBK"/>
          <w:sz w:val="24"/>
          <w:szCs w:val="24"/>
        </w:rPr>
        <w:t>（2）运营服务期</w:t>
      </w:r>
    </w:p>
    <w:p>
      <w:pPr>
        <w:snapToGrid w:val="0"/>
        <w:spacing w:line="440" w:lineRule="exact"/>
        <w:ind w:firstLine="480" w:firstLineChars="200"/>
        <w:rPr>
          <w:rFonts w:eastAsia="方正仿宋_GBK"/>
          <w:sz w:val="24"/>
          <w:szCs w:val="24"/>
        </w:rPr>
      </w:pPr>
      <w:r>
        <w:rPr>
          <w:rFonts w:hint="eastAsia" w:eastAsia="方正仿宋_GBK"/>
          <w:sz w:val="24"/>
          <w:szCs w:val="24"/>
        </w:rPr>
        <w:t>生态修复设施安装完成后进入调试运行期（调试运行期3个月）；经调试运行验收合格后项目进入运营服务期（运营服务期18个月），从设备调试验收合格次月起开始计算。</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（三）服务地点</w:t>
      </w:r>
    </w:p>
    <w:p>
      <w:pPr>
        <w:snapToGrid w:val="0"/>
        <w:spacing w:line="400" w:lineRule="exact"/>
        <w:ind w:firstLine="480" w:firstLineChars="200"/>
        <w:rPr>
          <w:rFonts w:hint="eastAsia" w:ascii="方正仿宋_GBK" w:hAnsi="宋体" w:eastAsia="方正仿宋_GBK" w:cs="宋体"/>
          <w:kern w:val="0"/>
          <w:sz w:val="24"/>
          <w:szCs w:val="24"/>
        </w:rPr>
      </w:pPr>
      <w:r>
        <w:rPr>
          <w:rFonts w:hint="eastAsia" w:ascii="方正仿宋_GBK" w:hAnsi="宋体" w:eastAsia="方正仿宋_GBK" w:cs="宋体"/>
          <w:kern w:val="0"/>
          <w:sz w:val="24"/>
          <w:szCs w:val="24"/>
        </w:rPr>
        <w:t>重庆市合川区南溪河摇金国控断面上游河段。</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（四）验收方式</w:t>
      </w:r>
    </w:p>
    <w:p>
      <w:pPr>
        <w:snapToGrid w:val="0"/>
        <w:spacing w:line="400" w:lineRule="exact"/>
        <w:ind w:firstLine="480" w:firstLineChars="200"/>
        <w:rPr>
          <w:rFonts w:hint="eastAsia" w:ascii="方正仿宋_GBK" w:hAnsi="宋体" w:eastAsia="方正仿宋_GBK" w:cs="宋体"/>
          <w:kern w:val="0"/>
          <w:sz w:val="24"/>
          <w:szCs w:val="24"/>
        </w:rPr>
      </w:pPr>
      <w:r>
        <w:rPr>
          <w:rFonts w:hint="eastAsia" w:ascii="方正仿宋_GBK" w:hAnsi="宋体" w:eastAsia="方正仿宋_GBK" w:cs="宋体"/>
          <w:kern w:val="0"/>
          <w:sz w:val="24"/>
          <w:szCs w:val="24"/>
        </w:rPr>
        <w:t>采购人按照招标文件有关要求自行组织验收。</w:t>
      </w:r>
    </w:p>
    <w:p>
      <w:pPr>
        <w:pStyle w:val="5"/>
        <w:spacing w:line="400" w:lineRule="exact"/>
        <w:rPr>
          <w:rFonts w:ascii="Times New Roman" w:hAnsi="Times New Roman" w:eastAsia="仿宋"/>
          <w:b/>
          <w:sz w:val="24"/>
          <w:szCs w:val="24"/>
        </w:rPr>
      </w:pPr>
      <w:r>
        <w:rPr>
          <w:rFonts w:hint="eastAsia" w:ascii="Times New Roman" w:hAnsi="Times New Roman" w:eastAsia="仿宋"/>
          <w:b/>
          <w:sz w:val="24"/>
          <w:szCs w:val="24"/>
        </w:rPr>
        <w:t>二、</w:t>
      </w:r>
      <w:bookmarkEnd w:id="25"/>
      <w:r>
        <w:rPr>
          <w:rFonts w:hint="eastAsia" w:ascii="Times New Roman" w:hAnsi="Times New Roman" w:eastAsia="仿宋"/>
          <w:b/>
          <w:sz w:val="24"/>
          <w:szCs w:val="24"/>
        </w:rPr>
        <w:t>报价要求</w:t>
      </w:r>
      <w:bookmarkEnd w:id="26"/>
      <w:bookmarkEnd w:id="27"/>
      <w:bookmarkEnd w:id="28"/>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1、本项目报价以人民币报价，报价不得高于最高限价，本项目报价为包干价。</w:t>
      </w:r>
    </w:p>
    <w:p>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2、本项目报价主要包含两部分费用：（1）完成本项目所需要的生态修复设施费（含：货物费、运输费、安装费、调试运行费、税费等）等所有费用；（2）运营服务期内运营维护费（含：耗材费、设施设备更换费、维修费、日常巡检费、水质监测费、水电费、差旅费、管理费、人员工资、税费等）等所有费用。</w:t>
      </w:r>
    </w:p>
    <w:p>
      <w:pPr>
        <w:pStyle w:val="5"/>
        <w:spacing w:line="400" w:lineRule="exact"/>
        <w:rPr>
          <w:rFonts w:ascii="Times New Roman" w:hAnsi="Times New Roman" w:eastAsia="仿宋"/>
          <w:b/>
          <w:sz w:val="24"/>
          <w:szCs w:val="24"/>
        </w:rPr>
      </w:pPr>
      <w:r>
        <w:rPr>
          <w:rFonts w:hint="eastAsia" w:ascii="Times New Roman" w:hAnsi="Times New Roman" w:eastAsia="仿宋"/>
          <w:b/>
          <w:sz w:val="24"/>
          <w:szCs w:val="24"/>
        </w:rPr>
        <w:t>三、质量保证及售后服务</w:t>
      </w:r>
    </w:p>
    <w:p>
      <w:pPr>
        <w:snapToGrid w:val="0"/>
        <w:spacing w:line="440" w:lineRule="exact"/>
        <w:ind w:firstLine="480" w:firstLineChars="200"/>
        <w:rPr>
          <w:rFonts w:eastAsia="方正仿宋_GBK"/>
          <w:sz w:val="24"/>
          <w:szCs w:val="24"/>
        </w:rPr>
      </w:pPr>
      <w:bookmarkStart w:id="29" w:name="_Toc267320051"/>
      <w:bookmarkStart w:id="30" w:name="_Toc27586628"/>
      <w:bookmarkStart w:id="31" w:name="_Toc22650753"/>
      <w:bookmarkStart w:id="32" w:name="_Toc30407982"/>
      <w:r>
        <w:rPr>
          <w:rFonts w:hint="eastAsia" w:eastAsia="方正仿宋_GBK"/>
          <w:sz w:val="24"/>
          <w:szCs w:val="24"/>
        </w:rPr>
        <w:t>（一）产品质量保证期</w:t>
      </w:r>
    </w:p>
    <w:p>
      <w:pPr>
        <w:snapToGrid w:val="0"/>
        <w:spacing w:line="440" w:lineRule="exact"/>
        <w:ind w:firstLine="480" w:firstLineChars="200"/>
        <w:rPr>
          <w:rFonts w:hint="eastAsia" w:eastAsia="方正仿宋_GBK"/>
          <w:sz w:val="24"/>
          <w:szCs w:val="24"/>
        </w:rPr>
      </w:pPr>
      <w:r>
        <w:rPr>
          <w:rFonts w:hint="eastAsia" w:ascii="Calibri" w:hAnsi="Calibri" w:eastAsia="方正仿宋_GBK" w:cs="Calibri"/>
          <w:sz w:val="24"/>
          <w:szCs w:val="24"/>
        </w:rPr>
        <w:t>1、</w:t>
      </w:r>
      <w:r>
        <w:rPr>
          <w:rFonts w:hint="eastAsia" w:eastAsia="方正仿宋_GBK"/>
          <w:sz w:val="24"/>
          <w:szCs w:val="24"/>
        </w:rPr>
        <w:t>投标产品质量保证期不低于3年。</w:t>
      </w:r>
    </w:p>
    <w:p>
      <w:pPr>
        <w:snapToGrid w:val="0"/>
        <w:spacing w:line="440" w:lineRule="exact"/>
        <w:ind w:firstLine="480" w:firstLineChars="200"/>
        <w:rPr>
          <w:rFonts w:hint="eastAsia" w:eastAsia="方正仿宋_GBK"/>
          <w:sz w:val="24"/>
          <w:szCs w:val="24"/>
        </w:rPr>
      </w:pPr>
      <w:r>
        <w:rPr>
          <w:rFonts w:hint="eastAsia" w:ascii="Calibri" w:hAnsi="Calibri" w:eastAsia="方正仿宋_GBK" w:cs="Calibri"/>
          <w:sz w:val="24"/>
          <w:szCs w:val="24"/>
        </w:rPr>
        <w:t>2、</w:t>
      </w:r>
      <w:r>
        <w:rPr>
          <w:rFonts w:hint="eastAsia" w:eastAsia="方正仿宋_GBK"/>
          <w:sz w:val="24"/>
          <w:szCs w:val="24"/>
        </w:rPr>
        <w:t>投标产品属于国家规定“三包”范围的，其产品质量保证期不得低于“三包”规定。</w:t>
      </w:r>
    </w:p>
    <w:p>
      <w:pPr>
        <w:snapToGrid w:val="0"/>
        <w:spacing w:line="440" w:lineRule="exact"/>
        <w:ind w:firstLine="480" w:firstLineChars="200"/>
        <w:rPr>
          <w:rFonts w:hint="eastAsia" w:eastAsia="方正仿宋_GBK"/>
          <w:sz w:val="24"/>
          <w:szCs w:val="24"/>
        </w:rPr>
      </w:pPr>
      <w:r>
        <w:rPr>
          <w:rFonts w:hint="eastAsia" w:ascii="Calibri" w:hAnsi="Calibri" w:eastAsia="方正仿宋_GBK" w:cs="Calibri"/>
          <w:sz w:val="24"/>
          <w:szCs w:val="24"/>
        </w:rPr>
        <w:t>3、</w:t>
      </w:r>
      <w:r>
        <w:rPr>
          <w:rFonts w:hint="eastAsia" w:eastAsia="方正仿宋_GBK"/>
          <w:sz w:val="24"/>
          <w:szCs w:val="24"/>
        </w:rPr>
        <w:t>投标人的质量保证期承诺优于国家“三包”规定的，按供应商实际承诺执行。</w:t>
      </w:r>
    </w:p>
    <w:p>
      <w:pPr>
        <w:snapToGrid w:val="0"/>
        <w:spacing w:line="440" w:lineRule="exact"/>
        <w:ind w:firstLine="480" w:firstLineChars="200"/>
        <w:rPr>
          <w:rFonts w:hint="eastAsia" w:eastAsia="方正仿宋_GBK"/>
          <w:sz w:val="24"/>
          <w:szCs w:val="24"/>
        </w:rPr>
      </w:pPr>
      <w:r>
        <w:rPr>
          <w:rFonts w:hint="eastAsia" w:ascii="Calibri" w:hAnsi="Calibri" w:eastAsia="方正仿宋_GBK" w:cs="Calibri"/>
          <w:sz w:val="24"/>
          <w:szCs w:val="24"/>
        </w:rPr>
        <w:t>4、</w:t>
      </w:r>
      <w:r>
        <w:rPr>
          <w:rFonts w:hint="eastAsia" w:eastAsia="方正仿宋_GBK"/>
          <w:sz w:val="24"/>
          <w:szCs w:val="24"/>
        </w:rPr>
        <w:t>投标产品由制造商（指产品生产制造商，或其负责销售、售后服务机构，以下同）负责标准售后服务的，应当在投标文件中予以明确说明,并附制造商售后服务承诺。</w:t>
      </w:r>
    </w:p>
    <w:p>
      <w:pPr>
        <w:snapToGrid w:val="0"/>
        <w:spacing w:line="440" w:lineRule="exact"/>
        <w:ind w:firstLine="480" w:firstLineChars="200"/>
        <w:rPr>
          <w:rFonts w:eastAsia="方正仿宋_GBK"/>
          <w:sz w:val="24"/>
          <w:szCs w:val="24"/>
        </w:rPr>
      </w:pPr>
      <w:r>
        <w:rPr>
          <w:rFonts w:hint="eastAsia" w:eastAsia="方正仿宋_GBK"/>
          <w:sz w:val="24"/>
          <w:szCs w:val="24"/>
        </w:rPr>
        <w:t>（二）售后服务内容</w:t>
      </w:r>
    </w:p>
    <w:p>
      <w:pPr>
        <w:snapToGrid w:val="0"/>
        <w:spacing w:line="440" w:lineRule="exact"/>
        <w:ind w:firstLine="480" w:firstLineChars="200"/>
        <w:rPr>
          <w:rFonts w:eastAsia="方正仿宋_GBK"/>
          <w:sz w:val="24"/>
          <w:szCs w:val="24"/>
        </w:rPr>
      </w:pPr>
      <w:r>
        <w:rPr>
          <w:rFonts w:hint="eastAsia" w:eastAsia="方正仿宋_GBK"/>
          <w:sz w:val="24"/>
          <w:szCs w:val="24"/>
        </w:rPr>
        <w:t>（1）中标人在质量保证期内应当为采购人提供以下技术支持和服务：</w:t>
      </w:r>
    </w:p>
    <w:p>
      <w:pPr>
        <w:snapToGrid w:val="0"/>
        <w:spacing w:line="440" w:lineRule="exact"/>
        <w:ind w:firstLine="480" w:firstLineChars="200"/>
        <w:rPr>
          <w:rFonts w:eastAsia="方正仿宋_GBK"/>
          <w:sz w:val="24"/>
          <w:szCs w:val="24"/>
        </w:rPr>
      </w:pPr>
      <w:r>
        <w:rPr>
          <w:rFonts w:ascii="Calibri" w:hAnsi="Calibri" w:eastAsia="方正仿宋_GBK" w:cs="Calibri"/>
          <w:sz w:val="24"/>
          <w:szCs w:val="24"/>
        </w:rPr>
        <w:t>①</w:t>
      </w:r>
      <w:r>
        <w:rPr>
          <w:rFonts w:hint="eastAsia" w:eastAsia="方正仿宋_GBK"/>
          <w:sz w:val="24"/>
          <w:szCs w:val="24"/>
        </w:rPr>
        <w:t>电话咨询</w:t>
      </w:r>
    </w:p>
    <w:p>
      <w:pPr>
        <w:snapToGrid w:val="0"/>
        <w:spacing w:line="440" w:lineRule="exact"/>
        <w:ind w:firstLine="480" w:firstLineChars="200"/>
        <w:rPr>
          <w:rFonts w:eastAsia="方正仿宋_GBK"/>
          <w:sz w:val="24"/>
          <w:szCs w:val="24"/>
        </w:rPr>
      </w:pPr>
      <w:r>
        <w:rPr>
          <w:rFonts w:hint="eastAsia" w:eastAsia="方正仿宋_GBK"/>
          <w:sz w:val="24"/>
          <w:szCs w:val="24"/>
        </w:rPr>
        <w:t>中标人应当为采购人提供技术援助电话，解答采购人在使用中遇到的问题，应在8小时内为采购人提出解决问题的建议。</w:t>
      </w:r>
    </w:p>
    <w:p>
      <w:pPr>
        <w:snapToGrid w:val="0"/>
        <w:spacing w:line="440" w:lineRule="exact"/>
        <w:ind w:firstLine="480" w:firstLineChars="200"/>
        <w:rPr>
          <w:rFonts w:eastAsia="方正仿宋_GBK"/>
          <w:sz w:val="24"/>
          <w:szCs w:val="24"/>
        </w:rPr>
      </w:pPr>
      <w:r>
        <w:rPr>
          <w:rFonts w:ascii="Calibri" w:hAnsi="Calibri" w:eastAsia="方正仿宋_GBK" w:cs="Calibri"/>
          <w:sz w:val="24"/>
          <w:szCs w:val="24"/>
        </w:rPr>
        <w:t>②</w:t>
      </w:r>
      <w:r>
        <w:rPr>
          <w:rFonts w:hint="eastAsia" w:eastAsia="方正仿宋_GBK"/>
          <w:sz w:val="24"/>
          <w:szCs w:val="24"/>
        </w:rPr>
        <w:t>现场响应</w:t>
      </w:r>
    </w:p>
    <w:p>
      <w:pPr>
        <w:snapToGrid w:val="0"/>
        <w:spacing w:line="440" w:lineRule="exact"/>
        <w:ind w:firstLine="480" w:firstLineChars="200"/>
        <w:rPr>
          <w:rFonts w:hint="eastAsia" w:eastAsia="方正仿宋_GBK"/>
          <w:sz w:val="24"/>
          <w:szCs w:val="24"/>
        </w:rPr>
      </w:pPr>
      <w:r>
        <w:rPr>
          <w:rFonts w:hint="eastAsia" w:eastAsia="方正仿宋_GBK"/>
          <w:sz w:val="24"/>
          <w:szCs w:val="24"/>
        </w:rPr>
        <w:t>采购人遇到使用及技术问题，电话咨询不能解决的，中标人应在24h内到达现场进行处理，确保产品正常工作。无法在 2个工作日内解决的，应在 2 个工作日内提供备用产品，使采购人能够正常使用。</w:t>
      </w:r>
    </w:p>
    <w:p>
      <w:pPr>
        <w:snapToGrid w:val="0"/>
        <w:spacing w:line="440" w:lineRule="exact"/>
        <w:ind w:firstLine="480" w:firstLineChars="200"/>
        <w:rPr>
          <w:rFonts w:hint="eastAsia" w:eastAsia="方正仿宋_GBK"/>
          <w:sz w:val="24"/>
          <w:szCs w:val="24"/>
        </w:rPr>
      </w:pPr>
      <w:r>
        <w:rPr>
          <w:rFonts w:ascii="Calibri" w:hAnsi="Calibri" w:eastAsia="方正仿宋_GBK" w:cs="Calibri"/>
          <w:sz w:val="24"/>
          <w:szCs w:val="24"/>
        </w:rPr>
        <w:t>③</w:t>
      </w:r>
      <w:r>
        <w:rPr>
          <w:rFonts w:hint="eastAsia" w:eastAsia="方正仿宋_GBK"/>
          <w:sz w:val="24"/>
          <w:szCs w:val="24"/>
        </w:rPr>
        <w:t>技术升级</w:t>
      </w:r>
    </w:p>
    <w:p>
      <w:pPr>
        <w:snapToGrid w:val="0"/>
        <w:spacing w:line="440" w:lineRule="exact"/>
        <w:ind w:firstLine="480" w:firstLineChars="200"/>
        <w:rPr>
          <w:rFonts w:hint="eastAsia" w:eastAsia="方正仿宋_GBK"/>
          <w:sz w:val="24"/>
          <w:szCs w:val="24"/>
        </w:rPr>
      </w:pPr>
      <w:r>
        <w:rPr>
          <w:rFonts w:hint="eastAsia" w:eastAsia="方正仿宋_GBK"/>
          <w:sz w:val="24"/>
          <w:szCs w:val="24"/>
        </w:rPr>
        <w:t>在质保期内，如果中标人和制造商的产品技术升级，供应商应及时通知采购人，如采购人有相应要求，中标人和制造商应对采购人购买的产品进行升级服务。</w:t>
      </w:r>
    </w:p>
    <w:p>
      <w:pPr>
        <w:snapToGrid w:val="0"/>
        <w:spacing w:line="440" w:lineRule="exact"/>
        <w:ind w:firstLine="480" w:firstLineChars="200"/>
        <w:rPr>
          <w:rFonts w:hint="eastAsia" w:eastAsia="方正仿宋_GBK"/>
          <w:sz w:val="24"/>
          <w:szCs w:val="24"/>
        </w:rPr>
      </w:pPr>
      <w:r>
        <w:rPr>
          <w:rFonts w:hint="eastAsia" w:eastAsia="方正仿宋_GBK"/>
          <w:sz w:val="24"/>
          <w:szCs w:val="24"/>
        </w:rPr>
        <w:t>（2）中标人在质量保证期外应当为采购人提供以下技术支持和服务：</w:t>
      </w:r>
    </w:p>
    <w:p>
      <w:pPr>
        <w:snapToGrid w:val="0"/>
        <w:spacing w:line="440" w:lineRule="exact"/>
        <w:ind w:firstLine="480" w:firstLineChars="200"/>
        <w:rPr>
          <w:rFonts w:hint="eastAsia" w:eastAsia="方正仿宋_GBK"/>
          <w:sz w:val="24"/>
          <w:szCs w:val="24"/>
        </w:rPr>
      </w:pPr>
      <w:r>
        <w:rPr>
          <w:rFonts w:ascii="Calibri" w:hAnsi="Calibri" w:eastAsia="方正仿宋_GBK" w:cs="Calibri"/>
          <w:sz w:val="24"/>
          <w:szCs w:val="24"/>
        </w:rPr>
        <w:t>①</w:t>
      </w:r>
      <w:r>
        <w:rPr>
          <w:rFonts w:hint="eastAsia" w:eastAsia="方正仿宋_GBK"/>
          <w:sz w:val="24"/>
          <w:szCs w:val="24"/>
        </w:rPr>
        <w:t>质量保证期过后，供应商和制造商应同样提供免费电话咨询服务，并应承诺提供产品上门维护服务。</w:t>
      </w:r>
    </w:p>
    <w:p>
      <w:pPr>
        <w:snapToGrid w:val="0"/>
        <w:spacing w:line="440" w:lineRule="exact"/>
        <w:ind w:firstLine="480" w:firstLineChars="200"/>
        <w:rPr>
          <w:rFonts w:hint="eastAsia" w:eastAsia="方正仿宋_GBK"/>
          <w:sz w:val="24"/>
          <w:szCs w:val="24"/>
        </w:rPr>
      </w:pPr>
      <w:r>
        <w:rPr>
          <w:rFonts w:ascii="Calibri" w:hAnsi="Calibri" w:eastAsia="方正仿宋_GBK" w:cs="Calibri"/>
          <w:sz w:val="24"/>
          <w:szCs w:val="24"/>
        </w:rPr>
        <w:t>②</w:t>
      </w:r>
      <w:r>
        <w:rPr>
          <w:rFonts w:hint="eastAsia" w:eastAsia="方正仿宋_GBK"/>
          <w:sz w:val="24"/>
          <w:szCs w:val="24"/>
        </w:rPr>
        <w:t>质量保证期过后，采购人需要继续由原供应商和制造商提供售后服务的，该供应商和制造商应以优惠价格提供售后服务。</w:t>
      </w:r>
    </w:p>
    <w:p>
      <w:pPr>
        <w:pStyle w:val="5"/>
        <w:spacing w:line="400" w:lineRule="exact"/>
        <w:rPr>
          <w:rFonts w:ascii="Times New Roman" w:hAnsi="Times New Roman" w:eastAsia="仿宋"/>
          <w:b/>
          <w:sz w:val="24"/>
          <w:szCs w:val="24"/>
        </w:rPr>
      </w:pPr>
      <w:r>
        <w:rPr>
          <w:rFonts w:hint="eastAsia" w:ascii="Times New Roman" w:hAnsi="Times New Roman" w:eastAsia="仿宋"/>
          <w:b/>
          <w:sz w:val="24"/>
          <w:szCs w:val="24"/>
        </w:rPr>
        <w:t>四、付款方式</w:t>
      </w:r>
      <w:bookmarkEnd w:id="29"/>
      <w:bookmarkEnd w:id="30"/>
      <w:bookmarkEnd w:id="31"/>
      <w:bookmarkEnd w:id="32"/>
    </w:p>
    <w:p>
      <w:pPr>
        <w:widowControl/>
        <w:snapToGrid w:val="0"/>
        <w:spacing w:line="400" w:lineRule="exact"/>
        <w:ind w:firstLine="480" w:firstLineChars="200"/>
        <w:jc w:val="left"/>
        <w:rPr>
          <w:rFonts w:ascii="方正仿宋_GBK" w:hAnsi="宋体" w:eastAsia="方正仿宋_GBK" w:cs="宋体"/>
          <w:kern w:val="0"/>
          <w:sz w:val="24"/>
          <w:szCs w:val="24"/>
        </w:rPr>
      </w:pPr>
      <w:bookmarkStart w:id="33" w:name="_Toc267320054"/>
      <w:bookmarkStart w:id="34" w:name="_Toc27586629"/>
      <w:bookmarkStart w:id="35" w:name="_Toc30407983"/>
      <w:bookmarkStart w:id="36" w:name="_Toc22650754"/>
      <w:r>
        <w:rPr>
          <w:rFonts w:hint="eastAsia" w:ascii="方正仿宋_GBK" w:hAnsi="宋体" w:eastAsia="方正仿宋_GBK" w:cs="宋体"/>
          <w:kern w:val="0"/>
          <w:sz w:val="24"/>
          <w:szCs w:val="24"/>
        </w:rPr>
        <w:t>合同签订后7日内，采购人向中标人支付项目合同额的30%作为预付款，设备进场、安装完成后采购人向中标人支付项目合同额的10%，中标人生态修复措施完成后稳定运行3个月内，当摇金断面水质满足验收标准后，项目进入运营维护期，剩余60%的项目资金分12个月平均按月向中标人支付运营服务费。</w:t>
      </w:r>
    </w:p>
    <w:p>
      <w:pPr>
        <w:widowControl/>
        <w:snapToGrid w:val="0"/>
        <w:spacing w:line="400" w:lineRule="exact"/>
        <w:ind w:firstLine="480" w:firstLineChars="200"/>
        <w:jc w:val="lef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当考核断面当月化学需氧量、高锰酸盐指数、总磷月均值浓度均达到考核验收标准时，全额支付当月运营服务费。当考核断面当月化学需氧量、高锰酸盐指数、总磷月均值浓度任一项未达到考核验收标准时，不予支付当月运营服务费。当考核断面化学需氧量、高锰酸盐指数、总磷年均值浓度不满足地表水Ⅲ类标准，采购人不予支付所有服务费，并对已付服务费进行追回。</w:t>
      </w:r>
    </w:p>
    <w:p>
      <w:pPr>
        <w:widowControl/>
        <w:snapToGrid w:val="0"/>
        <w:spacing w:line="400" w:lineRule="exact"/>
        <w:ind w:firstLine="482" w:firstLineChars="200"/>
        <w:jc w:val="left"/>
        <w:rPr>
          <w:rFonts w:ascii="方正仿宋_GBK" w:hAnsi="宋体" w:eastAsia="方正仿宋_GBK" w:cs="宋体"/>
          <w:b/>
          <w:kern w:val="0"/>
          <w:sz w:val="24"/>
          <w:szCs w:val="24"/>
        </w:rPr>
      </w:pPr>
      <w:r>
        <w:rPr>
          <w:rFonts w:hint="eastAsia" w:ascii="方正仿宋_GBK" w:hAnsi="宋体" w:eastAsia="方正仿宋_GBK" w:cs="宋体"/>
          <w:b/>
          <w:kern w:val="0"/>
          <w:sz w:val="24"/>
          <w:szCs w:val="24"/>
        </w:rPr>
        <w:t>特别说明：中标人未按合同约定、投标文件等提供相应物品或完成相关工作内容的，采购人对该部分费用可不予支付；中标人提供的物品或工作内容明显低于市场公平价值的，采购人可按市场公平价值对该部分予以调整。</w:t>
      </w:r>
    </w:p>
    <w:p>
      <w:pPr>
        <w:pStyle w:val="5"/>
        <w:spacing w:line="400" w:lineRule="exact"/>
        <w:rPr>
          <w:rFonts w:ascii="Times New Roman" w:hAnsi="Times New Roman" w:eastAsia="仿宋"/>
          <w:b/>
          <w:sz w:val="24"/>
          <w:szCs w:val="24"/>
        </w:rPr>
      </w:pPr>
      <w:r>
        <w:rPr>
          <w:rFonts w:hint="eastAsia" w:ascii="Times New Roman" w:hAnsi="Times New Roman" w:eastAsia="仿宋"/>
          <w:b/>
          <w:sz w:val="24"/>
          <w:szCs w:val="24"/>
        </w:rPr>
        <w:t>五、</w:t>
      </w:r>
      <w:bookmarkEnd w:id="33"/>
      <w:r>
        <w:rPr>
          <w:rFonts w:hint="eastAsia" w:ascii="Times New Roman" w:hAnsi="Times New Roman" w:eastAsia="仿宋"/>
          <w:b/>
          <w:sz w:val="24"/>
          <w:szCs w:val="24"/>
        </w:rPr>
        <w:t>知识产权</w:t>
      </w:r>
      <w:bookmarkEnd w:id="34"/>
      <w:bookmarkEnd w:id="35"/>
    </w:p>
    <w:p>
      <w:pPr>
        <w:snapToGrid w:val="0"/>
        <w:spacing w:line="400" w:lineRule="exact"/>
        <w:ind w:firstLine="480" w:firstLineChars="200"/>
        <w:rPr>
          <w:rFonts w:ascii="方正仿宋_GBK" w:hAnsi="宋体" w:eastAsia="方正仿宋_GBK"/>
          <w:sz w:val="24"/>
          <w:szCs w:val="24"/>
          <w:lang w:val="en-GB"/>
        </w:rPr>
      </w:pPr>
      <w:r>
        <w:rPr>
          <w:rFonts w:hint="eastAsia" w:ascii="方正仿宋_GBK" w:hAnsi="宋体" w:eastAsia="方正仿宋_GBK"/>
          <w:sz w:val="24"/>
          <w:szCs w:val="24"/>
          <w:lang w:val="en-GB"/>
        </w:rPr>
        <w:t>（一）采购人在中华人民共和国境内使用中标人提供的货物及服务时免受第三方提出的侵犯其专利权或其它知识产权的起诉。如果第三方提出侵权指控，中标人应承担由此而引起的一切法律责任和费用。</w:t>
      </w:r>
    </w:p>
    <w:p>
      <w:pPr>
        <w:snapToGrid w:val="0"/>
        <w:spacing w:line="400" w:lineRule="exact"/>
        <w:ind w:firstLine="480" w:firstLineChars="200"/>
        <w:rPr>
          <w:rFonts w:ascii="方正仿宋_GBK" w:hAnsi="宋体" w:eastAsia="方正仿宋_GBK"/>
          <w:sz w:val="24"/>
          <w:szCs w:val="24"/>
          <w:lang w:val="en-GB"/>
        </w:rPr>
      </w:pPr>
      <w:r>
        <w:rPr>
          <w:rFonts w:hint="eastAsia" w:ascii="方正仿宋_GBK" w:hAnsi="宋体" w:eastAsia="方正仿宋_GBK"/>
          <w:sz w:val="24"/>
          <w:szCs w:val="24"/>
          <w:lang w:val="en-GB"/>
        </w:rPr>
        <w:t>（二）成果及知识产权归采购人所有。</w:t>
      </w:r>
    </w:p>
    <w:p>
      <w:pPr>
        <w:pStyle w:val="5"/>
        <w:spacing w:line="400" w:lineRule="exact"/>
        <w:rPr>
          <w:rFonts w:ascii="Times New Roman" w:hAnsi="Times New Roman" w:eastAsia="仿宋"/>
          <w:b/>
          <w:sz w:val="24"/>
          <w:szCs w:val="24"/>
        </w:rPr>
      </w:pPr>
      <w:bookmarkStart w:id="37" w:name="_Toc30407984"/>
      <w:bookmarkStart w:id="38" w:name="_Toc27586630"/>
      <w:r>
        <w:rPr>
          <w:rFonts w:hint="eastAsia" w:ascii="Times New Roman" w:hAnsi="Times New Roman" w:eastAsia="仿宋"/>
          <w:b/>
          <w:sz w:val="24"/>
          <w:szCs w:val="24"/>
        </w:rPr>
        <w:t>六、其他</w:t>
      </w:r>
      <w:bookmarkEnd w:id="36"/>
      <w:bookmarkEnd w:id="37"/>
      <w:bookmarkEnd w:id="38"/>
    </w:p>
    <w:p>
      <w:pPr>
        <w:snapToGrid w:val="0"/>
        <w:spacing w:line="400" w:lineRule="exact"/>
        <w:ind w:firstLine="480" w:firstLineChars="200"/>
        <w:rPr>
          <w:rFonts w:ascii="方正仿宋_GBK" w:hAnsi="宋体" w:eastAsia="方正仿宋_GBK"/>
          <w:sz w:val="24"/>
          <w:szCs w:val="24"/>
          <w:lang w:val="en-GB"/>
        </w:rPr>
      </w:pPr>
      <w:r>
        <w:rPr>
          <w:rFonts w:hint="eastAsia" w:ascii="方正仿宋_GBK" w:hAnsi="宋体" w:eastAsia="方正仿宋_GBK"/>
          <w:sz w:val="24"/>
          <w:szCs w:val="24"/>
          <w:lang w:val="en-GB"/>
        </w:rPr>
        <w:t>（一）投标人必须在投标文件中对以上条款和服务承诺明确列出，承诺内容必须达到本篇及招标文件其他条款的要求。</w:t>
      </w:r>
    </w:p>
    <w:p>
      <w:pPr>
        <w:snapToGrid w:val="0"/>
        <w:spacing w:line="400" w:lineRule="exact"/>
        <w:ind w:firstLine="480" w:firstLineChars="200"/>
        <w:rPr>
          <w:rFonts w:ascii="方正仿宋_GBK" w:hAnsi="宋体" w:eastAsia="方正仿宋_GBK"/>
          <w:sz w:val="24"/>
          <w:szCs w:val="24"/>
          <w:lang w:val="en-GB"/>
        </w:rPr>
      </w:pPr>
      <w:r>
        <w:rPr>
          <w:rFonts w:hint="eastAsia" w:ascii="方正仿宋_GBK" w:hAnsi="宋体" w:eastAsia="方正仿宋_GBK"/>
          <w:sz w:val="24"/>
          <w:szCs w:val="24"/>
          <w:lang w:val="en-GB"/>
        </w:rPr>
        <w:t>（二）其他未尽事宜由供需双方在采购合同中详细约定。</w:t>
      </w:r>
      <w:bookmarkEnd w:id="20"/>
      <w:bookmarkEnd w:id="21"/>
      <w:bookmarkEnd w:id="22"/>
    </w:p>
    <w:p>
      <w:pPr>
        <w:pStyle w:val="4"/>
        <w:spacing w:beforeLines="0" w:afterLines="0" w:line="240" w:lineRule="auto"/>
        <w:rPr>
          <w:rFonts w:hint="eastAsia" w:ascii="方正小标宋_GBK" w:eastAsia="方正小标宋_GBK"/>
        </w:rPr>
      </w:pPr>
    </w:p>
    <w:p>
      <w:pPr>
        <w:pStyle w:val="4"/>
        <w:spacing w:beforeLines="0" w:afterLines="0" w:line="240" w:lineRule="auto"/>
        <w:rPr>
          <w:rFonts w:hint="eastAsia" w:ascii="方正小标宋_GBK" w:eastAsia="方正小标宋_GBK"/>
        </w:rPr>
      </w:pPr>
    </w:p>
    <w:p>
      <w:pPr>
        <w:pStyle w:val="4"/>
        <w:spacing w:beforeLines="0" w:afterLines="0" w:line="240" w:lineRule="auto"/>
        <w:rPr>
          <w:rFonts w:hint="eastAsia" w:ascii="方正小标宋_GBK" w:eastAsia="方正小标宋_GBK"/>
        </w:rPr>
      </w:pPr>
    </w:p>
    <w:p>
      <w:pPr>
        <w:pStyle w:val="4"/>
        <w:spacing w:beforeLines="0" w:afterLines="0" w:line="240" w:lineRule="auto"/>
        <w:rPr>
          <w:rFonts w:hint="eastAsia" w:ascii="方正小标宋_GBK" w:eastAsia="方正小标宋_GBK"/>
        </w:rPr>
      </w:pPr>
    </w:p>
    <w:p>
      <w:pPr>
        <w:pStyle w:val="4"/>
        <w:spacing w:beforeLines="0" w:afterLines="0" w:line="240" w:lineRule="auto"/>
        <w:rPr>
          <w:rFonts w:hint="eastAsia" w:ascii="方正小标宋_GBK" w:eastAsia="方正小标宋_GBK"/>
        </w:rPr>
      </w:pPr>
    </w:p>
    <w:p>
      <w:pPr>
        <w:pStyle w:val="4"/>
        <w:spacing w:beforeLines="0" w:afterLines="0" w:line="240" w:lineRule="auto"/>
        <w:rPr>
          <w:rFonts w:hint="eastAsia" w:ascii="方正小标宋_GBK" w:eastAsia="方正小标宋_GBK"/>
        </w:rPr>
      </w:pPr>
    </w:p>
    <w:p>
      <w:pPr>
        <w:pStyle w:val="4"/>
        <w:spacing w:beforeLines="0" w:afterLines="0" w:line="240" w:lineRule="auto"/>
        <w:rPr>
          <w:rFonts w:hint="eastAsia" w:ascii="方正小标宋_GBK" w:eastAsia="方正小标宋_GBK"/>
        </w:rPr>
      </w:pPr>
    </w:p>
    <w:p>
      <w:pPr>
        <w:pStyle w:val="4"/>
        <w:spacing w:beforeLines="0" w:afterLines="0" w:line="240" w:lineRule="auto"/>
        <w:rPr>
          <w:rFonts w:hint="eastAsia" w:ascii="方正小标宋_GBK" w:eastAsia="方正小标宋_GBK"/>
        </w:rPr>
      </w:pPr>
    </w:p>
    <w:p>
      <w:pPr>
        <w:pStyle w:val="4"/>
        <w:spacing w:beforeLines="0" w:afterLines="0" w:line="240" w:lineRule="auto"/>
        <w:rPr>
          <w:rFonts w:hint="eastAsia" w:ascii="方正小标宋_GBK" w:eastAsia="方正小标宋_GBK"/>
        </w:rPr>
      </w:pPr>
    </w:p>
    <w:p>
      <w:pPr>
        <w:pStyle w:val="4"/>
        <w:spacing w:beforeLines="0" w:afterLines="0" w:line="240" w:lineRule="auto"/>
        <w:rPr>
          <w:rFonts w:hint="eastAsia" w:ascii="方正小标宋_GBK" w:eastAsia="方正小标宋_GBK"/>
        </w:rPr>
      </w:pPr>
    </w:p>
    <w:p>
      <w:pPr>
        <w:rPr>
          <w:rFonts w:hint="eastAsia"/>
        </w:rPr>
      </w:pPr>
    </w:p>
    <w:p>
      <w:pPr>
        <w:rPr>
          <w:rFonts w:hint="eastAsia"/>
        </w:rPr>
      </w:pPr>
    </w:p>
    <w:p>
      <w:pPr>
        <w:ind w:firstLine="1760" w:firstLineChars="400"/>
        <w:rPr>
          <w:rFonts w:hint="eastAsia" w:ascii="方正小标宋_GBK" w:eastAsia="方正小标宋_GBK"/>
          <w:sz w:val="44"/>
          <w:szCs w:val="22"/>
        </w:rPr>
      </w:pPr>
    </w:p>
    <w:p>
      <w:pPr>
        <w:ind w:firstLine="1760" w:firstLineChars="400"/>
        <w:rPr>
          <w:rFonts w:hint="eastAsia" w:ascii="方正小标宋_GBK" w:eastAsia="方正小标宋_GBK"/>
          <w:sz w:val="44"/>
          <w:szCs w:val="22"/>
        </w:rPr>
      </w:pPr>
    </w:p>
    <w:p>
      <w:pPr>
        <w:ind w:firstLine="1760" w:firstLineChars="400"/>
        <w:rPr>
          <w:rFonts w:hint="eastAsia" w:ascii="方正小标宋_GBK" w:eastAsia="方正小标宋_GBK"/>
          <w:sz w:val="44"/>
          <w:szCs w:val="22"/>
        </w:rPr>
      </w:pPr>
    </w:p>
    <w:p>
      <w:pPr>
        <w:ind w:firstLine="1760" w:firstLineChars="400"/>
        <w:rPr>
          <w:rFonts w:hint="eastAsia" w:ascii="方正小标宋_GBK" w:eastAsia="方正小标宋_GBK"/>
          <w:sz w:val="44"/>
          <w:szCs w:val="22"/>
        </w:rPr>
      </w:pPr>
    </w:p>
    <w:p>
      <w:pPr>
        <w:ind w:firstLine="1760" w:firstLineChars="400"/>
        <w:rPr>
          <w:rFonts w:hint="eastAsia" w:ascii="方正小标宋_GBK" w:eastAsia="方正小标宋_GBK"/>
          <w:sz w:val="44"/>
          <w:szCs w:val="22"/>
        </w:rPr>
      </w:pPr>
    </w:p>
    <w:p>
      <w:pPr>
        <w:ind w:firstLine="1760" w:firstLineChars="400"/>
        <w:rPr>
          <w:rFonts w:hint="eastAsia" w:ascii="方正小标宋_GBK" w:eastAsia="方正小标宋_GBK"/>
          <w:sz w:val="44"/>
          <w:szCs w:val="22"/>
        </w:rPr>
      </w:pPr>
    </w:p>
    <w:p>
      <w:pPr>
        <w:ind w:firstLine="1760" w:firstLineChars="400"/>
        <w:rPr>
          <w:rFonts w:hint="eastAsia" w:ascii="方正小标宋_GBK" w:eastAsia="方正小标宋_GBK"/>
          <w:sz w:val="44"/>
          <w:szCs w:val="22"/>
        </w:rPr>
      </w:pPr>
    </w:p>
    <w:p>
      <w:pPr>
        <w:ind w:firstLine="1760" w:firstLineChars="400"/>
        <w:rPr>
          <w:rFonts w:hint="eastAsia" w:ascii="方正小标宋_GBK" w:eastAsia="方正小标宋_GBK"/>
          <w:sz w:val="44"/>
          <w:szCs w:val="22"/>
        </w:rPr>
      </w:pPr>
      <w:r>
        <w:rPr>
          <w:rFonts w:hint="eastAsia" w:ascii="方正小标宋_GBK" w:eastAsia="方正小标宋_GBK"/>
          <w:sz w:val="44"/>
          <w:szCs w:val="22"/>
        </w:rPr>
        <w:t>第四篇  资格审查及评标办法</w:t>
      </w:r>
      <w:bookmarkEnd w:id="23"/>
      <w:bookmarkEnd w:id="24"/>
    </w:p>
    <w:p>
      <w:pPr>
        <w:pStyle w:val="5"/>
        <w:spacing w:line="400" w:lineRule="exact"/>
        <w:ind w:firstLine="482" w:firstLineChars="200"/>
        <w:rPr>
          <w:rFonts w:hint="eastAsia" w:ascii="方正仿宋_GBK" w:eastAsia="方正仿宋_GBK"/>
          <w:b/>
          <w:sz w:val="24"/>
          <w:szCs w:val="24"/>
        </w:rPr>
      </w:pPr>
      <w:bookmarkStart w:id="39" w:name="_Toc493506298"/>
      <w:bookmarkStart w:id="40" w:name="_Toc492721015"/>
      <w:bookmarkStart w:id="41" w:name="_Toc14970"/>
      <w:r>
        <w:rPr>
          <w:rFonts w:hint="eastAsia" w:ascii="方正仿宋_GBK" w:eastAsia="方正仿宋_GBK"/>
          <w:b/>
          <w:sz w:val="24"/>
          <w:szCs w:val="24"/>
        </w:rPr>
        <w:t>一、资格审查</w:t>
      </w:r>
      <w:bookmarkEnd w:id="39"/>
      <w:bookmarkEnd w:id="40"/>
      <w:bookmarkEnd w:id="41"/>
    </w:p>
    <w:p>
      <w:pPr>
        <w:snapToGrid w:val="0"/>
        <w:spacing w:line="400" w:lineRule="exact"/>
        <w:ind w:firstLine="480" w:firstLineChars="200"/>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依据政府采购相关法律法规规定,由采购人或集中采购机构对投标文件中的资格证明文件进行审查。资格审查资料表如下：</w:t>
      </w:r>
    </w:p>
    <w:tbl>
      <w:tblPr>
        <w:tblStyle w:val="6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709"/>
        <w:gridCol w:w="4393"/>
        <w:gridCol w:w="3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676" w:type="dxa"/>
            <w:vAlign w:val="center"/>
          </w:tcPr>
          <w:p>
            <w:pPr>
              <w:spacing w:line="240" w:lineRule="exact"/>
              <w:jc w:val="center"/>
              <w:rPr>
                <w:rFonts w:hint="eastAsia" w:ascii="方正仿宋_GBK" w:hAnsi="方正仿宋_GBK" w:eastAsia="方正仿宋_GBK" w:cs="方正仿宋_GBK"/>
                <w:b/>
                <w:kern w:val="0"/>
                <w:sz w:val="21"/>
                <w:szCs w:val="21"/>
              </w:rPr>
            </w:pPr>
            <w:r>
              <w:rPr>
                <w:rFonts w:hint="eastAsia" w:ascii="方正仿宋_GBK" w:hAnsi="方正仿宋_GBK" w:eastAsia="方正仿宋_GBK" w:cs="方正仿宋_GBK"/>
                <w:b/>
                <w:kern w:val="0"/>
                <w:sz w:val="21"/>
                <w:szCs w:val="21"/>
              </w:rPr>
              <w:t>序号</w:t>
            </w:r>
          </w:p>
        </w:tc>
        <w:tc>
          <w:tcPr>
            <w:tcW w:w="5102" w:type="dxa"/>
            <w:gridSpan w:val="2"/>
            <w:vAlign w:val="center"/>
          </w:tcPr>
          <w:p>
            <w:pPr>
              <w:spacing w:line="240" w:lineRule="exact"/>
              <w:jc w:val="center"/>
              <w:rPr>
                <w:rFonts w:hint="eastAsia" w:ascii="方正仿宋_GBK" w:hAnsi="方正仿宋_GBK" w:eastAsia="方正仿宋_GBK" w:cs="方正仿宋_GBK"/>
                <w:b/>
                <w:kern w:val="0"/>
                <w:sz w:val="21"/>
                <w:szCs w:val="21"/>
              </w:rPr>
            </w:pPr>
            <w:r>
              <w:rPr>
                <w:rFonts w:hint="eastAsia" w:ascii="方正仿宋_GBK" w:hAnsi="方正仿宋_GBK" w:eastAsia="方正仿宋_GBK" w:cs="方正仿宋_GBK"/>
                <w:b/>
                <w:kern w:val="0"/>
                <w:sz w:val="21"/>
                <w:szCs w:val="21"/>
              </w:rPr>
              <w:t>检查因素</w:t>
            </w:r>
          </w:p>
        </w:tc>
        <w:tc>
          <w:tcPr>
            <w:tcW w:w="3850" w:type="dxa"/>
            <w:vAlign w:val="center"/>
          </w:tcPr>
          <w:p>
            <w:pPr>
              <w:spacing w:line="240" w:lineRule="exact"/>
              <w:jc w:val="center"/>
              <w:rPr>
                <w:rFonts w:hint="eastAsia" w:ascii="方正仿宋_GBK" w:hAnsi="方正仿宋_GBK" w:eastAsia="方正仿宋_GBK" w:cs="方正仿宋_GBK"/>
                <w:b/>
                <w:kern w:val="0"/>
                <w:sz w:val="21"/>
                <w:szCs w:val="21"/>
              </w:rPr>
            </w:pPr>
            <w:r>
              <w:rPr>
                <w:rFonts w:hint="eastAsia" w:ascii="方正仿宋_GBK" w:hAnsi="方正仿宋_GBK" w:eastAsia="方正仿宋_GBK" w:cs="方正仿宋_GBK"/>
                <w:b/>
                <w:kern w:val="0"/>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Merge w:val="restart"/>
            <w:vAlign w:val="center"/>
          </w:tcPr>
          <w:p>
            <w:pPr>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c>
          <w:tcPr>
            <w:tcW w:w="709" w:type="dxa"/>
            <w:vMerge w:val="restart"/>
            <w:vAlign w:val="center"/>
          </w:tcPr>
          <w:p>
            <w:pPr>
              <w:spacing w:line="240" w:lineRule="exact"/>
              <w:rPr>
                <w:rFonts w:hint="eastAsia"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lang w:val="zh-CN"/>
              </w:rPr>
              <w:t>投标人应符合的基本资格条件</w:t>
            </w:r>
          </w:p>
        </w:tc>
        <w:tc>
          <w:tcPr>
            <w:tcW w:w="4393"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（1）具有独立承担民事责任的能力</w:t>
            </w:r>
          </w:p>
        </w:tc>
        <w:tc>
          <w:tcPr>
            <w:tcW w:w="3850"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投标人营业执照（副本）或事业单位法人证书（副本）或个体工商户营业执照或有效的自然人身份证明、组织机构代码证复印件（注</w:t>
            </w: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eq \o\ac(○,</w:instrText>
            </w:r>
            <w:r>
              <w:rPr>
                <w:rFonts w:hint="eastAsia" w:ascii="方正仿宋_GBK" w:hAnsi="方正仿宋_GBK" w:eastAsia="方正仿宋_GBK" w:cs="方正仿宋_GBK"/>
                <w:position w:val="2"/>
                <w:sz w:val="14"/>
                <w:szCs w:val="21"/>
              </w:rPr>
              <w:instrText xml:space="preserve">2</w:instrText>
            </w:r>
            <w:r>
              <w:rPr>
                <w:rFonts w:hint="eastAsia" w:ascii="方正仿宋_GBK" w:hAnsi="方正仿宋_GBK" w:eastAsia="方正仿宋_GBK" w:cs="方正仿宋_GBK"/>
                <w:sz w:val="21"/>
                <w:szCs w:val="21"/>
              </w:rPr>
              <w:instrText xml:space="preserve">)</w:instrText>
            </w:r>
            <w:r>
              <w:rPr>
                <w:rFonts w:hint="eastAsia" w:ascii="方正仿宋_GBK" w:hAnsi="方正仿宋_GBK" w:eastAsia="方正仿宋_GBK" w:cs="方正仿宋_GBK"/>
                <w:sz w:val="21"/>
                <w:szCs w:val="21"/>
              </w:rPr>
              <w:fldChar w:fldCharType="end"/>
            </w:r>
            <w:r>
              <w:rPr>
                <w:rFonts w:hint="eastAsia" w:ascii="方正仿宋_GBK" w:hAnsi="方正仿宋_GBK" w:eastAsia="方正仿宋_GBK" w:cs="方正仿宋_GBK"/>
                <w:sz w:val="21"/>
                <w:szCs w:val="21"/>
              </w:rPr>
              <w:t xml:space="preserve">）； </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投标人法定代表人身份证明和法定代表人授权代表委托书。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Merge w:val="continue"/>
            <w:vAlign w:val="center"/>
          </w:tcPr>
          <w:p>
            <w:pPr>
              <w:spacing w:line="240" w:lineRule="exact"/>
              <w:jc w:val="center"/>
              <w:rPr>
                <w:rFonts w:hint="eastAsia" w:ascii="方正仿宋_GBK" w:hAnsi="方正仿宋_GBK" w:eastAsia="方正仿宋_GBK" w:cs="方正仿宋_GBK"/>
                <w:sz w:val="21"/>
                <w:szCs w:val="21"/>
              </w:rPr>
            </w:pPr>
          </w:p>
        </w:tc>
        <w:tc>
          <w:tcPr>
            <w:tcW w:w="709" w:type="dxa"/>
            <w:vMerge w:val="continue"/>
            <w:vAlign w:val="center"/>
          </w:tcPr>
          <w:p>
            <w:pPr>
              <w:spacing w:line="240" w:lineRule="exact"/>
              <w:rPr>
                <w:rFonts w:hint="eastAsia" w:ascii="方正仿宋_GBK" w:hAnsi="方正仿宋_GBK" w:eastAsia="方正仿宋_GBK" w:cs="方正仿宋_GBK"/>
                <w:sz w:val="21"/>
                <w:szCs w:val="21"/>
                <w:lang w:val="zh-CN"/>
              </w:rPr>
            </w:pPr>
          </w:p>
        </w:tc>
        <w:tc>
          <w:tcPr>
            <w:tcW w:w="4393"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zh-CN"/>
              </w:rPr>
              <w:t>（2）</w:t>
            </w:r>
            <w:r>
              <w:rPr>
                <w:rFonts w:hint="eastAsia" w:ascii="方正仿宋_GBK" w:hAnsi="方正仿宋_GBK" w:eastAsia="方正仿宋_GBK" w:cs="方正仿宋_GBK"/>
                <w:sz w:val="21"/>
                <w:szCs w:val="21"/>
              </w:rPr>
              <w:t>具有良好的商业信誉和健全的财务会计制度</w:t>
            </w:r>
          </w:p>
        </w:tc>
        <w:tc>
          <w:tcPr>
            <w:tcW w:w="3850"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提供</w:t>
            </w:r>
            <w:r>
              <w:rPr>
                <w:rFonts w:hint="eastAsia" w:ascii="方正仿宋_GBK" w:hAnsi="方正仿宋_GBK" w:eastAsia="方正仿宋_GBK" w:cs="方正仿宋_GBK"/>
                <w:sz w:val="21"/>
                <w:szCs w:val="21"/>
                <w:u w:val="single"/>
              </w:rPr>
              <w:t>2019</w:t>
            </w:r>
            <w:r>
              <w:rPr>
                <w:rFonts w:hint="eastAsia" w:ascii="方正仿宋_GBK" w:hAnsi="方正仿宋_GBK" w:eastAsia="方正仿宋_GBK" w:cs="方正仿宋_GBK"/>
                <w:sz w:val="21"/>
                <w:szCs w:val="21"/>
              </w:rPr>
              <w:t>年度财务状况报告（表）或其基本帐户开户银行出具的资信证明复印件，本年度新成立或成立不满一年的组织和自然人无法提供财务状况报告（表）的，可提供银行出具的资信证明复印件。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Merge w:val="continue"/>
            <w:vAlign w:val="center"/>
          </w:tcPr>
          <w:p>
            <w:pPr>
              <w:spacing w:line="240" w:lineRule="exact"/>
              <w:jc w:val="center"/>
              <w:rPr>
                <w:rFonts w:hint="eastAsia" w:ascii="方正仿宋_GBK" w:hAnsi="方正仿宋_GBK" w:eastAsia="方正仿宋_GBK" w:cs="方正仿宋_GBK"/>
                <w:sz w:val="21"/>
                <w:szCs w:val="21"/>
              </w:rPr>
            </w:pPr>
          </w:p>
        </w:tc>
        <w:tc>
          <w:tcPr>
            <w:tcW w:w="709" w:type="dxa"/>
            <w:vMerge w:val="continue"/>
            <w:vAlign w:val="center"/>
          </w:tcPr>
          <w:p>
            <w:pPr>
              <w:spacing w:line="240" w:lineRule="exact"/>
              <w:rPr>
                <w:rFonts w:hint="eastAsia" w:ascii="方正仿宋_GBK" w:hAnsi="方正仿宋_GBK" w:eastAsia="方正仿宋_GBK" w:cs="方正仿宋_GBK"/>
                <w:sz w:val="21"/>
                <w:szCs w:val="21"/>
                <w:lang w:val="zh-CN"/>
              </w:rPr>
            </w:pPr>
          </w:p>
        </w:tc>
        <w:tc>
          <w:tcPr>
            <w:tcW w:w="4393" w:type="dxa"/>
            <w:vAlign w:val="center"/>
          </w:tcPr>
          <w:p>
            <w:pPr>
              <w:spacing w:line="240" w:lineRule="exact"/>
              <w:rPr>
                <w:rFonts w:hint="eastAsia"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lang w:val="zh-CN"/>
              </w:rPr>
              <w:t>（3）具有履行合同所必需的设备和专业技术能力</w:t>
            </w:r>
          </w:p>
        </w:tc>
        <w:tc>
          <w:tcPr>
            <w:tcW w:w="3850"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投标人提供书面声明或相关证明材料（见格式文件）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Merge w:val="continue"/>
            <w:vAlign w:val="center"/>
          </w:tcPr>
          <w:p>
            <w:pPr>
              <w:spacing w:line="240" w:lineRule="exact"/>
              <w:jc w:val="center"/>
              <w:rPr>
                <w:rFonts w:hint="eastAsia" w:ascii="方正仿宋_GBK" w:hAnsi="方正仿宋_GBK" w:eastAsia="方正仿宋_GBK" w:cs="方正仿宋_GBK"/>
                <w:sz w:val="21"/>
                <w:szCs w:val="21"/>
              </w:rPr>
            </w:pPr>
          </w:p>
        </w:tc>
        <w:tc>
          <w:tcPr>
            <w:tcW w:w="709" w:type="dxa"/>
            <w:vMerge w:val="continue"/>
            <w:vAlign w:val="center"/>
          </w:tcPr>
          <w:p>
            <w:pPr>
              <w:spacing w:line="240" w:lineRule="exact"/>
              <w:rPr>
                <w:rFonts w:hint="eastAsia" w:ascii="方正仿宋_GBK" w:hAnsi="方正仿宋_GBK" w:eastAsia="方正仿宋_GBK" w:cs="方正仿宋_GBK"/>
                <w:sz w:val="21"/>
                <w:szCs w:val="21"/>
                <w:lang w:val="zh-CN"/>
              </w:rPr>
            </w:pPr>
          </w:p>
        </w:tc>
        <w:tc>
          <w:tcPr>
            <w:tcW w:w="4393" w:type="dxa"/>
            <w:vAlign w:val="center"/>
          </w:tcPr>
          <w:p>
            <w:pPr>
              <w:spacing w:line="240" w:lineRule="exact"/>
              <w:rPr>
                <w:rFonts w:hint="eastAsia"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lang w:val="zh-CN"/>
              </w:rPr>
              <w:t>（4）有依法缴纳税收和社会保障金的良好记录</w:t>
            </w:r>
          </w:p>
        </w:tc>
        <w:tc>
          <w:tcPr>
            <w:tcW w:w="3850" w:type="dxa"/>
            <w:vAlign w:val="center"/>
          </w:tcPr>
          <w:p>
            <w:pPr>
              <w:spacing w:line="240" w:lineRule="exact"/>
              <w:rPr>
                <w:rFonts w:hint="eastAsia"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rPr>
              <w:t>1.税务登记证（副本）复印件（注</w:t>
            </w: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eq \o\ac(○,</w:instrText>
            </w:r>
            <w:r>
              <w:rPr>
                <w:rFonts w:hint="eastAsia" w:ascii="方正仿宋_GBK" w:hAnsi="方正仿宋_GBK" w:eastAsia="方正仿宋_GBK" w:cs="方正仿宋_GBK"/>
                <w:position w:val="2"/>
                <w:sz w:val="14"/>
                <w:szCs w:val="21"/>
              </w:rPr>
              <w:instrText xml:space="preserve">2</w:instrText>
            </w:r>
            <w:r>
              <w:rPr>
                <w:rFonts w:hint="eastAsia" w:ascii="方正仿宋_GBK" w:hAnsi="方正仿宋_GBK" w:eastAsia="方正仿宋_GBK" w:cs="方正仿宋_GBK"/>
                <w:sz w:val="21"/>
                <w:szCs w:val="21"/>
              </w:rPr>
              <w:instrText xml:space="preserve">)</w:instrText>
            </w:r>
            <w:r>
              <w:rPr>
                <w:rFonts w:hint="eastAsia" w:ascii="方正仿宋_GBK" w:hAnsi="方正仿宋_GBK" w:eastAsia="方正仿宋_GBK" w:cs="方正仿宋_GBK"/>
                <w:sz w:val="21"/>
                <w:szCs w:val="21"/>
              </w:rPr>
              <w:fldChar w:fldCharType="end"/>
            </w:r>
            <w:r>
              <w:rPr>
                <w:rFonts w:hint="eastAsia" w:ascii="方正仿宋_GBK" w:hAnsi="方正仿宋_GBK" w:eastAsia="方正仿宋_GBK" w:cs="方正仿宋_GBK"/>
                <w:sz w:val="21"/>
                <w:szCs w:val="21"/>
              </w:rPr>
              <w:t>）及开标日前三个月缴纳税收的证明材料复印件</w:t>
            </w:r>
            <w:r>
              <w:rPr>
                <w:rFonts w:hint="eastAsia" w:ascii="方正仿宋_GBK" w:hAnsi="方正仿宋_GBK" w:eastAsia="方正仿宋_GBK" w:cs="方正仿宋_GBK"/>
                <w:sz w:val="21"/>
                <w:szCs w:val="21"/>
                <w:lang w:val="zh-CN"/>
              </w:rPr>
              <w:t>；</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2.开标日前三个月缴纳社会保障金的证明材料复印件（缴纳社会保障金的证明材料指：社会保险登记证（注</w:t>
            </w: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eq \o\ac(○,</w:instrText>
            </w:r>
            <w:r>
              <w:rPr>
                <w:rFonts w:hint="eastAsia" w:ascii="方正仿宋_GBK" w:hAnsi="方正仿宋_GBK" w:eastAsia="方正仿宋_GBK" w:cs="方正仿宋_GBK"/>
                <w:position w:val="2"/>
                <w:sz w:val="14"/>
                <w:szCs w:val="21"/>
              </w:rPr>
              <w:instrText xml:space="preserve">2</w:instrText>
            </w:r>
            <w:r>
              <w:rPr>
                <w:rFonts w:hint="eastAsia" w:ascii="方正仿宋_GBK" w:hAnsi="方正仿宋_GBK" w:eastAsia="方正仿宋_GBK" w:cs="方正仿宋_GBK"/>
                <w:sz w:val="21"/>
                <w:szCs w:val="21"/>
              </w:rPr>
              <w:instrText xml:space="preserve">)</w:instrText>
            </w:r>
            <w:r>
              <w:rPr>
                <w:rFonts w:hint="eastAsia" w:ascii="方正仿宋_GBK" w:hAnsi="方正仿宋_GBK" w:eastAsia="方正仿宋_GBK" w:cs="方正仿宋_GBK"/>
                <w:sz w:val="21"/>
                <w:szCs w:val="21"/>
              </w:rPr>
              <w:fldChar w:fldCharType="end"/>
            </w:r>
            <w:r>
              <w:rPr>
                <w:rFonts w:hint="eastAsia" w:ascii="方正仿宋_GBK" w:hAnsi="方正仿宋_GBK" w:eastAsia="方正仿宋_GBK" w:cs="方正仿宋_GBK"/>
                <w:sz w:val="21"/>
                <w:szCs w:val="21"/>
              </w:rPr>
              <w:t>）或缴纳社会保险的凭据（专用收据或社会保险缴纳清单）。依法免税或不需要缴纳社会保障资金的投标人，应提供相应文件证明其依法免税或不需要缴纳社会保障资金。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Merge w:val="continue"/>
            <w:vAlign w:val="center"/>
          </w:tcPr>
          <w:p>
            <w:pPr>
              <w:spacing w:line="240" w:lineRule="exact"/>
              <w:jc w:val="center"/>
              <w:rPr>
                <w:rFonts w:hint="eastAsia" w:ascii="方正仿宋_GBK" w:hAnsi="方正仿宋_GBK" w:eastAsia="方正仿宋_GBK" w:cs="方正仿宋_GBK"/>
                <w:sz w:val="21"/>
                <w:szCs w:val="21"/>
              </w:rPr>
            </w:pPr>
          </w:p>
        </w:tc>
        <w:tc>
          <w:tcPr>
            <w:tcW w:w="709" w:type="dxa"/>
            <w:vMerge w:val="continue"/>
            <w:vAlign w:val="center"/>
          </w:tcPr>
          <w:p>
            <w:pPr>
              <w:spacing w:line="240" w:lineRule="exact"/>
              <w:rPr>
                <w:rFonts w:hint="eastAsia" w:ascii="方正仿宋_GBK" w:hAnsi="方正仿宋_GBK" w:eastAsia="方正仿宋_GBK" w:cs="方正仿宋_GBK"/>
                <w:sz w:val="21"/>
                <w:szCs w:val="21"/>
                <w:lang w:val="zh-CN"/>
              </w:rPr>
            </w:pPr>
          </w:p>
        </w:tc>
        <w:tc>
          <w:tcPr>
            <w:tcW w:w="4393" w:type="dxa"/>
            <w:vAlign w:val="center"/>
          </w:tcPr>
          <w:p>
            <w:pPr>
              <w:spacing w:line="240" w:lineRule="exact"/>
              <w:rPr>
                <w:rFonts w:hint="eastAsia"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rPr>
              <w:t>（5）参加政府采购活动前三年内，在经营活动中没有重大违法记录（注</w:t>
            </w: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eq \o\ac(○,</w:instrText>
            </w:r>
            <w:r>
              <w:rPr>
                <w:rFonts w:hint="eastAsia" w:ascii="方正仿宋_GBK" w:hAnsi="方正仿宋_GBK" w:eastAsia="方正仿宋_GBK" w:cs="方正仿宋_GBK"/>
                <w:position w:val="2"/>
                <w:sz w:val="14"/>
                <w:szCs w:val="21"/>
              </w:rPr>
              <w:instrText xml:space="preserve">3</w:instrText>
            </w:r>
            <w:r>
              <w:rPr>
                <w:rFonts w:hint="eastAsia" w:ascii="方正仿宋_GBK" w:hAnsi="方正仿宋_GBK" w:eastAsia="方正仿宋_GBK" w:cs="方正仿宋_GBK"/>
                <w:sz w:val="21"/>
                <w:szCs w:val="21"/>
              </w:rPr>
              <w:instrText xml:space="preserve">)</w:instrText>
            </w:r>
            <w:r>
              <w:rPr>
                <w:rFonts w:hint="eastAsia" w:ascii="方正仿宋_GBK" w:hAnsi="方正仿宋_GBK" w:eastAsia="方正仿宋_GBK" w:cs="方正仿宋_GBK"/>
                <w:sz w:val="21"/>
                <w:szCs w:val="21"/>
              </w:rPr>
              <w:fldChar w:fldCharType="end"/>
            </w:r>
            <w:r>
              <w:rPr>
                <w:rFonts w:hint="eastAsia" w:ascii="方正仿宋_GBK" w:hAnsi="方正仿宋_GBK" w:eastAsia="方正仿宋_GBK" w:cs="方正仿宋_GBK"/>
                <w:sz w:val="21"/>
                <w:szCs w:val="21"/>
              </w:rPr>
              <w:t>）</w:t>
            </w:r>
          </w:p>
        </w:tc>
        <w:tc>
          <w:tcPr>
            <w:tcW w:w="3850"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1.投标人提供书面声明（见格式文件）；</w:t>
            </w:r>
          </w:p>
          <w:p>
            <w:pPr>
              <w:spacing w:line="240" w:lineRule="exact"/>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sz w:val="21"/>
                <w:szCs w:val="21"/>
              </w:rPr>
              <w:t>2.采购人或集中采购机构将通过 “信用中国”网站(www.creditchina.gov.cn)、"中国政府采购网"(www.ccgp.gov.cn)等渠道查询投标人信用记录，对列入失信被执行人、重大税收违法案件当事人名单、政府采购严重违法失信行为记录名单的投标人将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trPr>
        <w:tc>
          <w:tcPr>
            <w:tcW w:w="676" w:type="dxa"/>
            <w:vMerge w:val="continue"/>
            <w:vAlign w:val="center"/>
          </w:tcPr>
          <w:p>
            <w:pPr>
              <w:spacing w:line="240" w:lineRule="exact"/>
              <w:jc w:val="center"/>
              <w:rPr>
                <w:rFonts w:hint="eastAsia" w:ascii="方正仿宋_GBK" w:hAnsi="方正仿宋_GBK" w:eastAsia="方正仿宋_GBK" w:cs="方正仿宋_GBK"/>
                <w:sz w:val="21"/>
                <w:szCs w:val="21"/>
              </w:rPr>
            </w:pPr>
          </w:p>
        </w:tc>
        <w:tc>
          <w:tcPr>
            <w:tcW w:w="709" w:type="dxa"/>
            <w:vMerge w:val="continue"/>
            <w:vAlign w:val="center"/>
          </w:tcPr>
          <w:p>
            <w:pPr>
              <w:spacing w:line="240" w:lineRule="exact"/>
              <w:rPr>
                <w:rFonts w:hint="eastAsia" w:ascii="方正仿宋_GBK" w:hAnsi="方正仿宋_GBK" w:eastAsia="方正仿宋_GBK" w:cs="方正仿宋_GBK"/>
                <w:sz w:val="21"/>
                <w:szCs w:val="21"/>
              </w:rPr>
            </w:pPr>
          </w:p>
        </w:tc>
        <w:tc>
          <w:tcPr>
            <w:tcW w:w="4393"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（6）法律、行政法规规定的其他条件</w:t>
            </w:r>
          </w:p>
        </w:tc>
        <w:tc>
          <w:tcPr>
            <w:tcW w:w="3850" w:type="dxa"/>
            <w:vAlign w:val="center"/>
          </w:tcPr>
          <w:p>
            <w:pPr>
              <w:spacing w:line="240" w:lineRule="exact"/>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vAlign w:val="center"/>
          </w:tcPr>
          <w:p>
            <w:pPr>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w:t>
            </w:r>
          </w:p>
        </w:tc>
        <w:tc>
          <w:tcPr>
            <w:tcW w:w="5102" w:type="dxa"/>
            <w:gridSpan w:val="2"/>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特定资格条件</w:t>
            </w:r>
          </w:p>
        </w:tc>
        <w:tc>
          <w:tcPr>
            <w:tcW w:w="3850"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按第一篇“三、投标人资格要求（二）特定资格条件”的要求提交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676" w:type="dxa"/>
            <w:vAlign w:val="center"/>
          </w:tcPr>
          <w:p>
            <w:pPr>
              <w:spacing w:line="240" w:lineRule="exact"/>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p>
        </w:tc>
        <w:tc>
          <w:tcPr>
            <w:tcW w:w="5102" w:type="dxa"/>
            <w:gridSpan w:val="2"/>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投标保证金</w:t>
            </w:r>
          </w:p>
        </w:tc>
        <w:tc>
          <w:tcPr>
            <w:tcW w:w="3850"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按照招标文件的规定提交投标保证金</w:t>
            </w:r>
          </w:p>
        </w:tc>
      </w:tr>
    </w:tbl>
    <w:p>
      <w:pPr>
        <w:snapToGrid w:val="0"/>
        <w:spacing w:line="400" w:lineRule="exact"/>
        <w:ind w:firstLine="480" w:firstLineChars="200"/>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注：</w:t>
      </w:r>
    </w:p>
    <w:p>
      <w:pPr>
        <w:snapToGrid w:val="0"/>
        <w:spacing w:line="400" w:lineRule="exact"/>
        <w:ind w:firstLine="480" w:firstLineChars="200"/>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fldChar w:fldCharType="begin"/>
      </w:r>
      <w:r>
        <w:rPr>
          <w:rFonts w:hint="eastAsia" w:ascii="方正仿宋_GBK" w:hAnsi="方正仿宋_GBK" w:eastAsia="方正仿宋_GBK" w:cs="方正仿宋_GBK"/>
          <w:kern w:val="0"/>
          <w:sz w:val="24"/>
          <w:szCs w:val="24"/>
        </w:rPr>
        <w:instrText xml:space="preserve"> eq \o\ac(○,</w:instrText>
      </w:r>
      <w:r>
        <w:rPr>
          <w:rFonts w:hint="eastAsia" w:ascii="方正仿宋_GBK" w:hAnsi="方正仿宋_GBK" w:eastAsia="方正仿宋_GBK" w:cs="方正仿宋_GBK"/>
          <w:kern w:val="0"/>
          <w:position w:val="3"/>
          <w:sz w:val="16"/>
          <w:szCs w:val="24"/>
        </w:rPr>
        <w:instrText xml:space="preserve">1</w:instrText>
      </w:r>
      <w:r>
        <w:rPr>
          <w:rFonts w:hint="eastAsia" w:ascii="方正仿宋_GBK" w:hAnsi="方正仿宋_GBK" w:eastAsia="方正仿宋_GBK" w:cs="方正仿宋_GBK"/>
          <w:kern w:val="0"/>
          <w:sz w:val="24"/>
          <w:szCs w:val="24"/>
        </w:rPr>
        <w:instrText xml:space="preserve">)</w:instrText>
      </w:r>
      <w:r>
        <w:rPr>
          <w:rFonts w:hint="eastAsia" w:ascii="方正仿宋_GBK" w:hAnsi="方正仿宋_GBK" w:eastAsia="方正仿宋_GBK" w:cs="方正仿宋_GBK"/>
          <w:kern w:val="0"/>
          <w:sz w:val="24"/>
          <w:szCs w:val="24"/>
        </w:rPr>
        <w:fldChar w:fldCharType="end"/>
      </w:r>
      <w:r>
        <w:rPr>
          <w:rFonts w:hint="eastAsia" w:ascii="方正仿宋_GBK" w:hAnsi="方正仿宋_GBK" w:eastAsia="方正仿宋_GBK" w:cs="方正仿宋_GBK"/>
          <w:kern w:val="0"/>
          <w:sz w:val="24"/>
          <w:szCs w:val="24"/>
        </w:rPr>
        <w:t>以联合体投标的，共同投标协议中应确定主办方（主体），</w:t>
      </w:r>
      <w:r>
        <w:rPr>
          <w:rFonts w:hint="eastAsia" w:ascii="方正仿宋_GBK" w:hAnsi="方正仿宋_GBK" w:eastAsia="方正仿宋_GBK" w:cs="方正仿宋_GBK"/>
          <w:sz w:val="24"/>
        </w:rPr>
        <w:t>代表联合体进行投标和澄清。法定代表人授权委托书由联合体主办方</w:t>
      </w:r>
      <w:r>
        <w:rPr>
          <w:rFonts w:hint="eastAsia" w:ascii="方正仿宋_GBK" w:hAnsi="方正仿宋_GBK" w:eastAsia="方正仿宋_GBK" w:cs="方正仿宋_GBK"/>
          <w:kern w:val="0"/>
          <w:sz w:val="24"/>
          <w:szCs w:val="24"/>
        </w:rPr>
        <w:t>（主体）</w:t>
      </w:r>
      <w:r>
        <w:rPr>
          <w:rFonts w:hint="eastAsia" w:ascii="方正仿宋_GBK" w:hAnsi="方正仿宋_GBK" w:eastAsia="方正仿宋_GBK" w:cs="方正仿宋_GBK"/>
          <w:sz w:val="24"/>
        </w:rPr>
        <w:t>出具。</w:t>
      </w:r>
      <w:r>
        <w:rPr>
          <w:rFonts w:hint="eastAsia" w:ascii="方正仿宋_GBK" w:hAnsi="方正仿宋_GBK" w:eastAsia="方正仿宋_GBK" w:cs="方正仿宋_GBK"/>
          <w:kern w:val="0"/>
          <w:sz w:val="24"/>
          <w:szCs w:val="24"/>
        </w:rPr>
        <w:t>联合体各方均应满足投标人资格要求（详见“第一篇”）。</w:t>
      </w:r>
    </w:p>
    <w:p>
      <w:pPr>
        <w:snapToGrid w:val="0"/>
        <w:spacing w:line="400" w:lineRule="exact"/>
        <w:ind w:firstLine="480" w:firstLineChars="200"/>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fldChar w:fldCharType="begin"/>
      </w:r>
      <w:r>
        <w:rPr>
          <w:rFonts w:hint="eastAsia" w:ascii="方正仿宋_GBK" w:hAnsi="方正仿宋_GBK" w:eastAsia="方正仿宋_GBK" w:cs="方正仿宋_GBK"/>
          <w:kern w:val="0"/>
          <w:sz w:val="24"/>
          <w:szCs w:val="24"/>
        </w:rPr>
        <w:instrText xml:space="preserve"> eq \o\ac(○,</w:instrText>
      </w:r>
      <w:r>
        <w:rPr>
          <w:rFonts w:hint="eastAsia" w:ascii="方正仿宋_GBK" w:hAnsi="方正仿宋_GBK" w:eastAsia="方正仿宋_GBK" w:cs="方正仿宋_GBK"/>
          <w:kern w:val="0"/>
          <w:position w:val="3"/>
          <w:sz w:val="16"/>
          <w:szCs w:val="24"/>
        </w:rPr>
        <w:instrText xml:space="preserve">2</w:instrText>
      </w:r>
      <w:r>
        <w:rPr>
          <w:rFonts w:hint="eastAsia" w:ascii="方正仿宋_GBK" w:hAnsi="方正仿宋_GBK" w:eastAsia="方正仿宋_GBK" w:cs="方正仿宋_GBK"/>
          <w:kern w:val="0"/>
          <w:sz w:val="24"/>
          <w:szCs w:val="24"/>
        </w:rPr>
        <w:instrText xml:space="preserve">)</w:instrText>
      </w:r>
      <w:r>
        <w:rPr>
          <w:rFonts w:hint="eastAsia" w:ascii="方正仿宋_GBK" w:hAnsi="方正仿宋_GBK" w:eastAsia="方正仿宋_GBK" w:cs="方正仿宋_GBK"/>
          <w:kern w:val="0"/>
          <w:sz w:val="24"/>
          <w:szCs w:val="24"/>
        </w:rPr>
        <w:fldChar w:fldCharType="end"/>
      </w:r>
      <w:r>
        <w:rPr>
          <w:rFonts w:hint="eastAsia" w:ascii="方正仿宋_GBK" w:hAnsi="方正仿宋_GBK" w:eastAsia="方正仿宋_GBK" w:cs="方正仿宋_GBK"/>
          <w:kern w:val="0"/>
          <w:sz w:val="24"/>
          <w:szCs w:val="24"/>
        </w:rPr>
        <w:t>投标人按“多证合一”登记制度办理营业执照的，组织机构代码证、税务登记证（副本）和社会保险登记证以投标人所提供的营业执照（副本）复印件为准。</w:t>
      </w:r>
    </w:p>
    <w:p>
      <w:pPr>
        <w:snapToGrid w:val="0"/>
        <w:spacing w:line="400" w:lineRule="exact"/>
        <w:ind w:firstLine="480" w:firstLineChars="200"/>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fldChar w:fldCharType="begin"/>
      </w:r>
      <w:r>
        <w:rPr>
          <w:rFonts w:hint="eastAsia" w:ascii="方正仿宋_GBK" w:hAnsi="方正仿宋_GBK" w:eastAsia="方正仿宋_GBK" w:cs="方正仿宋_GBK"/>
          <w:kern w:val="0"/>
          <w:sz w:val="24"/>
          <w:szCs w:val="24"/>
        </w:rPr>
        <w:instrText xml:space="preserve"> eq \o\ac(○,</w:instrText>
      </w:r>
      <w:r>
        <w:rPr>
          <w:rFonts w:hint="eastAsia" w:ascii="方正仿宋_GBK" w:hAnsi="方正仿宋_GBK" w:eastAsia="方正仿宋_GBK" w:cs="方正仿宋_GBK"/>
          <w:kern w:val="0"/>
          <w:position w:val="3"/>
          <w:sz w:val="16"/>
          <w:szCs w:val="24"/>
        </w:rPr>
        <w:instrText xml:space="preserve">3</w:instrText>
      </w:r>
      <w:r>
        <w:rPr>
          <w:rFonts w:hint="eastAsia" w:ascii="方正仿宋_GBK" w:hAnsi="方正仿宋_GBK" w:eastAsia="方正仿宋_GBK" w:cs="方正仿宋_GBK"/>
          <w:kern w:val="0"/>
          <w:sz w:val="24"/>
          <w:szCs w:val="24"/>
        </w:rPr>
        <w:instrText xml:space="preserve">)</w:instrText>
      </w:r>
      <w:r>
        <w:rPr>
          <w:rFonts w:hint="eastAsia" w:ascii="方正仿宋_GBK" w:hAnsi="方正仿宋_GBK" w:eastAsia="方正仿宋_GBK" w:cs="方正仿宋_GBK"/>
          <w:kern w:val="0"/>
          <w:sz w:val="24"/>
          <w:szCs w:val="24"/>
        </w:rPr>
        <w:fldChar w:fldCharType="end"/>
      </w:r>
      <w:r>
        <w:rPr>
          <w:rFonts w:hint="eastAsia" w:ascii="方正仿宋_GBK" w:hAnsi="方正仿宋_GBK" w:eastAsia="方正仿宋_GBK" w:cs="方正仿宋_GBK"/>
          <w:kern w:val="0"/>
          <w:sz w:val="24"/>
          <w:szCs w:val="24"/>
        </w:rPr>
        <w:t>根据《中华人民共和国政府采购法</w:t>
      </w:r>
      <w:bookmarkStart w:id="87" w:name="_GoBack"/>
      <w:bookmarkEnd w:id="87"/>
      <w:r>
        <w:rPr>
          <w:rFonts w:hint="eastAsia" w:ascii="方正仿宋_GBK" w:hAnsi="方正仿宋_GBK" w:eastAsia="方正仿宋_GBK" w:cs="方正仿宋_GBK"/>
          <w:kern w:val="0"/>
          <w:sz w:val="24"/>
          <w:szCs w:val="24"/>
        </w:rPr>
        <w:t>实施条例》第十九条“参加政府采购活动前三年内，在经营活动中没有重大违法记录”中“重大违法记录”，是指投标人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pPr>
        <w:pStyle w:val="5"/>
        <w:spacing w:line="400" w:lineRule="exact"/>
        <w:ind w:firstLine="482" w:firstLineChars="200"/>
        <w:rPr>
          <w:rFonts w:hint="eastAsia" w:ascii="方正仿宋_GBK" w:hAnsi="方正仿宋_GBK" w:eastAsia="方正仿宋_GBK" w:cs="方正仿宋_GBK"/>
          <w:b/>
          <w:sz w:val="24"/>
          <w:szCs w:val="24"/>
        </w:rPr>
      </w:pPr>
      <w:bookmarkStart w:id="42" w:name="_Toc22698"/>
      <w:bookmarkStart w:id="43" w:name="_Toc492721016"/>
      <w:bookmarkStart w:id="44" w:name="_Toc493506299"/>
      <w:r>
        <w:rPr>
          <w:rFonts w:hint="eastAsia" w:ascii="方正仿宋_GBK" w:hAnsi="方正仿宋_GBK" w:eastAsia="方正仿宋_GBK" w:cs="方正仿宋_GBK"/>
          <w:b/>
          <w:sz w:val="24"/>
          <w:szCs w:val="24"/>
        </w:rPr>
        <w:t>二、评标方法</w:t>
      </w:r>
      <w:bookmarkEnd w:id="42"/>
      <w:bookmarkEnd w:id="43"/>
      <w:bookmarkEnd w:id="44"/>
    </w:p>
    <w:p>
      <w:pPr>
        <w:snapToGrid w:val="0"/>
        <w:spacing w:line="400" w:lineRule="exact"/>
        <w:ind w:firstLine="480" w:firstLineChars="200"/>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本项目采用综合评分法进行评标。</w:t>
      </w:r>
    </w:p>
    <w:p>
      <w:pPr>
        <w:spacing w:line="400" w:lineRule="exact"/>
        <w:ind w:firstLine="480" w:firstLineChars="200"/>
        <w:rPr>
          <w:rFonts w:hint="eastAsia" w:eastAsia="仿宋"/>
          <w:kern w:val="0"/>
          <w:sz w:val="24"/>
          <w:szCs w:val="24"/>
        </w:rPr>
      </w:pPr>
      <w:r>
        <w:rPr>
          <w:rFonts w:hint="eastAsia" w:ascii="方正仿宋_GBK" w:hAnsi="方正仿宋_GBK" w:eastAsia="方正仿宋_GBK" w:cs="方正仿宋_GBK"/>
          <w:kern w:val="0"/>
          <w:sz w:val="24"/>
          <w:szCs w:val="24"/>
        </w:rPr>
        <w:t>综合评分法，是指投标文件满足招标文件全部实质性要求且按照评审因素的量化指标评审得分最高的投标人为中标候选人的评标方法。投标人总得分为价格、商务、技术等评定因素分别按照相应权重值计算分项得分后相加，满分为105分，</w:t>
      </w:r>
      <w:r>
        <w:rPr>
          <w:rFonts w:hint="eastAsia" w:eastAsia="仿宋"/>
          <w:kern w:val="0"/>
          <w:sz w:val="24"/>
          <w:szCs w:val="24"/>
        </w:rPr>
        <w:t>其中：5分为政策性加分。</w:t>
      </w:r>
    </w:p>
    <w:p>
      <w:pPr>
        <w:snapToGrid w:val="0"/>
        <w:spacing w:line="400" w:lineRule="exact"/>
        <w:ind w:firstLine="480" w:firstLineChars="200"/>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（一）符合性审查</w:t>
      </w:r>
    </w:p>
    <w:p>
      <w:pPr>
        <w:snapToGrid w:val="0"/>
        <w:spacing w:line="400" w:lineRule="exact"/>
        <w:ind w:firstLine="480" w:firstLineChars="200"/>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评标委员会应当对符合资格的投标人的投标文件进行符合性审查，以确定其是否满足招标文件的实质性要求。符合性审查资料表如下：</w:t>
      </w:r>
    </w:p>
    <w:tbl>
      <w:tblPr>
        <w:tblStyle w:val="60"/>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2"/>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675" w:type="dxa"/>
            <w:vAlign w:val="center"/>
          </w:tcPr>
          <w:p>
            <w:pPr>
              <w:spacing w:line="240" w:lineRule="exact"/>
              <w:jc w:val="center"/>
              <w:rPr>
                <w:rFonts w:hint="eastAsia" w:ascii="方正仿宋_GBK" w:hAnsi="方正仿宋_GBK" w:eastAsia="方正仿宋_GBK" w:cs="方正仿宋_GBK"/>
                <w:b/>
                <w:kern w:val="0"/>
                <w:sz w:val="21"/>
                <w:szCs w:val="21"/>
              </w:rPr>
            </w:pPr>
            <w:r>
              <w:rPr>
                <w:rFonts w:hint="eastAsia" w:ascii="方正仿宋_GBK" w:hAnsi="方正仿宋_GBK" w:eastAsia="方正仿宋_GBK" w:cs="方正仿宋_GBK"/>
                <w:b/>
                <w:kern w:val="0"/>
                <w:sz w:val="21"/>
                <w:szCs w:val="21"/>
              </w:rPr>
              <w:t>序号</w:t>
            </w:r>
          </w:p>
        </w:tc>
        <w:tc>
          <w:tcPr>
            <w:tcW w:w="3546" w:type="dxa"/>
            <w:gridSpan w:val="2"/>
            <w:vAlign w:val="center"/>
          </w:tcPr>
          <w:p>
            <w:pPr>
              <w:spacing w:line="240" w:lineRule="exact"/>
              <w:jc w:val="center"/>
              <w:rPr>
                <w:rFonts w:hint="eastAsia" w:ascii="方正仿宋_GBK" w:hAnsi="方正仿宋_GBK" w:eastAsia="方正仿宋_GBK" w:cs="方正仿宋_GBK"/>
                <w:b/>
                <w:kern w:val="0"/>
                <w:sz w:val="21"/>
                <w:szCs w:val="21"/>
              </w:rPr>
            </w:pPr>
            <w:r>
              <w:rPr>
                <w:rFonts w:hint="eastAsia" w:ascii="方正仿宋_GBK" w:hAnsi="方正仿宋_GBK" w:eastAsia="方正仿宋_GBK" w:cs="方正仿宋_GBK"/>
                <w:b/>
                <w:kern w:val="0"/>
                <w:sz w:val="21"/>
                <w:szCs w:val="21"/>
              </w:rPr>
              <w:t>评审因素</w:t>
            </w:r>
          </w:p>
        </w:tc>
        <w:tc>
          <w:tcPr>
            <w:tcW w:w="5409" w:type="dxa"/>
            <w:vAlign w:val="center"/>
          </w:tcPr>
          <w:p>
            <w:pPr>
              <w:spacing w:line="240" w:lineRule="exact"/>
              <w:jc w:val="center"/>
              <w:rPr>
                <w:rFonts w:hint="eastAsia" w:ascii="方正仿宋_GBK" w:hAnsi="方正仿宋_GBK" w:eastAsia="方正仿宋_GBK" w:cs="方正仿宋_GBK"/>
                <w:b/>
                <w:kern w:val="0"/>
                <w:sz w:val="21"/>
                <w:szCs w:val="21"/>
              </w:rPr>
            </w:pPr>
            <w:r>
              <w:rPr>
                <w:rFonts w:hint="eastAsia" w:ascii="方正仿宋_GBK" w:hAnsi="方正仿宋_GBK" w:eastAsia="方正仿宋_GBK" w:cs="方正仿宋_GBK"/>
                <w:b/>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675" w:type="dxa"/>
            <w:vMerge w:val="restart"/>
            <w:vAlign w:val="center"/>
          </w:tcPr>
          <w:p>
            <w:pPr>
              <w:spacing w:line="240" w:lineRule="exac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1</w:t>
            </w:r>
          </w:p>
        </w:tc>
        <w:tc>
          <w:tcPr>
            <w:tcW w:w="1562" w:type="dxa"/>
            <w:vMerge w:val="restart"/>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有效性审查</w:t>
            </w:r>
          </w:p>
        </w:tc>
        <w:tc>
          <w:tcPr>
            <w:tcW w:w="1984"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sz w:val="21"/>
                <w:szCs w:val="21"/>
              </w:rPr>
              <w:t>投标文件签署</w:t>
            </w:r>
          </w:p>
        </w:tc>
        <w:tc>
          <w:tcPr>
            <w:tcW w:w="5409"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sz w:val="21"/>
                <w:szCs w:val="21"/>
              </w:rPr>
              <w:t>投标文件上法定代表人或其授权代表人的签字齐全。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675" w:type="dxa"/>
            <w:vMerge w:val="continue"/>
            <w:vAlign w:val="center"/>
          </w:tcPr>
          <w:p>
            <w:pPr>
              <w:spacing w:line="240" w:lineRule="exact"/>
              <w:jc w:val="center"/>
              <w:rPr>
                <w:rFonts w:hint="eastAsia" w:ascii="方正仿宋_GBK" w:hAnsi="方正仿宋_GBK" w:eastAsia="方正仿宋_GBK" w:cs="方正仿宋_GBK"/>
                <w:kern w:val="0"/>
                <w:sz w:val="21"/>
                <w:szCs w:val="21"/>
              </w:rPr>
            </w:pPr>
          </w:p>
        </w:tc>
        <w:tc>
          <w:tcPr>
            <w:tcW w:w="1562" w:type="dxa"/>
            <w:vMerge w:val="continue"/>
            <w:vAlign w:val="center"/>
          </w:tcPr>
          <w:p>
            <w:pPr>
              <w:spacing w:line="240" w:lineRule="exact"/>
              <w:rPr>
                <w:rFonts w:hint="eastAsia" w:ascii="方正仿宋_GBK" w:hAnsi="方正仿宋_GBK" w:eastAsia="方正仿宋_GBK" w:cs="方正仿宋_GBK"/>
                <w:kern w:val="0"/>
                <w:sz w:val="21"/>
                <w:szCs w:val="21"/>
              </w:rPr>
            </w:pPr>
          </w:p>
        </w:tc>
        <w:tc>
          <w:tcPr>
            <w:tcW w:w="1984" w:type="dxa"/>
            <w:vAlign w:val="center"/>
          </w:tcPr>
          <w:p>
            <w:pPr>
              <w:spacing w:line="240" w:lineRule="exact"/>
              <w:rPr>
                <w:rFonts w:hint="eastAsia"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lang w:val="zh-CN"/>
              </w:rPr>
              <w:t>投标方案</w:t>
            </w:r>
          </w:p>
        </w:tc>
        <w:tc>
          <w:tcPr>
            <w:tcW w:w="5409"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sz w:val="21"/>
                <w:szCs w:val="21"/>
                <w:lang w:val="zh-CN"/>
              </w:rPr>
              <w:t>每个分包只能有一个方案投标。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675" w:type="dxa"/>
            <w:vMerge w:val="continue"/>
            <w:vAlign w:val="center"/>
          </w:tcPr>
          <w:p>
            <w:pPr>
              <w:spacing w:line="240" w:lineRule="exact"/>
              <w:jc w:val="center"/>
              <w:rPr>
                <w:rFonts w:hint="eastAsia" w:ascii="方正仿宋_GBK" w:hAnsi="方正仿宋_GBK" w:eastAsia="方正仿宋_GBK" w:cs="方正仿宋_GBK"/>
                <w:kern w:val="0"/>
                <w:sz w:val="21"/>
                <w:szCs w:val="21"/>
              </w:rPr>
            </w:pPr>
          </w:p>
        </w:tc>
        <w:tc>
          <w:tcPr>
            <w:tcW w:w="1562" w:type="dxa"/>
            <w:vMerge w:val="continue"/>
            <w:vAlign w:val="center"/>
          </w:tcPr>
          <w:p>
            <w:pPr>
              <w:spacing w:line="240" w:lineRule="exact"/>
              <w:rPr>
                <w:rFonts w:hint="eastAsia" w:ascii="方正仿宋_GBK" w:hAnsi="方正仿宋_GBK" w:eastAsia="方正仿宋_GBK" w:cs="方正仿宋_GBK"/>
                <w:kern w:val="0"/>
                <w:sz w:val="21"/>
                <w:szCs w:val="21"/>
              </w:rPr>
            </w:pPr>
          </w:p>
        </w:tc>
        <w:tc>
          <w:tcPr>
            <w:tcW w:w="1984" w:type="dxa"/>
            <w:vAlign w:val="center"/>
          </w:tcPr>
          <w:p>
            <w:pPr>
              <w:spacing w:line="240" w:lineRule="exact"/>
              <w:rPr>
                <w:rFonts w:hint="eastAsia" w:ascii="方正仿宋_GBK" w:hAnsi="方正仿宋_GBK" w:eastAsia="方正仿宋_GBK" w:cs="方正仿宋_GBK"/>
                <w:sz w:val="21"/>
                <w:szCs w:val="21"/>
                <w:lang w:val="zh-CN"/>
              </w:rPr>
            </w:pPr>
            <w:r>
              <w:rPr>
                <w:rFonts w:hint="eastAsia" w:ascii="方正仿宋_GBK" w:hAnsi="方正仿宋_GBK" w:eastAsia="方正仿宋_GBK" w:cs="方正仿宋_GBK"/>
                <w:sz w:val="21"/>
                <w:szCs w:val="21"/>
              </w:rPr>
              <w:t>报价唯一</w:t>
            </w:r>
          </w:p>
        </w:tc>
        <w:tc>
          <w:tcPr>
            <w:tcW w:w="5409"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sz w:val="21"/>
                <w:szCs w:val="21"/>
                <w:lang w:val="zh-CN"/>
              </w:rPr>
              <w:t>只能在预算金额和最高限价内报价，</w:t>
            </w:r>
            <w:r>
              <w:rPr>
                <w:rFonts w:hint="eastAsia" w:ascii="方正仿宋_GBK" w:hAnsi="方正仿宋_GBK" w:eastAsia="方正仿宋_GBK" w:cs="方正仿宋_GBK"/>
                <w:sz w:val="21"/>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675" w:type="dxa"/>
            <w:vAlign w:val="center"/>
          </w:tcPr>
          <w:p>
            <w:pPr>
              <w:spacing w:line="240" w:lineRule="exac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2</w:t>
            </w:r>
          </w:p>
        </w:tc>
        <w:tc>
          <w:tcPr>
            <w:tcW w:w="1562"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完整性审查</w:t>
            </w:r>
          </w:p>
        </w:tc>
        <w:tc>
          <w:tcPr>
            <w:tcW w:w="1984"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sz w:val="21"/>
                <w:szCs w:val="21"/>
                <w:lang w:val="zh-CN"/>
              </w:rPr>
              <w:t>投标文件份数</w:t>
            </w:r>
          </w:p>
        </w:tc>
        <w:tc>
          <w:tcPr>
            <w:tcW w:w="5409"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sz w:val="21"/>
                <w:szCs w:val="21"/>
                <w:lang w:val="zh-CN"/>
              </w:rPr>
              <w:t>投标文件正、副本数量符合招标文件要求。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675" w:type="dxa"/>
            <w:vAlign w:val="center"/>
          </w:tcPr>
          <w:p>
            <w:pPr>
              <w:spacing w:line="240" w:lineRule="exac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3</w:t>
            </w:r>
          </w:p>
        </w:tc>
        <w:tc>
          <w:tcPr>
            <w:tcW w:w="1562"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技术部分</w:t>
            </w:r>
          </w:p>
        </w:tc>
        <w:tc>
          <w:tcPr>
            <w:tcW w:w="1984"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投标文件内容</w:t>
            </w:r>
          </w:p>
        </w:tc>
        <w:tc>
          <w:tcPr>
            <w:tcW w:w="5409"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sz w:val="21"/>
                <w:szCs w:val="21"/>
                <w:lang w:val="zh-CN"/>
              </w:rPr>
              <w:t>本招标文件第二篇“项目技术规格、数量及质量要求”全部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675" w:type="dxa"/>
            <w:vAlign w:val="center"/>
          </w:tcPr>
          <w:p>
            <w:pPr>
              <w:spacing w:line="240" w:lineRule="exac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4</w:t>
            </w:r>
          </w:p>
        </w:tc>
        <w:tc>
          <w:tcPr>
            <w:tcW w:w="1562"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商务部分</w:t>
            </w:r>
          </w:p>
        </w:tc>
        <w:tc>
          <w:tcPr>
            <w:tcW w:w="1984"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投标文件内容</w:t>
            </w:r>
          </w:p>
        </w:tc>
        <w:tc>
          <w:tcPr>
            <w:tcW w:w="5409"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sz w:val="21"/>
                <w:szCs w:val="21"/>
                <w:lang w:val="zh-CN"/>
              </w:rPr>
              <w:t>本招标文件第三篇“项目商务要求”全部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 w:hRule="atLeast"/>
        </w:trPr>
        <w:tc>
          <w:tcPr>
            <w:tcW w:w="675" w:type="dxa"/>
            <w:vAlign w:val="center"/>
          </w:tcPr>
          <w:p>
            <w:pPr>
              <w:spacing w:line="240" w:lineRule="exact"/>
              <w:jc w:val="center"/>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5</w:t>
            </w:r>
          </w:p>
        </w:tc>
        <w:tc>
          <w:tcPr>
            <w:tcW w:w="1562"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投标有效期</w:t>
            </w:r>
          </w:p>
        </w:tc>
        <w:tc>
          <w:tcPr>
            <w:tcW w:w="1984"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投标文件内容</w:t>
            </w:r>
          </w:p>
        </w:tc>
        <w:tc>
          <w:tcPr>
            <w:tcW w:w="5409" w:type="dxa"/>
            <w:vAlign w:val="center"/>
          </w:tcPr>
          <w:p>
            <w:pPr>
              <w:spacing w:line="240" w:lineRule="exact"/>
              <w:rPr>
                <w:rFonts w:hint="eastAsia" w:ascii="方正仿宋_GBK" w:hAnsi="方正仿宋_GBK" w:eastAsia="方正仿宋_GBK" w:cs="方正仿宋_GBK"/>
                <w:kern w:val="0"/>
                <w:sz w:val="21"/>
                <w:szCs w:val="21"/>
              </w:rPr>
            </w:pPr>
            <w:r>
              <w:rPr>
                <w:rFonts w:hint="eastAsia" w:ascii="方正仿宋_GBK" w:hAnsi="方正仿宋_GBK" w:eastAsia="方正仿宋_GBK" w:cs="方正仿宋_GBK"/>
                <w:kern w:val="0"/>
                <w:sz w:val="21"/>
                <w:szCs w:val="21"/>
              </w:rPr>
              <w:t>投标有效期为投标截止日期后九十天内</w:t>
            </w:r>
          </w:p>
        </w:tc>
      </w:tr>
    </w:tbl>
    <w:p>
      <w:pPr>
        <w:snapToGrid w:val="0"/>
        <w:spacing w:line="400" w:lineRule="exact"/>
        <w:ind w:firstLine="480" w:firstLineChars="200"/>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sz w:val="24"/>
          <w:szCs w:val="24"/>
        </w:rPr>
        <w:t>（二）澄清有关问题。对投标文件中含义不明确、同类问题表述不一致或者有明显文字和计算错误的内容，评标委员会可以书面形式（应当由评标委员会成员签字）要求投标人作出必要澄清、说明或者纠正。投标人的澄清、说明或者补正应当采用书面形式，由其法定代表人或法定代表人授权代表签字，其澄清的内容不得超出投标文件的范围或者改变投标文件的实质性内容。</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（三）比较与评价。按招标文件中规定的评标方法和标准，对资格审查和符合性审查合格的投标文件进行商务和技术评估。</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同一合同项（分包）下为单一品目或非单一品目核心产品品牌的货物采购招标中，提供相同品牌产品且通过资格审查、符合性审查的不同投标人参加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评标委员会各成员独立对每个有效投标人（通过资格审查、</w:t>
      </w:r>
      <w:r>
        <w:rPr>
          <w:rFonts w:hint="eastAsia" w:ascii="方正仿宋_GBK" w:hAnsi="方正仿宋_GBK" w:eastAsia="方正仿宋_GBK" w:cs="方正仿宋_GBK"/>
          <w:kern w:val="0"/>
          <w:sz w:val="24"/>
          <w:szCs w:val="24"/>
        </w:rPr>
        <w:t>符合性审查的投标人</w:t>
      </w:r>
      <w:r>
        <w:rPr>
          <w:rFonts w:hint="eastAsia" w:ascii="方正仿宋_GBK" w:hAnsi="方正仿宋_GBK" w:eastAsia="方正仿宋_GBK" w:cs="方正仿宋_GBK"/>
          <w:sz w:val="24"/>
          <w:szCs w:val="24"/>
        </w:rPr>
        <w:t>）的投标文件进行评价、打分，然后由评标委员会对各成员打分情况进行核查及复核，个别成员对同一投标人同一评分项的打分偏离较大的，应对投标人的投标文件进行再次核对，确属打分有误的，应及时进行修正。</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复核后，评标委员会汇总每个投标人每项评分因素的得分。</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（四）推荐中标候选人名单。</w:t>
      </w:r>
    </w:p>
    <w:p>
      <w:pPr>
        <w:snapToGrid w:val="0"/>
        <w:spacing w:line="400" w:lineRule="exact"/>
        <w:ind w:firstLine="480" w:firstLineChars="200"/>
        <w:rPr>
          <w:rFonts w:hint="eastAsia" w:ascii="方正仿宋_GBK" w:hAnsi="宋体" w:eastAsia="方正仿宋_GBK"/>
          <w:sz w:val="24"/>
          <w:szCs w:val="24"/>
        </w:rPr>
      </w:pPr>
      <w:r>
        <w:rPr>
          <w:rFonts w:hint="eastAsia" w:ascii="方正仿宋_GBK" w:hAnsi="方正仿宋_GBK" w:eastAsia="方正仿宋_GBK" w:cs="方正仿宋_GBK"/>
          <w:sz w:val="24"/>
          <w:szCs w:val="24"/>
        </w:rPr>
        <w:t>按评审后得分由高到低的排列顺序</w:t>
      </w:r>
      <w:r>
        <w:rPr>
          <w:rFonts w:hint="eastAsia" w:ascii="方正仿宋_GBK" w:hAnsi="方正仿宋_GBK" w:eastAsia="方正仿宋_GBK" w:cs="方正仿宋_GBK"/>
          <w:kern w:val="0"/>
          <w:sz w:val="24"/>
          <w:szCs w:val="24"/>
        </w:rPr>
        <w:t>推荐综合得分排名前三的投标人为本分包（项目）中标候选人，</w:t>
      </w:r>
      <w:r>
        <w:rPr>
          <w:rFonts w:hint="eastAsia" w:ascii="方正仿宋_GBK" w:hAnsi="方正仿宋_GBK" w:eastAsia="方正仿宋_GBK" w:cs="方正仿宋_GBK"/>
          <w:sz w:val="24"/>
          <w:szCs w:val="24"/>
        </w:rPr>
        <w:t>排名第一的为第一中标候选人。得分相同的，按投标报价由低到高顺序排列。得分且投标报价相同的并列</w:t>
      </w:r>
      <w:r>
        <w:rPr>
          <w:rFonts w:hint="eastAsia" w:ascii="方正仿宋_GBK" w:hAnsi="宋体" w:eastAsia="方正仿宋_GBK"/>
          <w:sz w:val="24"/>
          <w:szCs w:val="24"/>
        </w:rPr>
        <w:t>。</w:t>
      </w:r>
    </w:p>
    <w:p>
      <w:pPr>
        <w:pStyle w:val="5"/>
        <w:spacing w:line="400" w:lineRule="exact"/>
        <w:ind w:firstLine="482" w:firstLineChars="200"/>
        <w:rPr>
          <w:rFonts w:hint="eastAsia" w:ascii="方正仿宋_GBK" w:eastAsia="方正仿宋_GBK"/>
          <w:b/>
          <w:sz w:val="24"/>
          <w:szCs w:val="24"/>
        </w:rPr>
      </w:pPr>
      <w:bookmarkStart w:id="45" w:name="_Toc24978"/>
      <w:bookmarkStart w:id="46" w:name="_Toc267320057"/>
      <w:bookmarkStart w:id="47" w:name="_Toc441065675"/>
      <w:r>
        <w:rPr>
          <w:rFonts w:hint="eastAsia" w:ascii="方正仿宋_GBK" w:eastAsia="方正仿宋_GBK"/>
          <w:b/>
          <w:sz w:val="24"/>
          <w:szCs w:val="24"/>
        </w:rPr>
        <w:t>三、评标标准</w:t>
      </w:r>
      <w:bookmarkEnd w:id="45"/>
      <w:bookmarkEnd w:id="46"/>
      <w:bookmarkEnd w:id="47"/>
    </w:p>
    <w:p>
      <w:pPr>
        <w:ind w:firstLine="480" w:firstLineChars="200"/>
        <w:rPr>
          <w:rFonts w:hint="eastAsia" w:ascii="方正仿宋_GBK" w:hAnsi="方正仿宋_GBK" w:eastAsia="方正仿宋_GBK" w:cs="方正仿宋_GBK"/>
          <w:sz w:val="24"/>
          <w:szCs w:val="24"/>
        </w:rPr>
      </w:pPr>
      <w:r>
        <w:rPr>
          <w:rFonts w:hint="eastAsia" w:ascii="仿宋" w:hAnsi="仿宋" w:eastAsia="仿宋"/>
          <w:sz w:val="24"/>
          <w:szCs w:val="24"/>
        </w:rPr>
        <w:t>（一）评审因素</w:t>
      </w:r>
    </w:p>
    <w:tbl>
      <w:tblPr>
        <w:tblStyle w:val="60"/>
        <w:tblW w:w="9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
        <w:gridCol w:w="15"/>
        <w:gridCol w:w="1048"/>
        <w:gridCol w:w="765"/>
        <w:gridCol w:w="5725"/>
        <w:gridCol w:w="1695"/>
        <w:gridCol w:w="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trPr>
        <w:tc>
          <w:tcPr>
            <w:tcW w:w="380" w:type="dxa"/>
            <w:vAlign w:val="center"/>
          </w:tcPr>
          <w:p>
            <w:pPr>
              <w:spacing w:line="240" w:lineRule="exact"/>
              <w:rPr>
                <w:rFonts w:hint="eastAsia" w:ascii="方正仿宋_GBK" w:hAnsi="方正仿宋_GBK" w:eastAsia="方正仿宋_GBK" w:cs="方正仿宋_GBK"/>
                <w:sz w:val="21"/>
                <w:szCs w:val="21"/>
              </w:rPr>
            </w:pPr>
            <w:bookmarkStart w:id="48" w:name="_Toc13150"/>
            <w:r>
              <w:rPr>
                <w:rFonts w:hint="eastAsia" w:ascii="方正仿宋_GBK" w:hAnsi="方正仿宋_GBK" w:eastAsia="方正仿宋_GBK" w:cs="方正仿宋_GBK"/>
                <w:sz w:val="21"/>
                <w:szCs w:val="21"/>
              </w:rPr>
              <w:t>序号</w:t>
            </w:r>
          </w:p>
        </w:tc>
        <w:tc>
          <w:tcPr>
            <w:tcW w:w="1063" w:type="dxa"/>
            <w:gridSpan w:val="2"/>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评分因素</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及权重</w:t>
            </w:r>
          </w:p>
        </w:tc>
        <w:tc>
          <w:tcPr>
            <w:tcW w:w="765"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分值</w:t>
            </w:r>
          </w:p>
        </w:tc>
        <w:tc>
          <w:tcPr>
            <w:tcW w:w="5725"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评分标准</w:t>
            </w:r>
          </w:p>
        </w:tc>
        <w:tc>
          <w:tcPr>
            <w:tcW w:w="1716" w:type="dxa"/>
            <w:gridSpan w:val="2"/>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380"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w:t>
            </w:r>
          </w:p>
        </w:tc>
        <w:tc>
          <w:tcPr>
            <w:tcW w:w="1063" w:type="dxa"/>
            <w:gridSpan w:val="2"/>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投标报价</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（30%）</w:t>
            </w:r>
          </w:p>
        </w:tc>
        <w:tc>
          <w:tcPr>
            <w:tcW w:w="765"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30分</w:t>
            </w:r>
          </w:p>
        </w:tc>
        <w:tc>
          <w:tcPr>
            <w:tcW w:w="5725"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有效的投标报价中的最低价为评标基准价，按照下列公式计算每个投标人的投标价格得分。</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投标报价得分＝（评标基准价/投标报价）×价格权重×100。</w:t>
            </w:r>
          </w:p>
        </w:tc>
        <w:tc>
          <w:tcPr>
            <w:tcW w:w="1716" w:type="dxa"/>
            <w:gridSpan w:val="2"/>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对小型和微型企业产品的价格给予6%-10%的扣除，用扣除后的价格参与评审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80"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w:t>
            </w:r>
          </w:p>
        </w:tc>
        <w:tc>
          <w:tcPr>
            <w:tcW w:w="1063" w:type="dxa"/>
            <w:gridSpan w:val="2"/>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技术部分</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（35%）</w:t>
            </w:r>
          </w:p>
        </w:tc>
        <w:tc>
          <w:tcPr>
            <w:tcW w:w="765"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35分</w:t>
            </w:r>
          </w:p>
        </w:tc>
        <w:tc>
          <w:tcPr>
            <w:tcW w:w="5725"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1、对项目情况及周边现场调研详实，基础资料搜集、解读及分析充分。优得10分，良得7分，一般得4分。</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2、对项目实施过程中遇到的重点或难点问题分析判断准确，提出了相应解决措施。优得5分，良得3分，一般得2分。</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3、采用生态修复技术措施，设计思路、技术路线、技术措施整体上科学、合理，具有前瞻性、创新性、可行性。优得10分，良得7分，一般得4分。</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4、所用技术措施对周边生态环境影响小，环境友好，日常维护管理简单、高效、性价比高，可行。优得5分，良得3分，一般得2分。</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5、水质维护方案内容全面，条理清晰，具备可操作性，人员及服务内容安排合理。优得5分，良得3分，一般得2分。</w:t>
            </w:r>
          </w:p>
        </w:tc>
        <w:tc>
          <w:tcPr>
            <w:tcW w:w="1716" w:type="dxa"/>
            <w:gridSpan w:val="2"/>
            <w:vAlign w:val="center"/>
          </w:tcPr>
          <w:p>
            <w:pPr>
              <w:spacing w:line="240" w:lineRule="exact"/>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atLeast"/>
        </w:trPr>
        <w:tc>
          <w:tcPr>
            <w:tcW w:w="395" w:type="dxa"/>
            <w:gridSpan w:val="2"/>
            <w:vMerge w:val="restart"/>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p>
        </w:tc>
        <w:tc>
          <w:tcPr>
            <w:tcW w:w="1048" w:type="dxa"/>
            <w:vMerge w:val="restart"/>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商务部分（30%）</w:t>
            </w:r>
          </w:p>
        </w:tc>
        <w:tc>
          <w:tcPr>
            <w:tcW w:w="765"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团队实力</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（20分）</w:t>
            </w:r>
          </w:p>
        </w:tc>
        <w:tc>
          <w:tcPr>
            <w:tcW w:w="5725" w:type="dxa"/>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1、项目负责人具备环保或给排水类高级及以上职称的得1分，在此基础上，同时具有二级建造师（市政专业）和注册环保工程师资格证书的，每项加2分；此项最多得5分。</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2、项目技术负责人具有环保或给排水类教授级高工职称的得2分；在此基础上，具有注册公用设备工程师（给水排水）资格证书的加5分；此项最多得7分。</w:t>
            </w:r>
          </w:p>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3、在满足前述人员要求的基础上，投标人拟增派往本项目的技术团队人员中，同时具备环保或给排水类高级及以上职称和注册环保工程师资格证书的，每项加4分；最多得8分。</w:t>
            </w:r>
          </w:p>
        </w:tc>
        <w:tc>
          <w:tcPr>
            <w:tcW w:w="1716" w:type="dxa"/>
            <w:gridSpan w:val="2"/>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提供身份证复印件、2020年8月-10月养老保险证明、职称和资格证书复印件并加盖投标人公章；原件带至现场备查。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9" w:hRule="atLeast"/>
        </w:trPr>
        <w:tc>
          <w:tcPr>
            <w:tcW w:w="395" w:type="dxa"/>
            <w:gridSpan w:val="2"/>
            <w:vMerge w:val="continue"/>
            <w:vAlign w:val="center"/>
          </w:tcPr>
          <w:p>
            <w:pPr>
              <w:spacing w:line="240" w:lineRule="exact"/>
              <w:rPr>
                <w:rFonts w:hint="eastAsia" w:ascii="方正仿宋_GBK" w:hAnsi="方正仿宋_GBK" w:eastAsia="方正仿宋_GBK" w:cs="方正仿宋_GBK"/>
                <w:sz w:val="21"/>
                <w:szCs w:val="21"/>
              </w:rPr>
            </w:pPr>
          </w:p>
        </w:tc>
        <w:tc>
          <w:tcPr>
            <w:tcW w:w="1048" w:type="dxa"/>
            <w:vMerge w:val="continue"/>
            <w:vAlign w:val="center"/>
          </w:tcPr>
          <w:p>
            <w:pPr>
              <w:spacing w:line="240" w:lineRule="exact"/>
              <w:rPr>
                <w:rFonts w:hint="eastAsia" w:ascii="方正仿宋_GBK" w:hAnsi="方正仿宋_GBK" w:eastAsia="方正仿宋_GBK" w:cs="方正仿宋_GBK"/>
                <w:sz w:val="21"/>
                <w:szCs w:val="21"/>
              </w:rPr>
            </w:pPr>
          </w:p>
        </w:tc>
        <w:tc>
          <w:tcPr>
            <w:tcW w:w="765"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业绩（10分）</w:t>
            </w:r>
          </w:p>
        </w:tc>
        <w:tc>
          <w:tcPr>
            <w:tcW w:w="5725" w:type="dxa"/>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投标人从2017年1月1日至今，具有水库或河流的水环境综合整治或生态修复技术服务业绩的，每有一个得1分，获得相关部门验收合格批复的，每有一个得2分；最多得10分。</w:t>
            </w:r>
          </w:p>
        </w:tc>
        <w:tc>
          <w:tcPr>
            <w:tcW w:w="1716" w:type="dxa"/>
            <w:gridSpan w:val="2"/>
            <w:vAlign w:val="center"/>
          </w:tcPr>
          <w:p>
            <w:pPr>
              <w:spacing w:line="240" w:lineRule="exact"/>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提供合同复印件或相关佐证资料并加盖投标人公章，原件带至现场备查。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1" w:type="dxa"/>
        </w:trPr>
        <w:tc>
          <w:tcPr>
            <w:tcW w:w="395" w:type="dxa"/>
            <w:gridSpan w:val="2"/>
            <w:tcBorders>
              <w:top w:val="single" w:color="auto" w:sz="4" w:space="0"/>
              <w:left w:val="single" w:color="auto" w:sz="4" w:space="0"/>
              <w:right w:val="single" w:color="auto" w:sz="4" w:space="0"/>
            </w:tcBorders>
            <w:vAlign w:val="center"/>
          </w:tcPr>
          <w:p>
            <w:pPr>
              <w:snapToGrid w:val="0"/>
              <w:spacing w:line="240" w:lineRule="atLeast"/>
              <w:jc w:val="center"/>
              <w:rPr>
                <w:rFonts w:ascii="方正仿宋_GBK" w:hAnsi="宋体" w:eastAsia="方正仿宋_GBK"/>
                <w:sz w:val="21"/>
                <w:szCs w:val="21"/>
              </w:rPr>
            </w:pPr>
            <w:r>
              <w:rPr>
                <w:rFonts w:hint="eastAsia" w:ascii="方正仿宋_GBK" w:hAnsi="宋体" w:eastAsia="方正仿宋_GBK"/>
                <w:sz w:val="21"/>
                <w:szCs w:val="21"/>
              </w:rPr>
              <w:t>4</w:t>
            </w:r>
          </w:p>
        </w:tc>
        <w:tc>
          <w:tcPr>
            <w:tcW w:w="1813" w:type="dxa"/>
            <w:gridSpan w:val="2"/>
            <w:tcBorders>
              <w:top w:val="single" w:color="auto" w:sz="4" w:space="0"/>
              <w:left w:val="single" w:color="auto" w:sz="4" w:space="0"/>
            </w:tcBorders>
            <w:vAlign w:val="center"/>
          </w:tcPr>
          <w:p>
            <w:pPr>
              <w:snapToGrid w:val="0"/>
              <w:spacing w:line="240" w:lineRule="atLeast"/>
              <w:jc w:val="center"/>
              <w:rPr>
                <w:rFonts w:ascii="方正仿宋_GBK" w:hAnsi="宋体" w:eastAsia="方正仿宋_GBK"/>
                <w:sz w:val="21"/>
                <w:szCs w:val="21"/>
              </w:rPr>
            </w:pPr>
            <w:r>
              <w:rPr>
                <w:rFonts w:hint="eastAsia" w:ascii="方正仿宋_GBK" w:hAnsi="宋体" w:eastAsia="方正仿宋_GBK"/>
                <w:sz w:val="21"/>
                <w:szCs w:val="21"/>
              </w:rPr>
              <w:t>政策性加分</w:t>
            </w:r>
          </w:p>
          <w:p>
            <w:pPr>
              <w:spacing w:line="240" w:lineRule="atLeast"/>
              <w:jc w:val="center"/>
              <w:rPr>
                <w:rFonts w:ascii="方正仿宋_GBK" w:hAnsi="宋体" w:eastAsia="方正仿宋_GBK"/>
                <w:sz w:val="21"/>
                <w:szCs w:val="21"/>
              </w:rPr>
            </w:pPr>
            <w:r>
              <w:rPr>
                <w:rFonts w:hint="eastAsia" w:ascii="方正仿宋_GBK" w:hAnsi="宋体" w:eastAsia="方正仿宋_GBK"/>
                <w:sz w:val="21"/>
                <w:szCs w:val="21"/>
              </w:rPr>
              <w:t>（5）</w:t>
            </w:r>
          </w:p>
        </w:tc>
        <w:tc>
          <w:tcPr>
            <w:tcW w:w="7420" w:type="dxa"/>
            <w:gridSpan w:val="2"/>
            <w:tcBorders>
              <w:top w:val="single" w:color="auto" w:sz="4" w:space="0"/>
              <w:left w:val="single" w:color="auto" w:sz="4" w:space="0"/>
            </w:tcBorders>
            <w:vAlign w:val="center"/>
          </w:tcPr>
          <w:p>
            <w:pPr>
              <w:spacing w:line="240" w:lineRule="atLeast"/>
              <w:rPr>
                <w:rFonts w:hint="eastAsia" w:ascii="方正仿宋_GBK" w:hAnsi="宋体" w:eastAsia="方正仿宋_GBK"/>
                <w:sz w:val="21"/>
                <w:szCs w:val="21"/>
              </w:rPr>
            </w:pPr>
            <w:r>
              <w:rPr>
                <w:rFonts w:hint="eastAsia" w:ascii="方正仿宋_GBK" w:hAnsi="宋体" w:eastAsia="方正仿宋_GBK"/>
                <w:sz w:val="21"/>
                <w:szCs w:val="21"/>
              </w:rPr>
              <w:t>1.投标产品属于《财政部 发展改革委关于印发节能产品政府采购品目清单的通知》（财库〔2019〕19号）范围内的节能产品，且“节能产品政府采购品目清单”中未标注“★”的，有一款得0.5分，最多得2分（清单中以“★”标注为政府强制采购的节能产品）。</w:t>
            </w:r>
          </w:p>
          <w:p>
            <w:pPr>
              <w:spacing w:line="240" w:lineRule="atLeast"/>
              <w:rPr>
                <w:rFonts w:hint="eastAsia" w:ascii="方正仿宋_GBK" w:hAnsi="宋体" w:eastAsia="方正仿宋_GBK"/>
                <w:sz w:val="21"/>
                <w:szCs w:val="21"/>
              </w:rPr>
            </w:pPr>
            <w:r>
              <w:rPr>
                <w:rFonts w:hint="eastAsia" w:ascii="方正仿宋_GBK" w:hAnsi="宋体" w:eastAsia="方正仿宋_GBK"/>
                <w:sz w:val="21"/>
                <w:szCs w:val="21"/>
              </w:rPr>
              <w:t>说明：提供所投产品列入《财政部 发展改革委关于印发节能产品政府采购品目清单的通知》（财库〔2019〕19号）中“节能产品政府采购品目清单”所在页面打印件，及国家确定的认证机构出具的、处于有效期之内的节能产品认证证书复印件。</w:t>
            </w:r>
          </w:p>
          <w:p>
            <w:pPr>
              <w:spacing w:line="240" w:lineRule="atLeast"/>
              <w:rPr>
                <w:rFonts w:hint="eastAsia" w:ascii="方正仿宋_GBK" w:hAnsi="宋体" w:eastAsia="方正仿宋_GBK"/>
                <w:sz w:val="21"/>
                <w:szCs w:val="21"/>
              </w:rPr>
            </w:pPr>
            <w:r>
              <w:rPr>
                <w:rFonts w:hint="eastAsia" w:ascii="方正仿宋_GBK" w:hAnsi="宋体" w:eastAsia="方正仿宋_GBK"/>
                <w:sz w:val="21"/>
                <w:szCs w:val="21"/>
              </w:rPr>
              <w:t>2.投标产品属于《财政部 生态环境部关于印发环境标志产品政府采购品目清单的通知》（财库〔2019〕18号）范围内的环境标志产品的，有一款得0.5分，最多得2分。</w:t>
            </w:r>
          </w:p>
          <w:p>
            <w:pPr>
              <w:spacing w:line="240" w:lineRule="atLeast"/>
              <w:rPr>
                <w:rFonts w:hint="eastAsia" w:ascii="方正仿宋_GBK" w:hAnsi="宋体" w:eastAsia="方正仿宋_GBK"/>
                <w:sz w:val="21"/>
                <w:szCs w:val="21"/>
              </w:rPr>
            </w:pPr>
            <w:r>
              <w:rPr>
                <w:rFonts w:hint="eastAsia" w:ascii="方正仿宋_GBK" w:hAnsi="宋体" w:eastAsia="方正仿宋_GBK"/>
                <w:sz w:val="21"/>
                <w:szCs w:val="21"/>
              </w:rPr>
              <w:t>说明：提供所投产品列入《财政部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pPr>
              <w:spacing w:line="240" w:lineRule="atLeast"/>
              <w:rPr>
                <w:rFonts w:ascii="方正仿宋_GBK" w:hAnsi="宋体" w:eastAsia="方正仿宋_GBK"/>
                <w:sz w:val="21"/>
                <w:szCs w:val="21"/>
              </w:rPr>
            </w:pPr>
            <w:r>
              <w:rPr>
                <w:rFonts w:hint="eastAsia" w:ascii="方正仿宋_GBK" w:hAnsi="宋体" w:eastAsia="方正仿宋_GBK"/>
                <w:sz w:val="21"/>
                <w:szCs w:val="21"/>
              </w:rPr>
              <w:t>3.所投分包的所有投标产品的原产地在西部地区的，得1分。</w:t>
            </w:r>
          </w:p>
        </w:tc>
      </w:tr>
    </w:tbl>
    <w:p>
      <w:pPr>
        <w:snapToGrid w:val="0"/>
        <w:spacing w:line="400" w:lineRule="exact"/>
        <w:ind w:firstLine="480" w:firstLineChars="200"/>
        <w:rPr>
          <w:rFonts w:hint="eastAsia" w:ascii="仿宋" w:eastAsia="仿宋"/>
          <w:color w:val="000000"/>
          <w:sz w:val="24"/>
          <w:szCs w:val="24"/>
        </w:rPr>
      </w:pPr>
      <w:r>
        <w:rPr>
          <w:rFonts w:hint="eastAsia" w:ascii="仿宋" w:eastAsia="仿宋"/>
          <w:color w:val="000000"/>
          <w:sz w:val="24"/>
          <w:szCs w:val="24"/>
        </w:rPr>
        <w:t>说明：评标委员会认为，排名在前面的中标候选人的投标报价或者某些分项报价明显不合理或者低于成本，有可能影响服务质量和不能诚信履约的，将要求其在规定的期限内提供书面文件予以解释说明，并提交相关证明材料；否则，评标委员会可以取消该中标候选人资格，按顺序由排在后一位的中标候选人递补，以此类推。</w:t>
      </w:r>
    </w:p>
    <w:p>
      <w:pPr>
        <w:snapToGrid w:val="0"/>
        <w:spacing w:line="400" w:lineRule="exact"/>
        <w:ind w:firstLine="480" w:firstLineChars="200"/>
        <w:rPr>
          <w:rFonts w:hint="eastAsia" w:ascii="仿宋" w:eastAsia="仿宋"/>
          <w:color w:val="000000"/>
          <w:sz w:val="24"/>
          <w:szCs w:val="24"/>
        </w:rPr>
      </w:pPr>
      <w:r>
        <w:rPr>
          <w:rFonts w:hint="eastAsia" w:ascii="仿宋" w:eastAsia="仿宋"/>
          <w:color w:val="000000"/>
          <w:sz w:val="24"/>
          <w:szCs w:val="24"/>
        </w:rPr>
        <w:t>（二）投标报价政策性扣减</w:t>
      </w:r>
    </w:p>
    <w:p>
      <w:pPr>
        <w:snapToGrid w:val="0"/>
        <w:spacing w:line="400" w:lineRule="exact"/>
        <w:ind w:firstLine="480" w:firstLineChars="200"/>
        <w:rPr>
          <w:rFonts w:hint="eastAsia" w:ascii="仿宋" w:eastAsia="仿宋"/>
          <w:color w:val="000000"/>
          <w:sz w:val="24"/>
          <w:szCs w:val="24"/>
        </w:rPr>
      </w:pPr>
      <w:r>
        <w:rPr>
          <w:rFonts w:hint="eastAsia" w:ascii="仿宋" w:eastAsia="仿宋"/>
          <w:color w:val="000000"/>
          <w:sz w:val="24"/>
          <w:szCs w:val="24"/>
        </w:rPr>
        <w:t>1.投标人为非联合体投标的，对小型企业给予6%的扣除，微型企业给予8%的扣除（注册资金十五万及以下的微型企业给予10%的扣除），以扣除后的报价参与评审。</w:t>
      </w:r>
    </w:p>
    <w:p>
      <w:pPr>
        <w:snapToGrid w:val="0"/>
        <w:spacing w:line="400" w:lineRule="exact"/>
        <w:ind w:firstLine="465"/>
        <w:rPr>
          <w:rFonts w:hint="eastAsia" w:ascii="方正仿宋_GBK" w:hAnsi="仿宋" w:eastAsia="方正仿宋_GBK"/>
          <w:sz w:val="24"/>
          <w:szCs w:val="24"/>
        </w:rPr>
      </w:pPr>
      <w:r>
        <w:rPr>
          <w:rFonts w:hint="eastAsia" w:ascii="方正仿宋_GBK" w:hAnsi="仿宋" w:eastAsia="方正仿宋_GBK"/>
          <w:sz w:val="24"/>
          <w:szCs w:val="24"/>
        </w:rPr>
        <w:t>2.监狱企业、残疾人福利性单位属于微型企业的，应提供中小微企业声明函（详见第七篇 “中小微企业声明函”）。未提供以上资料的监狱企业、残疾人福利性单位视同小型企业。</w:t>
      </w:r>
    </w:p>
    <w:p>
      <w:pPr>
        <w:pStyle w:val="5"/>
        <w:spacing w:line="400" w:lineRule="exact"/>
        <w:ind w:firstLine="482" w:firstLineChars="200"/>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四、无效投标条款</w:t>
      </w:r>
      <w:bookmarkEnd w:id="48"/>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投标人或其投标文件出现下列情况之一者，应为无效投标：</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（一）投标人未按招标文件规定提交足额投标保证金的；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（二）投标人未通过资格性检查或投标文件未通过符合性检查的；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（三）投标人超出其营业执照或事业单位法人证书上经营范围（业务范围）投标的；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（四）单位负责人为同一人或者存在直接控股、管理关系的不同供应商，不得参加同一合同项下的政府采购活动，上述投标人的投标均无效；</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（五）为采购项目提供整体设计、规范编制或者项目管理、监理、检测等服务的供应商，再参加该采购项目的其他采购活动的；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（六）同一分包的货物，制造商参与投标，再委托代理商参与投标的；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（七）投标文件未按照招标文件第七篇投标文件格式中所规定签字、盖章的；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（八）投标文件出现多个投标方案或投标报价的；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（九）投标报价超出招标文件规定的采购预算的；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（十）投标产品不符合必须强制执行的国家标准的；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（十一）投标人的交货期（或为：实施时间）、质量保证期及投标有效期不满足招标文件要求的；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（十二）投标文件含有违反国家法律、法规的内容，或附有采购人不能接受的条件的。</w:t>
      </w:r>
    </w:p>
    <w:p>
      <w:pPr>
        <w:pStyle w:val="5"/>
        <w:spacing w:line="400" w:lineRule="exact"/>
        <w:ind w:firstLine="482" w:firstLineChars="200"/>
        <w:rPr>
          <w:rFonts w:hint="eastAsia" w:ascii="方正仿宋_GBK" w:hAnsi="方正仿宋_GBK" w:eastAsia="方正仿宋_GBK" w:cs="方正仿宋_GBK"/>
          <w:b/>
          <w:sz w:val="24"/>
          <w:szCs w:val="24"/>
        </w:rPr>
      </w:pPr>
      <w:bookmarkStart w:id="49" w:name="_Toc29596"/>
      <w:r>
        <w:rPr>
          <w:rFonts w:hint="eastAsia" w:ascii="方正仿宋_GBK" w:hAnsi="方正仿宋_GBK" w:eastAsia="方正仿宋_GBK" w:cs="方正仿宋_GBK"/>
          <w:b/>
          <w:sz w:val="24"/>
          <w:szCs w:val="24"/>
        </w:rPr>
        <w:t>五、废标条款</w:t>
      </w:r>
      <w:bookmarkEnd w:id="49"/>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评标委员会评审时出现以下情况之一的，应予废标：</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（一）符合专业条件的供应商或者对招标文件作实质响应的供应商不足三家的；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（二）投标人的报价均超过了采购预算，采购人不能支付的；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（三）出现影响采购公正的违法、违规行为的；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（四）因重大变故，采购任务取消的。</w:t>
      </w:r>
    </w:p>
    <w:p>
      <w:pPr>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废标后，除采购任务取消情形外，应当重新组织采购。</w:t>
      </w:r>
    </w:p>
    <w:p>
      <w:pPr>
        <w:pStyle w:val="4"/>
        <w:spacing w:beforeLines="0" w:afterLines="0" w:line="360" w:lineRule="auto"/>
        <w:rPr>
          <w:rFonts w:hint="eastAsia" w:ascii="方正小标宋_GBK" w:eastAsia="方正小标宋_GBK"/>
        </w:rPr>
      </w:pPr>
      <w:r>
        <w:rPr>
          <w:rFonts w:hint="eastAsia" w:ascii="宋体" w:hAnsi="宋体" w:eastAsia="宋体" w:cs="宋体"/>
          <w:sz w:val="28"/>
        </w:rPr>
        <w:br w:type="page"/>
      </w:r>
      <w:bookmarkStart w:id="50" w:name="_Toc24689"/>
      <w:bookmarkStart w:id="51" w:name="_Toc441065678"/>
      <w:r>
        <w:rPr>
          <w:rFonts w:hint="eastAsia" w:ascii="方正小标宋_GBK" w:eastAsia="方正小标宋_GBK"/>
        </w:rPr>
        <w:t>第五篇  投标人须知</w:t>
      </w:r>
      <w:bookmarkEnd w:id="50"/>
      <w:bookmarkEnd w:id="51"/>
    </w:p>
    <w:p>
      <w:pPr>
        <w:pStyle w:val="5"/>
        <w:spacing w:line="400" w:lineRule="exact"/>
        <w:ind w:firstLine="482" w:firstLineChars="200"/>
        <w:rPr>
          <w:rFonts w:hint="eastAsia" w:ascii="方正仿宋_GBK" w:eastAsia="方正仿宋_GBK"/>
          <w:b/>
          <w:sz w:val="24"/>
        </w:rPr>
      </w:pPr>
      <w:bookmarkStart w:id="52" w:name="_Toc26104"/>
      <w:bookmarkStart w:id="53" w:name="_Toc441065679"/>
      <w:r>
        <w:rPr>
          <w:rFonts w:hint="eastAsia" w:ascii="方正仿宋_GBK" w:eastAsia="方正仿宋_GBK"/>
          <w:b/>
          <w:sz w:val="24"/>
        </w:rPr>
        <w:t>一、投标人</w:t>
      </w:r>
      <w:bookmarkEnd w:id="52"/>
      <w:bookmarkEnd w:id="53"/>
    </w:p>
    <w:p>
      <w:pPr>
        <w:snapToGrid w:val="0"/>
        <w:spacing w:line="400" w:lineRule="exact"/>
        <w:ind w:firstLine="480" w:firstLineChars="200"/>
        <w:rPr>
          <w:rFonts w:hint="eastAsia" w:ascii="方正仿宋_GBK" w:eastAsia="方正仿宋_GBK"/>
          <w:sz w:val="24"/>
        </w:rPr>
      </w:pPr>
      <w:r>
        <w:rPr>
          <w:rFonts w:hint="eastAsia" w:ascii="方正仿宋_GBK" w:eastAsia="方正仿宋_GBK"/>
          <w:sz w:val="24"/>
        </w:rPr>
        <w:t>（一）投标人</w:t>
      </w:r>
    </w:p>
    <w:p>
      <w:pPr>
        <w:snapToGrid w:val="0"/>
        <w:spacing w:line="400" w:lineRule="exact"/>
        <w:ind w:firstLine="480" w:firstLineChars="200"/>
        <w:rPr>
          <w:rFonts w:hint="eastAsia" w:ascii="方正仿宋_GBK" w:eastAsia="方正仿宋_GBK"/>
          <w:sz w:val="24"/>
        </w:rPr>
      </w:pPr>
      <w:r>
        <w:rPr>
          <w:rFonts w:hint="eastAsia" w:ascii="方正仿宋_GBK" w:eastAsia="方正仿宋_GBK"/>
          <w:sz w:val="24"/>
        </w:rPr>
        <w:t>投标人是指响应招标、参加投标竞争的法人、其他组织或者自然人。</w:t>
      </w:r>
    </w:p>
    <w:p>
      <w:pPr>
        <w:snapToGrid w:val="0"/>
        <w:spacing w:line="400" w:lineRule="exact"/>
        <w:ind w:firstLine="480" w:firstLineChars="200"/>
        <w:rPr>
          <w:rFonts w:hint="eastAsia" w:ascii="方正仿宋_GBK" w:eastAsia="方正仿宋_GBK"/>
          <w:sz w:val="24"/>
        </w:rPr>
      </w:pPr>
      <w:r>
        <w:rPr>
          <w:rFonts w:hint="eastAsia" w:ascii="方正仿宋_GBK" w:eastAsia="方正仿宋_GBK"/>
          <w:sz w:val="24"/>
        </w:rPr>
        <w:t>（二）合格投标人条件</w:t>
      </w:r>
    </w:p>
    <w:p>
      <w:pPr>
        <w:snapToGrid w:val="0"/>
        <w:spacing w:line="400" w:lineRule="exact"/>
        <w:ind w:firstLine="480" w:firstLineChars="200"/>
        <w:rPr>
          <w:rFonts w:hint="eastAsia" w:ascii="方正仿宋_GBK" w:eastAsia="方正仿宋_GBK"/>
          <w:sz w:val="24"/>
        </w:rPr>
      </w:pPr>
      <w:r>
        <w:rPr>
          <w:rFonts w:hint="eastAsia" w:ascii="方正仿宋_GBK" w:eastAsia="方正仿宋_GBK"/>
          <w:sz w:val="24"/>
        </w:rPr>
        <w:t>合格投标人应完全符合招标文件第一篇中规定的投标人资格条件，并对招标文件作出实质性响应。</w:t>
      </w:r>
    </w:p>
    <w:p>
      <w:pPr>
        <w:snapToGrid w:val="0"/>
        <w:spacing w:line="400" w:lineRule="exact"/>
        <w:ind w:firstLine="480" w:firstLineChars="200"/>
        <w:rPr>
          <w:rFonts w:hint="eastAsia" w:ascii="方正仿宋_GBK" w:eastAsia="方正仿宋_GBK"/>
          <w:sz w:val="24"/>
        </w:rPr>
      </w:pPr>
      <w:r>
        <w:rPr>
          <w:rFonts w:hint="eastAsia" w:ascii="方正仿宋_GBK" w:eastAsia="方正仿宋_GBK"/>
          <w:sz w:val="24"/>
        </w:rPr>
        <w:t>（三）投标人的风险</w:t>
      </w:r>
    </w:p>
    <w:p>
      <w:pPr>
        <w:snapToGrid w:val="0"/>
        <w:spacing w:line="400" w:lineRule="exact"/>
        <w:ind w:firstLine="480" w:firstLineChars="200"/>
        <w:rPr>
          <w:rFonts w:hint="eastAsia" w:ascii="仿宋" w:hAnsi="仿宋" w:eastAsia="仿宋"/>
          <w:sz w:val="24"/>
        </w:rPr>
      </w:pPr>
      <w:r>
        <w:rPr>
          <w:rFonts w:hint="eastAsia" w:ascii="方正仿宋_GBK" w:eastAsia="方正仿宋_GBK"/>
          <w:sz w:val="24"/>
        </w:rPr>
        <w:t>投标人没有按照招标文件要求提供全部资料，或者投标人没有对招标文件在各方面作出实质性响应，可能导致投标被拒绝或评定为无效投标</w:t>
      </w:r>
      <w:r>
        <w:rPr>
          <w:rFonts w:hint="eastAsia" w:ascii="仿宋" w:hAnsi="仿宋" w:eastAsia="仿宋"/>
          <w:sz w:val="24"/>
        </w:rPr>
        <w:t>。</w:t>
      </w:r>
    </w:p>
    <w:p>
      <w:pPr>
        <w:snapToGrid w:val="0"/>
        <w:spacing w:line="400" w:lineRule="exact"/>
        <w:ind w:firstLine="480" w:firstLineChars="200"/>
        <w:rPr>
          <w:rFonts w:hint="eastAsia" w:ascii="方正仿宋_GBK" w:eastAsia="方正仿宋_GBK"/>
          <w:sz w:val="24"/>
        </w:rPr>
      </w:pPr>
      <w:r>
        <w:rPr>
          <w:rFonts w:hint="eastAsia" w:ascii="方正仿宋_GBK" w:eastAsia="方正仿宋_GBK"/>
          <w:sz w:val="24"/>
        </w:rPr>
        <w:t>（四）法律责任</w:t>
      </w:r>
    </w:p>
    <w:p>
      <w:pPr>
        <w:snapToGrid w:val="0"/>
        <w:spacing w:line="400" w:lineRule="exact"/>
        <w:ind w:firstLine="480" w:firstLineChars="200"/>
        <w:rPr>
          <w:rFonts w:hint="eastAsia" w:ascii="方正仿宋_GBK" w:eastAsia="方正仿宋_GBK"/>
          <w:sz w:val="24"/>
        </w:rPr>
      </w:pPr>
      <w:r>
        <w:rPr>
          <w:rFonts w:hint="eastAsia" w:ascii="方正仿宋_GBK" w:eastAsia="方正仿宋_GBK"/>
          <w:sz w:val="24"/>
        </w:rPr>
        <w:t>投标人违反《中华人民共和国政府采购法》、《中华人民共和国政府采购</w:t>
      </w:r>
      <w:r>
        <w:rPr>
          <w:rFonts w:hint="eastAsia" w:ascii="方正仿宋_GBK" w:eastAsia="方正仿宋_GBK"/>
          <w:sz w:val="24"/>
          <w:lang w:eastAsia="zh-CN"/>
        </w:rPr>
        <w:t>法</w:t>
      </w:r>
      <w:r>
        <w:rPr>
          <w:rFonts w:hint="eastAsia" w:ascii="方正仿宋_GBK" w:eastAsia="方正仿宋_GBK"/>
          <w:sz w:val="24"/>
        </w:rPr>
        <w:t>实施条例》等相关规定，将按规定追究投标人法律责任。</w:t>
      </w:r>
    </w:p>
    <w:p>
      <w:pPr>
        <w:pStyle w:val="5"/>
        <w:spacing w:line="400" w:lineRule="exact"/>
        <w:ind w:firstLine="482" w:firstLineChars="200"/>
        <w:rPr>
          <w:rFonts w:hint="eastAsia" w:ascii="方正仿宋_GBK" w:eastAsia="方正仿宋_GBK"/>
          <w:b/>
          <w:sz w:val="24"/>
        </w:rPr>
      </w:pPr>
      <w:bookmarkStart w:id="54" w:name="_Toc13116"/>
      <w:bookmarkStart w:id="55" w:name="_Toc441065680"/>
      <w:r>
        <w:rPr>
          <w:rFonts w:hint="eastAsia" w:ascii="方正仿宋_GBK" w:eastAsia="方正仿宋_GBK"/>
          <w:b/>
          <w:sz w:val="24"/>
        </w:rPr>
        <w:t>二、招标文件</w:t>
      </w:r>
      <w:bookmarkEnd w:id="54"/>
      <w:bookmarkEnd w:id="55"/>
    </w:p>
    <w:p>
      <w:pPr>
        <w:snapToGrid w:val="0"/>
        <w:spacing w:line="400" w:lineRule="exact"/>
        <w:ind w:firstLine="480"/>
        <w:rPr>
          <w:rFonts w:hint="eastAsia" w:ascii="方正仿宋_GBK" w:hAnsi="宋体" w:eastAsia="方正仿宋_GBK"/>
          <w:sz w:val="24"/>
          <w:szCs w:val="24"/>
        </w:rPr>
      </w:pPr>
      <w:r>
        <w:rPr>
          <w:rFonts w:hint="eastAsia" w:ascii="方正仿宋_GBK" w:hAnsi="宋体" w:eastAsia="方正仿宋_GBK"/>
          <w:sz w:val="24"/>
          <w:szCs w:val="24"/>
        </w:rPr>
        <w:t>招标文件是投标人编制投标文件的依据，是评标委员会评判依据和标准。招标文件也是采购人与中标人签订合同的基础。</w:t>
      </w:r>
    </w:p>
    <w:p>
      <w:pPr>
        <w:snapToGrid w:val="0"/>
        <w:spacing w:line="400" w:lineRule="exact"/>
        <w:ind w:firstLine="480"/>
        <w:rPr>
          <w:rFonts w:hint="eastAsia" w:ascii="方正仿宋_GBK" w:hAnsi="宋体" w:eastAsia="方正仿宋_GBK"/>
          <w:sz w:val="24"/>
          <w:szCs w:val="24"/>
        </w:rPr>
      </w:pPr>
      <w:r>
        <w:rPr>
          <w:rFonts w:hint="eastAsia" w:ascii="方正仿宋_GBK" w:hAnsi="宋体" w:eastAsia="方正仿宋_GBK"/>
          <w:sz w:val="24"/>
          <w:szCs w:val="24"/>
        </w:rPr>
        <w:t>（一）招标文件由投标邀请书；项目技术规格、数量及质量要求；商务条款；投标人须知；评标方法、评标标准、无效投标条款和废标条款；合同主要条款、合同范本；投标文件格式等七部分组成。</w:t>
      </w:r>
    </w:p>
    <w:p>
      <w:pPr>
        <w:snapToGrid w:val="0"/>
        <w:spacing w:line="400" w:lineRule="exact"/>
        <w:ind w:firstLine="480"/>
        <w:rPr>
          <w:rFonts w:hint="eastAsia" w:ascii="方正仿宋_GBK" w:hAnsi="宋体" w:eastAsia="方正仿宋_GBK"/>
          <w:sz w:val="24"/>
          <w:szCs w:val="24"/>
        </w:rPr>
      </w:pPr>
      <w:r>
        <w:rPr>
          <w:rFonts w:hint="eastAsia" w:ascii="方正仿宋_GBK" w:hAnsi="宋体" w:eastAsia="方正仿宋_GBK"/>
          <w:sz w:val="24"/>
          <w:szCs w:val="24"/>
        </w:rPr>
        <w:t>（二）集中采购机构对招标文件所作的一切有效的书面通知、修改及补充，都是招标文件不可分割的部分。</w:t>
      </w:r>
    </w:p>
    <w:p>
      <w:pPr>
        <w:snapToGrid w:val="0"/>
        <w:spacing w:line="400" w:lineRule="exact"/>
        <w:ind w:firstLine="480"/>
        <w:rPr>
          <w:rFonts w:hint="eastAsia" w:ascii="方正仿宋_GBK" w:hAnsi="方正仿宋_GBK" w:eastAsia="方正仿宋_GBK"/>
          <w:sz w:val="24"/>
        </w:rPr>
      </w:pPr>
      <w:r>
        <w:rPr>
          <w:rFonts w:hint="eastAsia" w:ascii="方正仿宋_GBK" w:hAnsi="方正仿宋_GBK" w:eastAsia="方正仿宋_GBK"/>
          <w:sz w:val="24"/>
        </w:rPr>
        <w:t>（三）</w:t>
      </w:r>
      <w:r>
        <w:rPr>
          <w:rFonts w:hint="eastAsia" w:ascii="方正仿宋_GBK" w:hAnsi="宋体" w:eastAsia="方正仿宋_GBK"/>
          <w:sz w:val="24"/>
          <w:szCs w:val="24"/>
        </w:rPr>
        <w:t>本项目的招标文件、补遗文件（如果有）一律在重庆市政府采购网（https://www.ccgp-chongqing.gov.cn）上发布，请各投标人注意下载；无论投标人下载与否，均视同投标人已知晓本项目招标文件、补遗文件的内容。</w:t>
      </w:r>
    </w:p>
    <w:p>
      <w:pPr>
        <w:snapToGrid w:val="0"/>
        <w:spacing w:line="400" w:lineRule="exact"/>
        <w:ind w:firstLine="480" w:firstLineChars="200"/>
        <w:rPr>
          <w:rFonts w:hint="eastAsia" w:ascii="方正仿宋_GBK" w:hAnsi="方正仿宋_GBK" w:eastAsia="方正仿宋_GBK"/>
          <w:sz w:val="24"/>
        </w:rPr>
      </w:pPr>
      <w:r>
        <w:rPr>
          <w:rFonts w:hint="eastAsia" w:ascii="方正仿宋_GBK" w:hAnsi="方正仿宋_GBK" w:eastAsia="方正仿宋_GBK"/>
          <w:sz w:val="24"/>
        </w:rPr>
        <w:t>（四）集中采购机构对已发出的招标文件需要进行澄清或修改的，应以书面形式或公告形式通知所有招标文件收受人。该澄清或者修改的内容为招标文件的组成部分。</w:t>
      </w:r>
    </w:p>
    <w:p>
      <w:pPr>
        <w:pStyle w:val="5"/>
        <w:spacing w:line="400" w:lineRule="exact"/>
        <w:ind w:firstLine="482" w:firstLineChars="200"/>
        <w:rPr>
          <w:rFonts w:hint="eastAsia" w:ascii="方正仿宋_GBK" w:eastAsia="方正仿宋_GBK"/>
          <w:b/>
          <w:sz w:val="24"/>
        </w:rPr>
      </w:pPr>
      <w:bookmarkStart w:id="56" w:name="_Toc11287"/>
      <w:bookmarkStart w:id="57" w:name="_Toc441065681"/>
      <w:r>
        <w:rPr>
          <w:rFonts w:hint="eastAsia" w:ascii="方正仿宋_GBK" w:eastAsia="方正仿宋_GBK"/>
          <w:b/>
          <w:sz w:val="24"/>
        </w:rPr>
        <w:t>三、投标文件</w:t>
      </w:r>
      <w:bookmarkEnd w:id="56"/>
      <w:bookmarkEnd w:id="57"/>
    </w:p>
    <w:p>
      <w:pPr>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投标人应当按照招标文件的要求编制投标文件，并对招标文件提出的要求和条件作出实质性响应，同时应编制完整的页码、目录。</w:t>
      </w:r>
    </w:p>
    <w:p>
      <w:pPr>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（一）投标文件组成</w:t>
      </w:r>
    </w:p>
    <w:p>
      <w:pPr>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投标文件由第七篇“投标文件格式”规定的部分和投标人所作的一切有效补充、修改和承诺等文件组成，投标人应按照第七篇“投标文件格式”规定的目录顺序组织编写和装订，</w:t>
      </w:r>
      <w:r>
        <w:rPr>
          <w:rFonts w:hint="eastAsia" w:ascii="方正仿宋_GBK" w:hAnsi="方正仿宋_GBK" w:eastAsia="方正仿宋_GBK"/>
          <w:sz w:val="24"/>
        </w:rPr>
        <w:t>否则有可能影响评委对投标文件的评审。</w:t>
      </w:r>
    </w:p>
    <w:p>
      <w:pPr>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（二）投标有效期</w:t>
      </w:r>
    </w:p>
    <w:p>
      <w:pPr>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投标有效期为投标截止日期后九十天内。</w:t>
      </w:r>
    </w:p>
    <w:p>
      <w:pPr>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（三）投标保证金</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1.投标人应在投标截止时间前，按招标文件第一篇规定缴纳投标保证金。</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2.投标保证金为投标的有效约束条件。</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3.投标保证金的有效期限在投标有效期过后三十天内继续有效。</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4.投标保证金币种应与投标报价币种相同。</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5.集中采购机构在《中标通知书》发出后五个工作日内退还未中标人的投标保证金；</w:t>
      </w:r>
      <w:r>
        <w:rPr>
          <w:rFonts w:hint="eastAsia" w:ascii="方正仿宋_GBK" w:hAnsi="宋体" w:eastAsia="方正仿宋_GBK"/>
          <w:sz w:val="24"/>
          <w:szCs w:val="24"/>
        </w:rPr>
        <w:t>成交供应商的投标保证金，在成交供应商与采购人签订合同后5个工作日内送至区交易中心进行合同鉴证，由重庆市合川区公共资源交易中心按资金来款渠道直接退还</w:t>
      </w:r>
      <w:r>
        <w:rPr>
          <w:rFonts w:hint="eastAsia" w:ascii="方正仿宋_GBK" w:hAnsi="宋体" w:eastAsia="方正仿宋_GBK"/>
          <w:sz w:val="24"/>
        </w:rPr>
        <w:t>。因故未到交易中心办理银行基本账户注册或未进行合同鉴证等自身原因而耽误了投标保证金退还的，由供应商自行负责。</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6.投标人有下列情形之一的，采购人或者集中采购机构可以不退还投标保证金：</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6.1投标人在投标有效期内撤回投标文件的；</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6.2投标人未按规定提交履约保证金的；</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6.3投标人在投标过程中弄虚作假，提供虚假材料的；</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6.4中标人无正当理由不与采购人签订合同的；</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6.5中标人将中标项目转让给他人或者在投标文件中未说明且未经采购人同意，将中标项目分包给他人的；</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6.6中标人拒绝履行合同义务的；</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6.7其他严重扰乱招投标程序的。</w:t>
      </w:r>
    </w:p>
    <w:p>
      <w:pPr>
        <w:snapToGrid w:val="0"/>
        <w:spacing w:line="400" w:lineRule="exact"/>
        <w:ind w:firstLine="470" w:firstLineChars="196"/>
        <w:jc w:val="left"/>
        <w:rPr>
          <w:rFonts w:hint="eastAsia" w:ascii="方正仿宋_GBK" w:hAnsi="宋体" w:eastAsia="方正仿宋_GBK"/>
          <w:bCs/>
          <w:sz w:val="24"/>
        </w:rPr>
      </w:pPr>
      <w:r>
        <w:rPr>
          <w:rFonts w:hint="eastAsia" w:ascii="方正仿宋_GBK" w:hAnsi="宋体" w:eastAsia="方正仿宋_GBK"/>
          <w:bCs/>
          <w:sz w:val="24"/>
        </w:rPr>
        <w:t>（四）投标文件的份数和签署</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1、投标文件一式三份，其中正本一份，副本二份。每套纸质投标文件须在封面清楚地标明“正本”或“副本”，副本应为正本的完整复印件，副本与正本不一致时以正本为准。</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2、在投标文件正本中，招标文件第七篇投标文件格式中规定签字、盖章的地方必须按其规定签字、盖章。</w:t>
      </w:r>
    </w:p>
    <w:p>
      <w:pPr>
        <w:tabs>
          <w:tab w:val="left" w:pos="0"/>
        </w:tabs>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3、若投标人对投标文件的错处作必要修改，则应在修改处加盖投标人公章或由</w:t>
      </w:r>
      <w:r>
        <w:rPr>
          <w:rFonts w:hint="eastAsia" w:ascii="方正仿宋_GBK" w:hAnsi="宋体" w:eastAsia="方正仿宋_GBK"/>
          <w:sz w:val="24"/>
          <w:szCs w:val="28"/>
        </w:rPr>
        <w:t>法定代表人</w:t>
      </w:r>
      <w:r>
        <w:rPr>
          <w:rFonts w:hint="eastAsia" w:ascii="方正仿宋_GBK" w:hAnsi="宋体" w:eastAsia="方正仿宋_GBK"/>
          <w:sz w:val="24"/>
        </w:rPr>
        <w:t>或</w:t>
      </w:r>
      <w:r>
        <w:rPr>
          <w:rFonts w:hint="eastAsia" w:ascii="方正仿宋_GBK" w:hAnsi="宋体" w:eastAsia="方正仿宋_GBK"/>
          <w:sz w:val="24"/>
          <w:szCs w:val="28"/>
        </w:rPr>
        <w:t>法定代表人</w:t>
      </w:r>
      <w:r>
        <w:rPr>
          <w:rFonts w:hint="eastAsia" w:ascii="方正仿宋_GBK" w:hAnsi="宋体" w:eastAsia="方正仿宋_GBK"/>
          <w:sz w:val="24"/>
        </w:rPr>
        <w:t>授权代表签字确认。</w:t>
      </w:r>
    </w:p>
    <w:p>
      <w:pPr>
        <w:snapToGrid w:val="0"/>
        <w:spacing w:line="400" w:lineRule="exact"/>
        <w:ind w:firstLine="470" w:firstLineChars="196"/>
        <w:jc w:val="left"/>
        <w:rPr>
          <w:rFonts w:hint="eastAsia" w:ascii="方正仿宋_GBK" w:hAnsi="宋体" w:eastAsia="方正仿宋_GBK"/>
          <w:bCs/>
          <w:sz w:val="24"/>
        </w:rPr>
      </w:pPr>
      <w:r>
        <w:rPr>
          <w:rFonts w:hint="eastAsia" w:ascii="方正仿宋_GBK" w:hAnsi="宋体" w:eastAsia="方正仿宋_GBK"/>
          <w:sz w:val="24"/>
        </w:rPr>
        <w:t>4、电报、电话、传真形式的投标文件概不接受。</w:t>
      </w:r>
    </w:p>
    <w:p>
      <w:pPr>
        <w:snapToGrid w:val="0"/>
        <w:spacing w:line="400" w:lineRule="exact"/>
        <w:ind w:firstLine="470" w:firstLineChars="196"/>
        <w:jc w:val="left"/>
        <w:rPr>
          <w:rFonts w:hint="eastAsia" w:ascii="方正仿宋_GBK" w:hAnsi="宋体" w:eastAsia="方正仿宋_GBK"/>
          <w:bCs/>
          <w:sz w:val="24"/>
        </w:rPr>
      </w:pPr>
      <w:r>
        <w:rPr>
          <w:rFonts w:hint="eastAsia" w:ascii="方正仿宋_GBK" w:hAnsi="宋体" w:eastAsia="方正仿宋_GBK"/>
          <w:bCs/>
          <w:sz w:val="24"/>
        </w:rPr>
        <w:t>（五）投标报价</w:t>
      </w:r>
    </w:p>
    <w:p>
      <w:pPr>
        <w:snapToGrid w:val="0"/>
        <w:spacing w:line="400" w:lineRule="exact"/>
        <w:ind w:firstLine="470" w:firstLineChars="196"/>
        <w:jc w:val="left"/>
        <w:rPr>
          <w:rFonts w:hint="eastAsia" w:ascii="方正仿宋_GBK" w:hAnsi="宋体" w:eastAsia="方正仿宋_GBK"/>
          <w:sz w:val="24"/>
        </w:rPr>
      </w:pPr>
      <w:r>
        <w:rPr>
          <w:rFonts w:hint="eastAsia" w:ascii="方正仿宋_GBK" w:hAnsi="宋体" w:eastAsia="方正仿宋_GBK"/>
          <w:bCs/>
          <w:sz w:val="24"/>
        </w:rPr>
        <w:t>1、投标人应严格按照“投标文件格式”中“开标一览表”和“分项报价明细表”</w:t>
      </w:r>
      <w:r>
        <w:rPr>
          <w:rFonts w:hint="eastAsia" w:ascii="方正仿宋_GBK" w:hAnsi="宋体" w:eastAsia="方正仿宋_GBK"/>
          <w:sz w:val="24"/>
        </w:rPr>
        <w:t>的格式填写报价。</w:t>
      </w:r>
    </w:p>
    <w:p>
      <w:pPr>
        <w:snapToGrid w:val="0"/>
        <w:spacing w:line="400" w:lineRule="exact"/>
        <w:ind w:left="3" w:leftChars="1" w:firstLine="480" w:firstLineChars="200"/>
        <w:rPr>
          <w:rFonts w:hint="eastAsia" w:ascii="方正仿宋_GBK" w:hAnsi="宋体" w:eastAsia="方正仿宋_GBK"/>
          <w:sz w:val="24"/>
        </w:rPr>
      </w:pPr>
      <w:r>
        <w:rPr>
          <w:rFonts w:hint="eastAsia" w:ascii="方正仿宋_GBK" w:hAnsi="宋体" w:eastAsia="方正仿宋_GBK"/>
          <w:sz w:val="24"/>
        </w:rPr>
        <w:t>2、投标人的报价为一次性报价，即在投标有效期内投标价格固定不变。</w:t>
      </w:r>
    </w:p>
    <w:p>
      <w:pPr>
        <w:snapToGrid w:val="0"/>
        <w:spacing w:line="400" w:lineRule="exact"/>
        <w:ind w:left="3" w:leftChars="1" w:firstLine="480" w:firstLineChars="200"/>
        <w:rPr>
          <w:rFonts w:hint="eastAsia" w:ascii="方正仿宋_GBK" w:hAnsi="宋体" w:eastAsia="方正仿宋_GBK"/>
          <w:sz w:val="24"/>
        </w:rPr>
      </w:pPr>
      <w:r>
        <w:rPr>
          <w:rFonts w:hint="eastAsia" w:ascii="方正仿宋_GBK" w:hAnsi="宋体" w:eastAsia="方正仿宋_GBK"/>
          <w:sz w:val="24"/>
        </w:rPr>
        <w:t>3、本项目只接受一个投标报价，有选择的或有条件的报价将不予接受。</w:t>
      </w:r>
    </w:p>
    <w:p>
      <w:pPr>
        <w:pStyle w:val="32"/>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（六）修正错误</w:t>
      </w:r>
    </w:p>
    <w:p>
      <w:pPr>
        <w:pStyle w:val="32"/>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若投标文件出现计算或表达上的错误，修正错误的原则如下：</w:t>
      </w:r>
    </w:p>
    <w:p>
      <w:pPr>
        <w:pStyle w:val="32"/>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1.投标文件中开标一览表（报价表）内容与投标文件中相应内容不一致的，以开标一览表（报价表）为准；</w:t>
      </w:r>
    </w:p>
    <w:p>
      <w:pPr>
        <w:pStyle w:val="32"/>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2.大写金额和小写金额不一致的，以大写金额为准；</w:t>
      </w:r>
    </w:p>
    <w:p>
      <w:pPr>
        <w:pStyle w:val="32"/>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3.单价金额小数点或者百分比有明显错位的，以开标一览表的总价为准，并修改单价；</w:t>
      </w:r>
    </w:p>
    <w:p>
      <w:pPr>
        <w:pStyle w:val="32"/>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4.总价金额与按单价汇总金额不一致的，以单价金额计算结果为准。</w:t>
      </w:r>
    </w:p>
    <w:p>
      <w:pPr>
        <w:pStyle w:val="32"/>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评标委员会按上述修正错误的原则及方法调整或修正投标人投标报价，若同时出现两种以上不一致的，按照前款规定的顺序修正，投标人同意并签字确认后，调整后的投标报价对投标人具有约束作用。如果投标人不接受修正后的报价，则其投标将作为无效投标处理。</w:t>
      </w:r>
    </w:p>
    <w:p>
      <w:pPr>
        <w:pStyle w:val="32"/>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（七）投标文件的递交</w:t>
      </w:r>
    </w:p>
    <w:p>
      <w:pPr>
        <w:pStyle w:val="32"/>
        <w:spacing w:line="400" w:lineRule="exact"/>
        <w:ind w:firstLine="600" w:firstLineChars="250"/>
        <w:rPr>
          <w:rFonts w:hint="eastAsia" w:ascii="方正仿宋_GBK" w:hAnsi="宋体" w:eastAsia="方正仿宋_GBK"/>
          <w:color w:val="000000"/>
          <w:sz w:val="24"/>
        </w:rPr>
      </w:pPr>
      <w:bookmarkStart w:id="58" w:name="_Toc441065682"/>
      <w:r>
        <w:rPr>
          <w:rFonts w:hint="eastAsia" w:ascii="方正仿宋_GBK" w:hAnsi="宋体" w:eastAsia="方正仿宋_GBK"/>
          <w:color w:val="000000"/>
          <w:sz w:val="24"/>
        </w:rPr>
        <w:t>1、投标文件的密封与标记</w:t>
      </w:r>
    </w:p>
    <w:p>
      <w:pPr>
        <w:pStyle w:val="32"/>
        <w:spacing w:line="400" w:lineRule="exact"/>
        <w:ind w:firstLine="360" w:firstLineChars="150"/>
        <w:rPr>
          <w:rFonts w:hint="eastAsia" w:ascii="方正仿宋_GBK" w:hAnsi="宋体" w:eastAsia="方正仿宋_GBK"/>
          <w:color w:val="000000"/>
          <w:sz w:val="24"/>
        </w:rPr>
      </w:pPr>
      <w:r>
        <w:rPr>
          <w:rFonts w:hint="eastAsia" w:ascii="方正仿宋_GBK" w:hAnsi="方正仿宋_GBK" w:eastAsia="方正仿宋_GBK"/>
          <w:color w:val="000000"/>
          <w:sz w:val="24"/>
        </w:rPr>
        <w:t>（1）投标文件按照“经济文件”、“资格文件”、“商务文件”、“技术文件”四部分分别封装，“ 经济文件”的正副本封装在一个密封袋内，“资格文件”的正副本封装在一个密封袋内，“商务文件”的正副本封装在一个密封袋内” ，“技术文件”的正副本封装在一个密封袋内。密封袋的封口须加盖投标人公章或法定代表人授权代表签字。</w:t>
      </w:r>
      <w:r>
        <w:rPr>
          <w:rFonts w:hint="eastAsia" w:ascii="方正仿宋_GBK" w:hAnsi="方正仿宋_GBK" w:eastAsia="方正仿宋_GBK"/>
          <w:b/>
          <w:bCs/>
          <w:color w:val="000000"/>
          <w:sz w:val="24"/>
        </w:rPr>
        <w:t>不按本招标文件规定封装和密封的投标，交易中心拒绝接受。</w:t>
      </w:r>
    </w:p>
    <w:p>
      <w:pPr>
        <w:pStyle w:val="32"/>
        <w:spacing w:line="500" w:lineRule="exact"/>
        <w:ind w:firstLine="360" w:firstLineChars="150"/>
        <w:rPr>
          <w:rFonts w:hint="eastAsia" w:ascii="方正仿宋_GBK" w:hAnsi="方正仿宋_GBK" w:eastAsia="方正仿宋_GBK"/>
          <w:color w:val="000000"/>
          <w:sz w:val="24"/>
        </w:rPr>
      </w:pPr>
      <w:r>
        <w:rPr>
          <w:rFonts w:hint="eastAsia" w:ascii="方正仿宋_GBK" w:hAnsi="方正仿宋_GBK" w:eastAsia="方正仿宋_GBK"/>
          <w:color w:val="000000"/>
          <w:sz w:val="24"/>
        </w:rPr>
        <w:t>（2）投标文件的制作</w:t>
      </w:r>
    </w:p>
    <w:p>
      <w:pPr>
        <w:pStyle w:val="32"/>
        <w:spacing w:line="400" w:lineRule="exact"/>
        <w:ind w:firstLine="480" w:firstLineChars="200"/>
        <w:rPr>
          <w:rFonts w:hint="eastAsia" w:ascii="方正仿宋_GBK" w:hAnsi="宋体" w:eastAsia="方正仿宋_GBK"/>
          <w:color w:val="000000"/>
          <w:sz w:val="24"/>
        </w:rPr>
      </w:pPr>
      <w:r>
        <w:rPr>
          <w:rFonts w:hint="eastAsia" w:ascii="方正仿宋_GBK" w:hAnsi="方正仿宋_GBK" w:eastAsia="方正仿宋_GBK"/>
          <w:color w:val="000000"/>
          <w:sz w:val="24"/>
        </w:rPr>
        <w:t>文件的每一部分各自装订成册，应按照第七篇规定目录的顺序编写目录，并应逐页编制页码。在每一本文件的封面上注明</w:t>
      </w:r>
      <w:r>
        <w:rPr>
          <w:rFonts w:hint="eastAsia" w:ascii="方正仿宋_GBK" w:hAnsi="方正仿宋_GBK" w:eastAsia="方正仿宋_GBK"/>
          <w:b/>
          <w:bCs/>
          <w:color w:val="000000"/>
          <w:sz w:val="24"/>
        </w:rPr>
        <w:t>“**文件”、项目名称、投标人名称及地址、“正本”、“副本”</w:t>
      </w:r>
      <w:r>
        <w:rPr>
          <w:rFonts w:hint="eastAsia" w:ascii="方正仿宋_GBK" w:hAnsi="方正仿宋_GBK" w:eastAsia="方正仿宋_GBK"/>
          <w:color w:val="000000"/>
          <w:sz w:val="24"/>
          <w:szCs w:val="22"/>
        </w:rPr>
        <w:t>字样</w:t>
      </w:r>
      <w:r>
        <w:rPr>
          <w:rFonts w:hint="eastAsia" w:ascii="方正仿宋_GBK" w:hAnsi="方正仿宋_GBK" w:eastAsia="方正仿宋_GBK"/>
          <w:color w:val="000000"/>
          <w:sz w:val="24"/>
        </w:rPr>
        <w:t>。</w:t>
      </w:r>
    </w:p>
    <w:p>
      <w:pPr>
        <w:pStyle w:val="32"/>
        <w:spacing w:line="400" w:lineRule="exact"/>
        <w:ind w:firstLine="480" w:firstLineChars="200"/>
        <w:rPr>
          <w:rFonts w:hint="eastAsia" w:ascii="方正仿宋_GBK" w:hAnsi="宋体" w:eastAsia="方正仿宋_GBK"/>
          <w:color w:val="000000"/>
          <w:sz w:val="24"/>
        </w:rPr>
      </w:pPr>
      <w:r>
        <w:rPr>
          <w:rFonts w:hint="eastAsia" w:ascii="方正仿宋_GBK" w:hAnsi="方正仿宋_GBK" w:eastAsia="方正仿宋_GBK"/>
          <w:color w:val="000000"/>
          <w:sz w:val="24"/>
        </w:rPr>
        <w:t>（3）密封袋的封面上注明</w:t>
      </w:r>
      <w:r>
        <w:rPr>
          <w:rFonts w:hint="eastAsia" w:ascii="方正仿宋_GBK" w:hAnsi="方正仿宋_GBK" w:eastAsia="方正仿宋_GBK"/>
          <w:b/>
          <w:bCs/>
          <w:color w:val="000000"/>
          <w:sz w:val="24"/>
        </w:rPr>
        <w:t>“**文件”、项目名称、投标人名称及地址</w:t>
      </w:r>
      <w:r>
        <w:rPr>
          <w:rFonts w:hint="eastAsia" w:ascii="方正仿宋_GBK" w:hAnsi="方正仿宋_GBK" w:eastAsia="方正仿宋_GBK"/>
          <w:color w:val="000000"/>
          <w:sz w:val="24"/>
          <w:szCs w:val="22"/>
        </w:rPr>
        <w:t>字样</w:t>
      </w:r>
      <w:r>
        <w:rPr>
          <w:rFonts w:hint="eastAsia" w:ascii="方正仿宋_GBK" w:hAnsi="方正仿宋_GBK" w:eastAsia="方正仿宋_GBK"/>
          <w:color w:val="000000"/>
          <w:sz w:val="24"/>
        </w:rPr>
        <w:t>。</w:t>
      </w:r>
    </w:p>
    <w:p>
      <w:pPr>
        <w:pStyle w:val="32"/>
        <w:spacing w:line="400" w:lineRule="exact"/>
        <w:ind w:firstLine="602" w:firstLineChars="250"/>
        <w:rPr>
          <w:rFonts w:hint="eastAsia" w:ascii="方正仿宋_GBK" w:hAnsi="宋体" w:eastAsia="方正仿宋_GBK"/>
          <w:color w:val="000000"/>
          <w:sz w:val="24"/>
        </w:rPr>
      </w:pPr>
      <w:r>
        <w:rPr>
          <w:rFonts w:hint="eastAsia" w:ascii="方正仿宋_GBK" w:hAnsi="方正仿宋_GBK" w:eastAsia="方正仿宋_GBK"/>
          <w:b/>
          <w:bCs/>
          <w:color w:val="000000"/>
          <w:sz w:val="24"/>
        </w:rPr>
        <w:t>2、如果未按上述要求进行制作和标记，集中采购机构对投标文件误投、丢失或拆封不负责任。</w:t>
      </w:r>
    </w:p>
    <w:p>
      <w:pPr>
        <w:pStyle w:val="5"/>
        <w:spacing w:line="400" w:lineRule="exact"/>
        <w:ind w:firstLine="482" w:firstLineChars="200"/>
        <w:rPr>
          <w:rFonts w:hint="eastAsia" w:ascii="方正仿宋_GBK" w:eastAsia="方正仿宋_GBK"/>
          <w:b/>
          <w:sz w:val="24"/>
        </w:rPr>
      </w:pPr>
      <w:bookmarkStart w:id="59" w:name="_Toc28932"/>
      <w:r>
        <w:rPr>
          <w:rFonts w:hint="eastAsia" w:ascii="方正仿宋_GBK" w:eastAsia="方正仿宋_GBK"/>
          <w:b/>
          <w:sz w:val="24"/>
        </w:rPr>
        <w:t>四、开标</w:t>
      </w:r>
      <w:bookmarkEnd w:id="58"/>
      <w:bookmarkEnd w:id="59"/>
    </w:p>
    <w:p>
      <w:pPr>
        <w:spacing w:line="400" w:lineRule="exact"/>
        <w:ind w:firstLine="480" w:firstLineChars="200"/>
        <w:rPr>
          <w:rFonts w:hint="eastAsia" w:ascii="方正仿宋_GBK" w:hAnsi="方正仿宋_GBK" w:eastAsia="方正仿宋_GBK"/>
          <w:sz w:val="24"/>
        </w:rPr>
      </w:pPr>
      <w:r>
        <w:rPr>
          <w:rFonts w:hint="eastAsia" w:ascii="方正仿宋_GBK" w:hAnsi="方正仿宋_GBK" w:eastAsia="方正仿宋_GBK"/>
          <w:sz w:val="24"/>
        </w:rPr>
        <w:t>（一）开标应当在招标文件中“投标邀请书”确定的时间和地点公开进行。</w:t>
      </w:r>
    </w:p>
    <w:p>
      <w:pPr>
        <w:spacing w:line="400" w:lineRule="exact"/>
        <w:ind w:firstLine="480" w:firstLineChars="200"/>
        <w:rPr>
          <w:rFonts w:hint="eastAsia" w:ascii="方正仿宋_GBK" w:hAnsi="方正仿宋_GBK" w:eastAsia="方正仿宋_GBK"/>
          <w:sz w:val="24"/>
        </w:rPr>
      </w:pPr>
      <w:r>
        <w:rPr>
          <w:rFonts w:hint="eastAsia" w:ascii="方正仿宋_GBK" w:hAnsi="方正仿宋_GBK" w:eastAsia="方正仿宋_GBK"/>
          <w:sz w:val="24"/>
        </w:rPr>
        <w:t>（二）</w:t>
      </w:r>
      <w:r>
        <w:rPr>
          <w:rFonts w:hint="eastAsia" w:ascii="方正仿宋_GBK" w:hAnsi="宋体" w:eastAsia="方正仿宋_GBK"/>
          <w:sz w:val="24"/>
        </w:rPr>
        <w:t>集中采购机构</w:t>
      </w:r>
      <w:r>
        <w:rPr>
          <w:rFonts w:hint="eastAsia" w:ascii="方正仿宋_GBK" w:hAnsi="方正仿宋_GBK" w:eastAsia="方正仿宋_GBK"/>
          <w:sz w:val="24"/>
        </w:rPr>
        <w:t>可视采购具体情况，延长投标截止时间和开标时间，但至少在招标文件要求提交投标文件的截止时间三日前，将变更时间书面通知所有招标文件收受人。</w:t>
      </w:r>
    </w:p>
    <w:p>
      <w:pPr>
        <w:spacing w:line="400" w:lineRule="exact"/>
        <w:ind w:firstLine="480" w:firstLineChars="200"/>
        <w:rPr>
          <w:rFonts w:hint="eastAsia" w:ascii="方正仿宋_GBK" w:hAnsi="方正仿宋_GBK" w:eastAsia="方正仿宋_GBK"/>
          <w:sz w:val="24"/>
        </w:rPr>
      </w:pPr>
      <w:r>
        <w:rPr>
          <w:rFonts w:hint="eastAsia" w:ascii="方正仿宋_GBK" w:hAnsi="方正仿宋_GBK" w:eastAsia="方正仿宋_GBK"/>
          <w:sz w:val="24"/>
        </w:rPr>
        <w:t>（三）开标由</w:t>
      </w:r>
      <w:r>
        <w:rPr>
          <w:rFonts w:hint="eastAsia" w:ascii="方正仿宋_GBK" w:hAnsi="宋体" w:eastAsia="方正仿宋_GBK"/>
          <w:sz w:val="24"/>
        </w:rPr>
        <w:t>集中采购机构</w:t>
      </w:r>
      <w:r>
        <w:rPr>
          <w:rFonts w:hint="eastAsia" w:ascii="方正仿宋_GBK" w:hAnsi="方正仿宋_GBK" w:eastAsia="方正仿宋_GBK"/>
          <w:sz w:val="24"/>
        </w:rPr>
        <w:t>主持，邀请采购人、投标人、财政部门和有关监督部门代表参加，财政部门和有关监督部门可视情况派员现场监督。</w:t>
      </w:r>
    </w:p>
    <w:p>
      <w:pPr>
        <w:spacing w:line="400" w:lineRule="exact"/>
        <w:ind w:firstLine="480" w:firstLineChars="200"/>
        <w:rPr>
          <w:rFonts w:hint="eastAsia" w:ascii="方正仿宋_GBK" w:hAnsi="方正仿宋_GBK" w:eastAsia="方正仿宋_GBK"/>
          <w:sz w:val="24"/>
        </w:rPr>
      </w:pPr>
      <w:r>
        <w:rPr>
          <w:rFonts w:hint="eastAsia" w:ascii="方正仿宋_GBK" w:hAnsi="方正仿宋_GBK" w:eastAsia="方正仿宋_GBK"/>
          <w:sz w:val="24"/>
        </w:rPr>
        <w:t>（四）开标时，由投标人或者其推选的代表检查投标文件的密封情况；经确认无误后，由集中采购机构工作人员当众拆封，宣布投标人名称，先开启资格文件由采购人或者集中采购机构进行审查，公布资格审查合格的投标人名单，并对资格审查不合格的投标人说明原因；再开启资格审查合格的投标人的商务文件和技术文件，最后开启经济文件和需要宣布的其他内容。投标人不足三家的，不得开标。</w:t>
      </w:r>
    </w:p>
    <w:p>
      <w:pPr>
        <w:spacing w:line="400" w:lineRule="exact"/>
        <w:ind w:firstLine="480" w:firstLineChars="200"/>
        <w:rPr>
          <w:rFonts w:hint="eastAsia" w:ascii="方正仿宋_GBK" w:hAnsi="方正仿宋_GBK" w:eastAsia="方正仿宋_GBK"/>
          <w:sz w:val="24"/>
        </w:rPr>
      </w:pPr>
      <w:r>
        <w:rPr>
          <w:rFonts w:hint="eastAsia" w:ascii="方正仿宋_GBK" w:hAnsi="方正仿宋_GBK" w:eastAsia="方正仿宋_GBK"/>
          <w:sz w:val="24"/>
        </w:rPr>
        <w:t>（五）未宣读的投标价格、价格折扣和招标文件允许提供的备选投标方案等实质性内容等，评标时不予承认。</w:t>
      </w:r>
    </w:p>
    <w:p>
      <w:pPr>
        <w:pStyle w:val="32"/>
        <w:spacing w:line="400" w:lineRule="exact"/>
        <w:ind w:firstLine="480" w:firstLineChars="200"/>
        <w:rPr>
          <w:rFonts w:hint="eastAsia" w:ascii="方正仿宋_GBK" w:hAnsi="宋体" w:eastAsia="方正仿宋_GBK"/>
          <w:sz w:val="24"/>
        </w:rPr>
      </w:pPr>
      <w:r>
        <w:rPr>
          <w:rFonts w:hint="eastAsia" w:ascii="方正仿宋_GBK" w:hAnsi="方正仿宋_GBK" w:eastAsia="方正仿宋_GBK"/>
          <w:sz w:val="24"/>
        </w:rPr>
        <w:t>（六）开标过程应由招标采购单位指定专人负责记录，并存档备查。</w:t>
      </w:r>
    </w:p>
    <w:p>
      <w:pPr>
        <w:pStyle w:val="5"/>
        <w:spacing w:line="400" w:lineRule="exact"/>
        <w:ind w:firstLine="482" w:firstLineChars="200"/>
        <w:rPr>
          <w:rFonts w:hint="eastAsia" w:ascii="方正仿宋_GBK" w:eastAsia="方正仿宋_GBK"/>
          <w:b/>
          <w:sz w:val="24"/>
        </w:rPr>
      </w:pPr>
      <w:bookmarkStart w:id="60" w:name="_Toc24433"/>
      <w:bookmarkStart w:id="61" w:name="_Toc441065683"/>
      <w:r>
        <w:rPr>
          <w:rFonts w:hint="eastAsia" w:ascii="方正仿宋_GBK" w:eastAsia="方正仿宋_GBK"/>
          <w:b/>
          <w:sz w:val="24"/>
        </w:rPr>
        <w:t>五、评标</w:t>
      </w:r>
      <w:bookmarkEnd w:id="60"/>
      <w:bookmarkEnd w:id="61"/>
    </w:p>
    <w:p>
      <w:pPr>
        <w:snapToGrid w:val="0"/>
        <w:spacing w:line="400" w:lineRule="exact"/>
        <w:ind w:firstLine="480" w:firstLineChars="200"/>
        <w:rPr>
          <w:rFonts w:hint="eastAsia" w:ascii="方正仿宋_GBK" w:eastAsia="方正仿宋_GBK"/>
          <w:sz w:val="24"/>
        </w:rPr>
      </w:pPr>
      <w:r>
        <w:rPr>
          <w:rFonts w:hint="eastAsia" w:ascii="方正仿宋_GBK" w:eastAsia="方正仿宋_GBK"/>
          <w:sz w:val="24"/>
        </w:rPr>
        <w:t>见第四篇“评标”内容。</w:t>
      </w:r>
    </w:p>
    <w:p>
      <w:pPr>
        <w:pStyle w:val="5"/>
        <w:spacing w:line="400" w:lineRule="exact"/>
        <w:ind w:firstLine="482" w:firstLineChars="200"/>
        <w:rPr>
          <w:rFonts w:hint="eastAsia" w:ascii="方正仿宋_GBK" w:eastAsia="方正仿宋_GBK"/>
          <w:b/>
          <w:sz w:val="24"/>
        </w:rPr>
      </w:pPr>
      <w:bookmarkStart w:id="62" w:name="_Toc441065684"/>
      <w:bookmarkStart w:id="63" w:name="_Toc14721"/>
      <w:r>
        <w:rPr>
          <w:rFonts w:hint="eastAsia" w:ascii="方正仿宋_GBK" w:eastAsia="方正仿宋_GBK"/>
          <w:b/>
          <w:sz w:val="24"/>
        </w:rPr>
        <w:t>六、定标</w:t>
      </w:r>
      <w:bookmarkEnd w:id="62"/>
      <w:bookmarkEnd w:id="63"/>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（一）定标原则</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采购人或其授权的评标委员会应按照评标报告中推荐的中标候选人排名顺序确定中标人。</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（二）定标程序</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1、集中采购机构应当在评标结束后2个工作日内将评标报告送采购人。</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2、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并在2个工作日内发出中标或成交通知书。</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3、采购人或者集中采购机构应当自中标人确定之日起2个工作日内，在“重庆市政府采购网”上公告中标结果。中标公告期限为1个工作日。</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4.中标人变更</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中标人拒绝与采购人签订合同的，采购人可以按照评标报告推荐的中标候选人顺序，确定排名下一位的候选人为中标人，也可以重新开展政府采购活动</w:t>
      </w:r>
      <w:r>
        <w:rPr>
          <w:rFonts w:hint="eastAsia" w:ascii="方正仿宋_GBK" w:eastAsia="方正仿宋_GBK"/>
          <w:sz w:val="24"/>
        </w:rPr>
        <w:t>。</w:t>
      </w:r>
    </w:p>
    <w:p>
      <w:pPr>
        <w:pStyle w:val="5"/>
        <w:spacing w:line="400" w:lineRule="exact"/>
        <w:ind w:firstLine="482" w:firstLineChars="200"/>
        <w:rPr>
          <w:rFonts w:hint="eastAsia" w:ascii="方正仿宋_GBK" w:eastAsia="方正仿宋_GBK"/>
          <w:b/>
          <w:sz w:val="24"/>
          <w:szCs w:val="22"/>
        </w:rPr>
      </w:pPr>
      <w:bookmarkStart w:id="64" w:name="_Toc441065685"/>
      <w:bookmarkStart w:id="65" w:name="_Toc25719"/>
      <w:r>
        <w:rPr>
          <w:rFonts w:hint="eastAsia" w:ascii="方正仿宋_GBK" w:eastAsia="方正仿宋_GBK"/>
          <w:b/>
          <w:sz w:val="24"/>
          <w:szCs w:val="22"/>
        </w:rPr>
        <w:t>七、中标通知书</w:t>
      </w:r>
      <w:bookmarkEnd w:id="64"/>
      <w:bookmarkEnd w:id="65"/>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（一）采购人依法确定中标人后，以书面形式发出中标通知书。</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（二）中标通知书发出后，采购人改变中标结果，或者中标人放弃中标，应当承担相应的法律责任。</w:t>
      </w:r>
    </w:p>
    <w:p>
      <w:pPr>
        <w:pStyle w:val="5"/>
        <w:spacing w:line="400" w:lineRule="exact"/>
        <w:ind w:firstLine="361" w:firstLineChars="150"/>
        <w:rPr>
          <w:rFonts w:hint="eastAsia" w:ascii="方正仿宋_GBK" w:eastAsia="方正仿宋_GBK"/>
          <w:b/>
          <w:sz w:val="24"/>
        </w:rPr>
      </w:pPr>
      <w:bookmarkStart w:id="66" w:name="_Toc441065686"/>
      <w:bookmarkStart w:id="67" w:name="_Toc31889"/>
      <w:r>
        <w:rPr>
          <w:rFonts w:hint="eastAsia" w:ascii="方正仿宋_GBK" w:eastAsia="方正仿宋_GBK"/>
          <w:b/>
          <w:sz w:val="24"/>
        </w:rPr>
        <w:t>八、</w:t>
      </w:r>
      <w:bookmarkEnd w:id="66"/>
      <w:r>
        <w:rPr>
          <w:rFonts w:hint="eastAsia" w:ascii="方正仿宋_GBK" w:hAnsi="方正仿宋_GBK" w:eastAsia="方正仿宋_GBK"/>
          <w:b/>
          <w:sz w:val="24"/>
          <w:szCs w:val="22"/>
        </w:rPr>
        <w:t>询问、质疑和投诉</w:t>
      </w:r>
      <w:bookmarkEnd w:id="67"/>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（一）询问</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采购人或者集中采购机构应当在3个工作日内对投标人依法提出的询问作出答复。投标人询问可以是口头或书面形式</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（二）质疑</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1.质疑内容、时限</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1.1招标文件公告期限为采购公告发出之日起五个工作日，投标人对招标文件提出质疑的，应在招标文件公告期限届满之日起七个工作日内以书面形式向采购人、集中采购机构提出，并附相关证明材料。</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1.2 投标人对采购过程提出质疑的，应在各采购程序环节结束之日起七个工作日内以书面形式向采购人、集中采购机构提出，并附相关证明材料。</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1.3中标结果公告期限为中标结果公告发出之日起一个工作日，投标人对中标结果如有异议的，应当在中标结果公告期限届满之日起七个工作日内以书面形式向采购人或集中采购机构提出质疑，并附相关证明材料。</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1.4投标人对招标文件中的投标人特定资格条件、技术质量和商务要求、评审标准有异议的，应主要向采购人提出质疑，其他问题可向集中采购机构提出质疑。</w:t>
      </w:r>
    </w:p>
    <w:p>
      <w:pPr>
        <w:snapToGrid w:val="0"/>
        <w:spacing w:line="400" w:lineRule="exact"/>
        <w:ind w:firstLine="480" w:firstLineChars="200"/>
        <w:rPr>
          <w:rFonts w:hint="eastAsia" w:ascii="仿宋" w:hAnsi="仿宋" w:eastAsia="仿宋" w:cs="仿宋"/>
          <w:sz w:val="24"/>
        </w:rPr>
      </w:pPr>
      <w:r>
        <w:rPr>
          <w:rFonts w:hint="eastAsia" w:ascii="方正仿宋_GBK" w:hAnsi="宋体" w:eastAsia="方正仿宋_GBK"/>
          <w:sz w:val="24"/>
        </w:rPr>
        <w:t>1.5质疑所需质疑书格式请在重庆市政府采购网下载。质疑时提供质疑书一正本，二副本，并提供质疑书电子件。</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2.质疑答复</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采购人、集中采购机构应当在收到投标人的书面质疑后七个工作日内作出答复，并以书面形式通知质疑投标人和其他有关投标人。</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（三）投诉</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1.投标人对采购人、集中采购机构的答复不满意，或者采购人、集中采购机构未在规定时间内答复的，可在答复期满后十五个工作日内按有关规定，向同级财政部门投诉。</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2.在提出投诉时，应附送相关证明材料。投诉书及证明材料为外文的，应同时提供其中文译本；中文与外文意思不一致的，以中文为准。</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3.在确定受理投诉后，财政部门自受理投诉之日起三十个工作日内（进行调查取证或者组织质证时间除外）对投诉事项做出处理决定，并将投诉处理决定书送达投诉人、被投诉人和其他与投诉处理决定有利害关系的政府采购相关当事人，同时在重庆市政府采购网公告投诉处理决定书。</w:t>
      </w:r>
    </w:p>
    <w:p>
      <w:pPr>
        <w:pStyle w:val="5"/>
        <w:spacing w:line="400" w:lineRule="exact"/>
        <w:ind w:firstLine="482" w:firstLineChars="200"/>
        <w:rPr>
          <w:rFonts w:hint="eastAsia" w:ascii="方正仿宋_GBK" w:eastAsia="方正仿宋_GBK"/>
          <w:b/>
          <w:sz w:val="24"/>
        </w:rPr>
      </w:pPr>
      <w:bookmarkStart w:id="68" w:name="_Toc441065689"/>
      <w:bookmarkStart w:id="69" w:name="_Toc23549"/>
      <w:r>
        <w:rPr>
          <w:rFonts w:hint="eastAsia" w:ascii="方正仿宋_GBK" w:eastAsia="方正仿宋_GBK"/>
          <w:b/>
          <w:sz w:val="24"/>
        </w:rPr>
        <w:t>九、签订合同</w:t>
      </w:r>
      <w:bookmarkEnd w:id="68"/>
      <w:bookmarkEnd w:id="69"/>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（一）采购人应当自中标通知书发出之日起三十日内，按照招标文件和中标人投标文件的约定，与中标人签订书面合同。所签订的合同不得对招标文件和中标人投标文件作实质性修改。</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（二）采购人应当自政府采购合同签订之日起2个工作日内，将政府采购合同在重庆市政府采购网上公告，但政府采购合同中涉及国家秘密、商业秘密的内容除外。</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（三）招标文件、中标人的投标文件及澄清文件等，均为签订政府采购合同的依据。</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（四）合同生效条款由供需双方约定，法律、行政法规规定应当办理批准、登记等手续后生效的合同，依照其规定。</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（五）合同原则上应按照《重庆市政府采购合同》签订，相关单位要求适用合同通用格式版本的，应按其要求另行签订其他合同。</w:t>
      </w:r>
    </w:p>
    <w:p>
      <w:pPr>
        <w:snapToGrid w:val="0"/>
        <w:spacing w:line="400" w:lineRule="exact"/>
        <w:ind w:firstLine="480" w:firstLineChars="200"/>
        <w:rPr>
          <w:rFonts w:hint="eastAsia" w:ascii="方正仿宋_GBK" w:hAnsi="宋体" w:eastAsia="方正仿宋_GBK"/>
          <w:sz w:val="24"/>
        </w:rPr>
      </w:pPr>
      <w:r>
        <w:rPr>
          <w:rFonts w:hint="eastAsia" w:ascii="方正仿宋_GBK" w:hAnsi="宋体" w:eastAsia="方正仿宋_GBK"/>
          <w:sz w:val="24"/>
        </w:rPr>
        <w:t>（六）采购人要求中标人提供履约保证金的，应当在招标文件中予以约定。中标人履约完毕后，采购人应按招标文件及合同的约定无息退还其履约保证金。</w:t>
      </w:r>
    </w:p>
    <w:p>
      <w:pPr>
        <w:snapToGrid w:val="0"/>
        <w:spacing w:line="400" w:lineRule="exact"/>
        <w:ind w:firstLine="482" w:firstLineChars="200"/>
        <w:rPr>
          <w:rFonts w:hint="eastAsia" w:ascii="方正仿宋_GBK" w:hAnsi="宋体" w:eastAsia="方正仿宋_GBK"/>
          <w:b/>
          <w:bCs/>
          <w:sz w:val="24"/>
          <w:szCs w:val="24"/>
        </w:rPr>
      </w:pPr>
      <w:r>
        <w:rPr>
          <w:rFonts w:hint="eastAsia" w:ascii="方正仿宋_GBK" w:hAnsi="宋体" w:eastAsia="方正仿宋_GBK"/>
          <w:b/>
          <w:bCs/>
          <w:sz w:val="24"/>
          <w:szCs w:val="24"/>
        </w:rPr>
        <w:t>（七）采购人与成交供应商签订政府采购合同之日起5个工作日内，由采购人或成交供应商将合同提交1份给集中采购机构，集中采购机构按照规定的时间退还成交供应商的投标保证金。</w:t>
      </w:r>
    </w:p>
    <w:p>
      <w:pPr>
        <w:snapToGrid w:val="0"/>
        <w:spacing w:line="400" w:lineRule="exact"/>
        <w:ind w:firstLine="482" w:firstLineChars="200"/>
        <w:rPr>
          <w:rFonts w:hint="eastAsia" w:ascii="方正仿宋_GBK" w:eastAsia="方正仿宋_GBK"/>
          <w:b/>
          <w:sz w:val="24"/>
          <w:szCs w:val="22"/>
        </w:rPr>
      </w:pPr>
      <w:r>
        <w:rPr>
          <w:rFonts w:hint="eastAsia" w:ascii="方正仿宋_GBK" w:eastAsia="方正仿宋_GBK"/>
          <w:b/>
          <w:sz w:val="24"/>
          <w:szCs w:val="22"/>
        </w:rPr>
        <w:t>十、政府采购信用融资</w:t>
      </w:r>
    </w:p>
    <w:p>
      <w:pPr>
        <w:snapToGrid w:val="0"/>
        <w:spacing w:line="400" w:lineRule="exact"/>
        <w:ind w:firstLine="480" w:firstLineChars="200"/>
        <w:rPr>
          <w:rFonts w:hint="eastAsia" w:ascii="方正仿宋_GBK" w:hAnsi="方正仿宋_GBK" w:eastAsia="方正仿宋_GBK"/>
          <w:color w:val="FF0000"/>
          <w:sz w:val="24"/>
        </w:rPr>
      </w:pPr>
      <w:r>
        <w:rPr>
          <w:rFonts w:hint="eastAsia" w:ascii="方正仿宋_GBK" w:hAnsi="宋体" w:eastAsia="方正仿宋_GBK"/>
          <w:sz w:val="24"/>
        </w:rPr>
        <w:t>投标人参与重庆市政府采购活动，成为中标、成交供应商，并与采购人签订政府采购合同后，可按照重庆市政府采购支持中小企业信用融资办法的规定，向开展政府采购信用融资业务的银行申请贷款。具体内容详见重庆市政府采购网“信用融资”信息专栏。</w:t>
      </w:r>
    </w:p>
    <w:p>
      <w:pPr>
        <w:spacing w:line="400" w:lineRule="exact"/>
        <w:ind w:firstLine="480" w:firstLineChars="200"/>
        <w:rPr>
          <w:rFonts w:hint="eastAsia" w:ascii="宋体" w:hAnsi="宋体" w:cs="宋体"/>
          <w:color w:val="FF0000"/>
          <w:sz w:val="24"/>
        </w:rPr>
      </w:pPr>
    </w:p>
    <w:p>
      <w:pPr>
        <w:pStyle w:val="4"/>
        <w:numPr>
          <w:ilvl w:val="0"/>
          <w:numId w:val="16"/>
        </w:numPr>
        <w:spacing w:beforeLines="0" w:afterLines="0" w:line="360" w:lineRule="auto"/>
        <w:jc w:val="both"/>
        <w:rPr>
          <w:rFonts w:hint="eastAsia" w:ascii="方正小标宋_GBK" w:eastAsia="方正小标宋_GBK"/>
        </w:rPr>
      </w:pPr>
      <w:r>
        <w:rPr>
          <w:rFonts w:hint="eastAsia" w:ascii="宋体" w:hAnsi="宋体" w:eastAsia="宋体" w:cs="宋体"/>
        </w:rPr>
        <w:br w:type="page"/>
      </w:r>
      <w:bookmarkStart w:id="70" w:name="_Toc11902"/>
      <w:bookmarkStart w:id="71" w:name="_Toc441065690"/>
      <w:r>
        <w:rPr>
          <w:rFonts w:hint="eastAsia" w:ascii="方正小标宋_GBK" w:eastAsia="方正小标宋_GBK"/>
        </w:rPr>
        <w:t xml:space="preserve"> 合同</w:t>
      </w:r>
      <w:bookmarkEnd w:id="70"/>
      <w:bookmarkEnd w:id="71"/>
      <w:r>
        <w:rPr>
          <w:rFonts w:hint="eastAsia" w:ascii="方正小标宋_GBK" w:eastAsia="方正小标宋_GBK"/>
        </w:rPr>
        <w:t>（样本）</w:t>
      </w:r>
    </w:p>
    <w:p>
      <w:pPr>
        <w:spacing w:line="520" w:lineRule="exact"/>
        <w:jc w:val="center"/>
        <w:rPr>
          <w:rFonts w:hint="eastAsia" w:eastAsia="黑体"/>
          <w:color w:val="000000"/>
          <w:sz w:val="52"/>
        </w:rPr>
      </w:pPr>
    </w:p>
    <w:p>
      <w:pPr>
        <w:spacing w:line="240" w:lineRule="atLeast"/>
        <w:jc w:val="center"/>
        <w:rPr>
          <w:rFonts w:hint="eastAsia" w:eastAsia="黑体"/>
          <w:bCs/>
          <w:color w:val="000000"/>
          <w:sz w:val="72"/>
          <w:szCs w:val="72"/>
        </w:rPr>
      </w:pPr>
      <w:r>
        <w:rPr>
          <w:rFonts w:hint="eastAsia" w:eastAsia="黑体"/>
          <w:bCs/>
          <w:color w:val="000000"/>
          <w:sz w:val="72"/>
          <w:szCs w:val="72"/>
        </w:rPr>
        <w:t>技术服务合同</w:t>
      </w:r>
    </w:p>
    <w:p>
      <w:pPr>
        <w:spacing w:line="520" w:lineRule="exact"/>
        <w:jc w:val="center"/>
        <w:rPr>
          <w:rFonts w:eastAsia="楷体_GB2312"/>
          <w:color w:val="000000"/>
          <w:sz w:val="36"/>
        </w:rPr>
      </w:pPr>
    </w:p>
    <w:p>
      <w:pPr>
        <w:spacing w:line="520" w:lineRule="exact"/>
        <w:jc w:val="center"/>
        <w:rPr>
          <w:rFonts w:hint="eastAsia" w:eastAsia="楷体_GB2312"/>
          <w:color w:val="000000"/>
          <w:sz w:val="36"/>
        </w:rPr>
      </w:pPr>
    </w:p>
    <w:p>
      <w:pPr>
        <w:spacing w:line="520" w:lineRule="exact"/>
        <w:jc w:val="center"/>
        <w:rPr>
          <w:rFonts w:hint="eastAsia" w:eastAsia="楷体_GB2312"/>
          <w:color w:val="000000"/>
          <w:sz w:val="36"/>
        </w:rPr>
      </w:pPr>
    </w:p>
    <w:p>
      <w:pPr>
        <w:spacing w:line="520" w:lineRule="exact"/>
        <w:jc w:val="center"/>
        <w:rPr>
          <w:rFonts w:eastAsia="楷体_GB2312"/>
          <w:color w:val="000000"/>
          <w:sz w:val="36"/>
        </w:rPr>
      </w:pPr>
    </w:p>
    <w:p>
      <w:pPr>
        <w:spacing w:line="520" w:lineRule="exact"/>
        <w:rPr>
          <w:rFonts w:eastAsia="楷体_GB2312"/>
          <w:color w:val="000000"/>
          <w:sz w:val="18"/>
        </w:rPr>
      </w:pPr>
      <w:r>
        <w:rPr>
          <w:rFonts w:eastAsia="楷体_GB2312"/>
          <w:color w:val="000000"/>
          <w:sz w:val="36"/>
        </w:rPr>
        <w:t xml:space="preserve">     </w:t>
      </w:r>
    </w:p>
    <w:p>
      <w:pPr>
        <w:spacing w:line="560" w:lineRule="exact"/>
        <w:ind w:left="3138" w:leftChars="368" w:hanging="2108" w:hangingChars="700"/>
        <w:rPr>
          <w:bCs/>
          <w:color w:val="000000"/>
          <w:szCs w:val="28"/>
          <w:u w:val="single"/>
        </w:rPr>
      </w:pPr>
      <w:r>
        <w:rPr>
          <w:rFonts w:hint="eastAsia"/>
          <w:b/>
          <w:bCs/>
          <w:color w:val="000000"/>
          <w:sz w:val="30"/>
          <w:szCs w:val="30"/>
        </w:rPr>
        <w:t>项  目 名  称:</w:t>
      </w:r>
      <w:r>
        <w:rPr>
          <w:rFonts w:hint="eastAsia"/>
          <w:bCs/>
          <w:color w:val="000000"/>
          <w:szCs w:val="28"/>
          <w:u w:val="single"/>
        </w:rPr>
        <w:t xml:space="preserve"> 合川区南溪河摇金断面水质改善服务项目     </w:t>
      </w:r>
    </w:p>
    <w:p>
      <w:pPr>
        <w:spacing w:line="560" w:lineRule="exact"/>
        <w:ind w:left="428" w:leftChars="153" w:firstLine="452" w:firstLineChars="150"/>
        <w:rPr>
          <w:rFonts w:hint="eastAsia"/>
          <w:b/>
          <w:bCs/>
          <w:color w:val="000000"/>
          <w:sz w:val="30"/>
          <w:szCs w:val="30"/>
        </w:rPr>
      </w:pPr>
    </w:p>
    <w:p>
      <w:pPr>
        <w:spacing w:line="560" w:lineRule="exact"/>
        <w:ind w:left="428" w:leftChars="153" w:firstLine="452" w:firstLineChars="150"/>
        <w:rPr>
          <w:rFonts w:hint="eastAsia"/>
          <w:bCs/>
          <w:color w:val="000000"/>
          <w:szCs w:val="28"/>
          <w:u w:val="single"/>
        </w:rPr>
      </w:pPr>
      <w:r>
        <w:rPr>
          <w:rFonts w:hint="eastAsia"/>
          <w:b/>
          <w:bCs/>
          <w:color w:val="000000"/>
          <w:sz w:val="30"/>
          <w:szCs w:val="30"/>
        </w:rPr>
        <w:t>服  务 类  别:</w:t>
      </w:r>
      <w:r>
        <w:rPr>
          <w:rFonts w:hint="eastAsia"/>
          <w:bCs/>
          <w:color w:val="000000"/>
          <w:szCs w:val="28"/>
          <w:u w:val="single"/>
        </w:rPr>
        <w:t xml:space="preserve">             技术服务类                          </w:t>
      </w:r>
    </w:p>
    <w:p>
      <w:pPr>
        <w:spacing w:line="560" w:lineRule="exact"/>
        <w:rPr>
          <w:rFonts w:hint="eastAsia"/>
          <w:bCs/>
          <w:color w:val="000000"/>
          <w:szCs w:val="28"/>
        </w:rPr>
      </w:pPr>
    </w:p>
    <w:p>
      <w:pPr>
        <w:spacing w:line="520" w:lineRule="exact"/>
        <w:ind w:firstLine="753" w:firstLineChars="250"/>
        <w:rPr>
          <w:rFonts w:hint="eastAsia"/>
          <w:bCs/>
          <w:color w:val="000000"/>
          <w:szCs w:val="28"/>
          <w:u w:val="single"/>
        </w:rPr>
      </w:pPr>
      <w:r>
        <w:rPr>
          <w:rFonts w:hint="eastAsia"/>
          <w:b/>
          <w:bCs/>
          <w:color w:val="000000"/>
          <w:sz w:val="30"/>
          <w:szCs w:val="30"/>
        </w:rPr>
        <w:t>委托方（甲方）：</w:t>
      </w:r>
      <w:r>
        <w:rPr>
          <w:rFonts w:hint="eastAsia"/>
          <w:bCs/>
          <w:color w:val="000000"/>
          <w:szCs w:val="28"/>
          <w:u w:val="single"/>
        </w:rPr>
        <w:t xml:space="preserve">     重庆市合川区生态环境局                </w:t>
      </w:r>
    </w:p>
    <w:p>
      <w:pPr>
        <w:spacing w:line="520" w:lineRule="exact"/>
        <w:ind w:firstLine="840" w:firstLineChars="300"/>
        <w:rPr>
          <w:rFonts w:hint="eastAsia"/>
          <w:bCs/>
          <w:color w:val="000000"/>
          <w:szCs w:val="28"/>
        </w:rPr>
      </w:pPr>
    </w:p>
    <w:p>
      <w:pPr>
        <w:rPr>
          <w:rFonts w:hint="eastAsia"/>
        </w:rPr>
      </w:pPr>
      <w:r>
        <w:rPr>
          <w:rFonts w:hint="eastAsia"/>
          <w:b/>
          <w:bCs/>
          <w:color w:val="000000"/>
          <w:sz w:val="30"/>
          <w:szCs w:val="30"/>
        </w:rPr>
        <w:t>受托方（乙方）</w:t>
      </w:r>
      <w:r>
        <w:rPr>
          <w:rFonts w:hint="eastAsia" w:eastAsia="楷体_GB2312"/>
          <w:b/>
          <w:color w:val="000000"/>
          <w:sz w:val="30"/>
          <w:szCs w:val="30"/>
        </w:rPr>
        <w:t>：</w:t>
      </w:r>
      <w:r>
        <w:rPr>
          <w:rFonts w:hint="eastAsia" w:eastAsia="楷体_GB2312"/>
          <w:color w:val="000000"/>
          <w:szCs w:val="28"/>
          <w:u w:val="single"/>
        </w:rPr>
        <w:t xml:space="preserve"> </w:t>
      </w:r>
      <w:r>
        <w:rPr>
          <w:rFonts w:hint="eastAsia"/>
          <w:bCs/>
          <w:color w:val="000000"/>
          <w:szCs w:val="28"/>
          <w:u w:val="single"/>
        </w:rPr>
        <w:t xml:space="preserve">*******************************          </w:t>
      </w:r>
    </w:p>
    <w:p>
      <w:pPr>
        <w:spacing w:line="520" w:lineRule="exact"/>
        <w:jc w:val="center"/>
        <w:rPr>
          <w:rFonts w:hint="eastAsia" w:eastAsia="黑体"/>
          <w:color w:val="000000"/>
          <w:sz w:val="36"/>
        </w:rPr>
      </w:pPr>
      <w:bookmarkStart w:id="72" w:name="_Toc441065693"/>
      <w:bookmarkStart w:id="73" w:name="_Toc27871"/>
      <w:bookmarkStart w:id="74" w:name="_Toc492721037"/>
      <w:bookmarkStart w:id="75" w:name="_Toc493506319"/>
    </w:p>
    <w:p>
      <w:pPr>
        <w:spacing w:line="520" w:lineRule="exact"/>
        <w:jc w:val="center"/>
        <w:rPr>
          <w:rFonts w:hint="eastAsia" w:eastAsia="黑体"/>
          <w:color w:val="000000"/>
          <w:sz w:val="36"/>
        </w:rPr>
      </w:pPr>
    </w:p>
    <w:p>
      <w:pPr>
        <w:spacing w:line="520" w:lineRule="exact"/>
        <w:jc w:val="center"/>
        <w:rPr>
          <w:rFonts w:hint="eastAsia" w:eastAsia="黑体"/>
          <w:color w:val="000000"/>
          <w:sz w:val="36"/>
        </w:rPr>
      </w:pPr>
    </w:p>
    <w:p>
      <w:pPr>
        <w:spacing w:line="520" w:lineRule="exact"/>
        <w:jc w:val="center"/>
        <w:rPr>
          <w:rFonts w:hint="eastAsia" w:eastAsia="黑体"/>
          <w:color w:val="000000"/>
          <w:sz w:val="36"/>
        </w:rPr>
      </w:pPr>
    </w:p>
    <w:p>
      <w:pPr>
        <w:spacing w:line="520" w:lineRule="exact"/>
        <w:jc w:val="center"/>
        <w:rPr>
          <w:rFonts w:hint="eastAsia" w:eastAsia="黑体"/>
          <w:color w:val="000000"/>
          <w:sz w:val="36"/>
        </w:rPr>
      </w:pPr>
    </w:p>
    <w:p>
      <w:pPr>
        <w:spacing w:line="520" w:lineRule="exact"/>
        <w:jc w:val="center"/>
        <w:rPr>
          <w:rFonts w:hint="eastAsia" w:eastAsia="黑体"/>
          <w:color w:val="000000"/>
          <w:sz w:val="36"/>
        </w:rPr>
      </w:pPr>
    </w:p>
    <w:p>
      <w:pPr>
        <w:spacing w:line="520" w:lineRule="exact"/>
        <w:jc w:val="center"/>
        <w:rPr>
          <w:rFonts w:hint="eastAsia" w:eastAsia="黑体"/>
          <w:color w:val="000000"/>
          <w:sz w:val="36"/>
        </w:rPr>
      </w:pPr>
    </w:p>
    <w:p>
      <w:pPr>
        <w:spacing w:line="520" w:lineRule="exact"/>
        <w:jc w:val="center"/>
        <w:rPr>
          <w:rFonts w:hint="eastAsia" w:eastAsia="黑体"/>
          <w:color w:val="000000"/>
          <w:sz w:val="36"/>
        </w:rPr>
      </w:pPr>
    </w:p>
    <w:p>
      <w:pPr>
        <w:spacing w:line="520" w:lineRule="exact"/>
        <w:jc w:val="center"/>
        <w:rPr>
          <w:rFonts w:hint="eastAsia" w:eastAsia="黑体"/>
          <w:color w:val="000000"/>
          <w:sz w:val="36"/>
        </w:rPr>
      </w:pPr>
    </w:p>
    <w:p>
      <w:pPr>
        <w:spacing w:line="520" w:lineRule="exact"/>
        <w:jc w:val="center"/>
        <w:rPr>
          <w:rFonts w:hint="eastAsia" w:eastAsia="黑体"/>
          <w:color w:val="000000"/>
          <w:sz w:val="36"/>
        </w:rPr>
      </w:pPr>
    </w:p>
    <w:p>
      <w:pPr>
        <w:spacing w:line="520" w:lineRule="exact"/>
        <w:jc w:val="center"/>
        <w:rPr>
          <w:rFonts w:hint="eastAsia" w:eastAsia="黑体"/>
          <w:color w:val="000000"/>
          <w:sz w:val="36"/>
        </w:rPr>
      </w:pPr>
      <w:r>
        <w:rPr>
          <w:rFonts w:hint="eastAsia" w:eastAsia="黑体"/>
          <w:color w:val="000000"/>
          <w:sz w:val="36"/>
        </w:rPr>
        <w:t>技术服务合同</w:t>
      </w:r>
    </w:p>
    <w:p>
      <w:pPr>
        <w:spacing w:line="520" w:lineRule="exact"/>
        <w:jc w:val="center"/>
        <w:rPr>
          <w:rFonts w:hint="eastAsia" w:eastAsia="黑体"/>
          <w:color w:val="000000"/>
          <w:sz w:val="36"/>
        </w:rPr>
      </w:pPr>
    </w:p>
    <w:p>
      <w:pPr>
        <w:spacing w:line="480" w:lineRule="exact"/>
        <w:ind w:firstLine="560" w:firstLineChars="200"/>
        <w:rPr>
          <w:rFonts w:hint="eastAsia"/>
          <w:color w:val="000000"/>
          <w:szCs w:val="28"/>
          <w:u w:val="single"/>
        </w:rPr>
      </w:pPr>
      <w:r>
        <w:rPr>
          <w:color w:val="000000"/>
          <w:szCs w:val="28"/>
        </w:rPr>
        <w:t>委托方（甲方</w:t>
      </w:r>
      <w:r>
        <w:rPr>
          <w:rFonts w:hint="eastAsia"/>
          <w:color w:val="000000"/>
          <w:szCs w:val="28"/>
        </w:rPr>
        <w:t>）</w:t>
      </w:r>
      <w:r>
        <w:rPr>
          <w:color w:val="000000"/>
          <w:szCs w:val="28"/>
        </w:rPr>
        <w:t>：</w:t>
      </w:r>
      <w:r>
        <w:rPr>
          <w:rFonts w:hint="eastAsia"/>
          <w:color w:val="000000"/>
          <w:szCs w:val="28"/>
          <w:u w:val="single"/>
        </w:rPr>
        <w:t xml:space="preserve"> </w:t>
      </w:r>
      <w:r>
        <w:rPr>
          <w:rFonts w:hint="eastAsia"/>
          <w:color w:val="000000"/>
          <w:u w:val="single"/>
        </w:rPr>
        <w:t xml:space="preserve">                       </w:t>
      </w:r>
      <w:r>
        <w:rPr>
          <w:rFonts w:hint="eastAsia"/>
          <w:bCs/>
          <w:color w:val="000000"/>
          <w:szCs w:val="28"/>
          <w:u w:val="single"/>
        </w:rPr>
        <w:t xml:space="preserve">     </w:t>
      </w:r>
      <w:r>
        <w:rPr>
          <w:rFonts w:hint="eastAsia"/>
          <w:color w:val="000000"/>
          <w:u w:val="single"/>
        </w:rPr>
        <w:t xml:space="preserve">            </w:t>
      </w:r>
    </w:p>
    <w:p>
      <w:pPr>
        <w:spacing w:line="480" w:lineRule="exact"/>
        <w:ind w:firstLine="560" w:firstLineChars="200"/>
        <w:rPr>
          <w:color w:val="000000"/>
          <w:szCs w:val="28"/>
          <w:u w:val="single"/>
        </w:rPr>
      </w:pPr>
      <w:r>
        <w:rPr>
          <w:color w:val="000000"/>
          <w:szCs w:val="28"/>
        </w:rPr>
        <w:t>住</w:t>
      </w:r>
      <w:r>
        <w:rPr>
          <w:rFonts w:hint="eastAsia"/>
          <w:color w:val="000000"/>
          <w:szCs w:val="28"/>
        </w:rPr>
        <w:t xml:space="preserve"> </w:t>
      </w:r>
      <w:r>
        <w:rPr>
          <w:color w:val="000000"/>
          <w:szCs w:val="28"/>
        </w:rPr>
        <w:t>所</w:t>
      </w:r>
      <w:r>
        <w:rPr>
          <w:rFonts w:hint="eastAsia"/>
          <w:color w:val="000000"/>
          <w:szCs w:val="28"/>
        </w:rPr>
        <w:t xml:space="preserve"> </w:t>
      </w:r>
      <w:r>
        <w:rPr>
          <w:color w:val="000000"/>
          <w:szCs w:val="28"/>
        </w:rPr>
        <w:t>地：</w:t>
      </w:r>
      <w:r>
        <w:rPr>
          <w:rFonts w:hint="eastAsia"/>
          <w:bCs/>
          <w:color w:val="000000"/>
          <w:szCs w:val="28"/>
          <w:u w:val="single"/>
        </w:rPr>
        <w:t xml:space="preserve">  </w:t>
      </w:r>
      <w:r>
        <w:rPr>
          <w:rFonts w:hint="eastAsia"/>
          <w:color w:val="000000"/>
          <w:szCs w:val="28"/>
          <w:u w:val="single"/>
        </w:rPr>
        <w:t xml:space="preserve">                                            </w:t>
      </w:r>
    </w:p>
    <w:p>
      <w:pPr>
        <w:spacing w:line="480" w:lineRule="exact"/>
        <w:ind w:firstLine="560" w:firstLineChars="200"/>
        <w:rPr>
          <w:rFonts w:hint="eastAsia"/>
          <w:color w:val="000000"/>
          <w:szCs w:val="28"/>
        </w:rPr>
      </w:pPr>
      <w:r>
        <w:rPr>
          <w:color w:val="000000"/>
          <w:szCs w:val="28"/>
        </w:rPr>
        <w:t>法定代表人：</w:t>
      </w:r>
      <w:r>
        <w:rPr>
          <w:rFonts w:hint="eastAsia"/>
          <w:color w:val="000000"/>
          <w:szCs w:val="28"/>
        </w:rPr>
        <w:t xml:space="preserve"> </w:t>
      </w:r>
      <w:r>
        <w:rPr>
          <w:rFonts w:hint="eastAsia"/>
          <w:color w:val="000000"/>
          <w:szCs w:val="28"/>
          <w:u w:val="single"/>
        </w:rPr>
        <w:t xml:space="preserve">     </w:t>
      </w:r>
      <w:r>
        <w:rPr>
          <w:rFonts w:hint="eastAsia"/>
          <w:bCs/>
          <w:color w:val="000000"/>
          <w:szCs w:val="28"/>
          <w:u w:val="single"/>
        </w:rPr>
        <w:t xml:space="preserve">     </w:t>
      </w:r>
      <w:r>
        <w:rPr>
          <w:rFonts w:hint="eastAsia"/>
          <w:color w:val="000000"/>
          <w:szCs w:val="28"/>
          <w:u w:val="single"/>
        </w:rPr>
        <w:t xml:space="preserve">                                 </w:t>
      </w:r>
    </w:p>
    <w:p>
      <w:pPr>
        <w:spacing w:line="480" w:lineRule="exact"/>
        <w:ind w:firstLine="560" w:firstLineChars="200"/>
        <w:rPr>
          <w:color w:val="000000"/>
          <w:szCs w:val="28"/>
          <w:u w:val="single"/>
        </w:rPr>
      </w:pPr>
      <w:r>
        <w:rPr>
          <w:color w:val="000000"/>
          <w:szCs w:val="28"/>
        </w:rPr>
        <w:t>项目联系人：</w:t>
      </w:r>
      <w:r>
        <w:rPr>
          <w:rFonts w:hint="eastAsia"/>
          <w:color w:val="000000"/>
          <w:szCs w:val="28"/>
          <w:u w:val="single"/>
        </w:rPr>
        <w:t xml:space="preserve">     </w:t>
      </w:r>
      <w:r>
        <w:rPr>
          <w:rFonts w:hint="eastAsia"/>
          <w:bCs/>
          <w:color w:val="000000"/>
          <w:szCs w:val="28"/>
          <w:u w:val="single"/>
        </w:rPr>
        <w:t xml:space="preserve"> </w:t>
      </w:r>
      <w:r>
        <w:rPr>
          <w:rFonts w:hint="eastAsia"/>
          <w:color w:val="000000"/>
          <w:szCs w:val="28"/>
          <w:u w:val="single"/>
        </w:rPr>
        <w:t xml:space="preserve">       </w:t>
      </w:r>
      <w:r>
        <w:rPr>
          <w:color w:val="000000"/>
          <w:szCs w:val="28"/>
        </w:rPr>
        <w:t>电    话：</w:t>
      </w:r>
      <w:r>
        <w:rPr>
          <w:rFonts w:hint="eastAsia"/>
          <w:color w:val="000000"/>
          <w:szCs w:val="28"/>
          <w:u w:val="single"/>
        </w:rPr>
        <w:t xml:space="preserve">   </w:t>
      </w:r>
      <w:r>
        <w:rPr>
          <w:rFonts w:hint="eastAsia"/>
          <w:bCs/>
          <w:color w:val="000000"/>
          <w:szCs w:val="28"/>
          <w:u w:val="single"/>
        </w:rPr>
        <w:t xml:space="preserve">               </w:t>
      </w:r>
      <w:r>
        <w:rPr>
          <w:rFonts w:hint="eastAsia"/>
          <w:color w:val="000000"/>
          <w:szCs w:val="28"/>
          <w:u w:val="single"/>
        </w:rPr>
        <w:t xml:space="preserve">  </w:t>
      </w:r>
    </w:p>
    <w:p>
      <w:pPr>
        <w:spacing w:line="480" w:lineRule="exact"/>
        <w:ind w:firstLine="560" w:firstLineChars="200"/>
        <w:rPr>
          <w:color w:val="000000"/>
          <w:szCs w:val="28"/>
          <w:u w:val="single"/>
        </w:rPr>
      </w:pPr>
      <w:r>
        <w:rPr>
          <w:color w:val="000000"/>
          <w:szCs w:val="28"/>
        </w:rPr>
        <w:t>通讯地址：</w:t>
      </w:r>
      <w:r>
        <w:rPr>
          <w:rFonts w:hint="eastAsia"/>
          <w:color w:val="000000"/>
          <w:szCs w:val="28"/>
          <w:u w:val="single"/>
        </w:rPr>
        <w:t xml:space="preserve">                                             </w:t>
      </w:r>
    </w:p>
    <w:p>
      <w:pPr>
        <w:spacing w:line="480" w:lineRule="exact"/>
        <w:ind w:firstLine="560" w:firstLineChars="200"/>
        <w:rPr>
          <w:rFonts w:hint="eastAsia"/>
          <w:color w:val="000000"/>
          <w:szCs w:val="28"/>
          <w:u w:val="single"/>
        </w:rPr>
      </w:pPr>
    </w:p>
    <w:p>
      <w:pPr>
        <w:spacing w:line="480" w:lineRule="exact"/>
        <w:ind w:firstLine="560" w:firstLineChars="200"/>
        <w:rPr>
          <w:rFonts w:hint="eastAsia"/>
          <w:bCs/>
          <w:color w:val="000000"/>
          <w:szCs w:val="28"/>
          <w:u w:val="single"/>
        </w:rPr>
      </w:pPr>
      <w:r>
        <w:rPr>
          <w:color w:val="000000"/>
          <w:szCs w:val="28"/>
        </w:rPr>
        <w:t>受托方（乙方）：</w:t>
      </w:r>
      <w:r>
        <w:rPr>
          <w:color w:val="000000"/>
          <w:szCs w:val="28"/>
          <w:u w:val="single"/>
        </w:rPr>
        <w:t xml:space="preserve"> </w:t>
      </w:r>
      <w:r>
        <w:rPr>
          <w:rFonts w:hint="eastAsia"/>
          <w:color w:val="000000"/>
          <w:szCs w:val="28"/>
          <w:u w:val="single"/>
        </w:rPr>
        <w:t xml:space="preserve">                               </w:t>
      </w:r>
      <w:r>
        <w:rPr>
          <w:rFonts w:hint="eastAsia"/>
          <w:bCs/>
          <w:color w:val="000000"/>
          <w:szCs w:val="28"/>
          <w:u w:val="single"/>
        </w:rPr>
        <w:t xml:space="preserve">        </w:t>
      </w:r>
    </w:p>
    <w:p>
      <w:pPr>
        <w:spacing w:line="480" w:lineRule="exact"/>
        <w:ind w:firstLine="560" w:firstLineChars="200"/>
        <w:rPr>
          <w:bCs/>
          <w:color w:val="000000"/>
          <w:szCs w:val="28"/>
          <w:u w:val="single"/>
        </w:rPr>
      </w:pPr>
      <w:r>
        <w:rPr>
          <w:color w:val="000000"/>
          <w:szCs w:val="28"/>
        </w:rPr>
        <w:t>住  所  地：</w:t>
      </w:r>
      <w:r>
        <w:rPr>
          <w:rFonts w:hint="eastAsia"/>
          <w:bCs/>
          <w:color w:val="000000"/>
          <w:szCs w:val="28"/>
          <w:u w:val="single"/>
        </w:rPr>
        <w:t xml:space="preserve">                                           </w:t>
      </w:r>
    </w:p>
    <w:p>
      <w:pPr>
        <w:spacing w:line="480" w:lineRule="exact"/>
        <w:ind w:firstLine="560" w:firstLineChars="200"/>
        <w:rPr>
          <w:rFonts w:hint="eastAsia"/>
          <w:color w:val="000000"/>
          <w:szCs w:val="28"/>
          <w:u w:val="single"/>
        </w:rPr>
      </w:pPr>
      <w:r>
        <w:rPr>
          <w:color w:val="000000"/>
          <w:szCs w:val="28"/>
        </w:rPr>
        <w:t>法定代表人：</w:t>
      </w:r>
      <w:r>
        <w:rPr>
          <w:color w:val="000000"/>
          <w:szCs w:val="28"/>
          <w:u w:val="single"/>
        </w:rPr>
        <w:t xml:space="preserve"> </w:t>
      </w:r>
      <w:r>
        <w:rPr>
          <w:rFonts w:hint="eastAsia"/>
          <w:color w:val="000000"/>
          <w:szCs w:val="28"/>
          <w:u w:val="single"/>
        </w:rPr>
        <w:t xml:space="preserve">                                          </w:t>
      </w:r>
    </w:p>
    <w:p>
      <w:pPr>
        <w:spacing w:line="480" w:lineRule="exact"/>
        <w:ind w:firstLine="560" w:firstLineChars="200"/>
        <w:rPr>
          <w:rFonts w:hint="eastAsia"/>
          <w:color w:val="000000"/>
          <w:szCs w:val="28"/>
          <w:u w:val="single"/>
        </w:rPr>
      </w:pPr>
      <w:r>
        <w:rPr>
          <w:color w:val="000000"/>
          <w:szCs w:val="28"/>
        </w:rPr>
        <w:t>项目联系人：</w:t>
      </w:r>
      <w:r>
        <w:rPr>
          <w:rFonts w:hint="eastAsia"/>
          <w:color w:val="000000"/>
          <w:szCs w:val="28"/>
          <w:u w:val="single"/>
        </w:rPr>
        <w:t xml:space="preserve">            </w:t>
      </w:r>
      <w:r>
        <w:rPr>
          <w:color w:val="000000"/>
          <w:szCs w:val="28"/>
        </w:rPr>
        <w:t>电    话：</w:t>
      </w:r>
      <w:r>
        <w:rPr>
          <w:rFonts w:hint="eastAsia"/>
          <w:color w:val="000000"/>
          <w:szCs w:val="28"/>
          <w:u w:val="single"/>
        </w:rPr>
        <w:t xml:space="preserve">    </w:t>
      </w:r>
      <w:r>
        <w:rPr>
          <w:rFonts w:hint="eastAsia"/>
          <w:bCs/>
          <w:color w:val="000000"/>
          <w:szCs w:val="28"/>
          <w:u w:val="single"/>
        </w:rPr>
        <w:t xml:space="preserve">             </w:t>
      </w:r>
      <w:r>
        <w:rPr>
          <w:rFonts w:hint="eastAsia"/>
          <w:color w:val="000000"/>
          <w:szCs w:val="28"/>
          <w:u w:val="single"/>
        </w:rPr>
        <w:t xml:space="preserve">    </w:t>
      </w:r>
    </w:p>
    <w:p>
      <w:pPr>
        <w:tabs>
          <w:tab w:val="left" w:pos="8100"/>
        </w:tabs>
        <w:spacing w:line="480" w:lineRule="exact"/>
        <w:ind w:firstLine="560" w:firstLineChars="200"/>
        <w:rPr>
          <w:rFonts w:hint="eastAsia"/>
          <w:color w:val="000000"/>
          <w:szCs w:val="28"/>
          <w:u w:val="single"/>
        </w:rPr>
      </w:pPr>
      <w:r>
        <w:rPr>
          <w:color w:val="000000"/>
          <w:szCs w:val="28"/>
        </w:rPr>
        <w:t>通讯地址：</w:t>
      </w:r>
      <w:r>
        <w:rPr>
          <w:rFonts w:hint="eastAsia"/>
          <w:bCs/>
          <w:color w:val="000000"/>
          <w:szCs w:val="28"/>
          <w:u w:val="single"/>
        </w:rPr>
        <w:t xml:space="preserve">                                    </w:t>
      </w:r>
      <w:r>
        <w:rPr>
          <w:rFonts w:hint="eastAsia"/>
          <w:bCs/>
          <w:color w:val="000000"/>
          <w:spacing w:val="-12"/>
          <w:szCs w:val="28"/>
          <w:u w:val="single"/>
        </w:rPr>
        <w:t xml:space="preserve">            </w:t>
      </w:r>
    </w:p>
    <w:p>
      <w:pPr>
        <w:spacing w:line="480" w:lineRule="exact"/>
        <w:ind w:firstLine="560" w:firstLineChars="200"/>
        <w:rPr>
          <w:rFonts w:hint="eastAsia"/>
          <w:color w:val="000000"/>
          <w:szCs w:val="28"/>
        </w:rPr>
      </w:pPr>
    </w:p>
    <w:p>
      <w:pPr>
        <w:spacing w:line="480" w:lineRule="exact"/>
        <w:ind w:firstLine="560" w:firstLineChars="200"/>
        <w:rPr>
          <w:color w:val="000000"/>
          <w:szCs w:val="28"/>
        </w:rPr>
      </w:pPr>
      <w:r>
        <w:rPr>
          <w:color w:val="000000"/>
          <w:szCs w:val="28"/>
        </w:rPr>
        <w:t>本合同甲方委托乙方就</w:t>
      </w:r>
      <w:r>
        <w:rPr>
          <w:rFonts w:ascii="宋体" w:hAnsi="宋体"/>
          <w:color w:val="000000"/>
          <w:szCs w:val="28"/>
          <w:u w:val="single"/>
        </w:rPr>
        <w:t>“</w:t>
      </w:r>
      <w:r>
        <w:rPr>
          <w:rFonts w:hint="eastAsia" w:ascii="宋体" w:hAnsi="宋体"/>
          <w:color w:val="000000"/>
          <w:szCs w:val="28"/>
          <w:u w:val="single"/>
        </w:rPr>
        <w:t>合川区南溪河摇金断面水质改善服务项目</w:t>
      </w:r>
      <w:r>
        <w:rPr>
          <w:rFonts w:ascii="宋体" w:hAnsi="宋体"/>
          <w:color w:val="000000"/>
          <w:szCs w:val="28"/>
          <w:u w:val="single"/>
        </w:rPr>
        <w:t>”</w:t>
      </w:r>
      <w:r>
        <w:rPr>
          <w:rFonts w:ascii="宋体" w:hAnsi="宋体"/>
          <w:color w:val="000000"/>
          <w:szCs w:val="28"/>
        </w:rPr>
        <w:t>进行技术</w:t>
      </w:r>
      <w:r>
        <w:rPr>
          <w:rFonts w:hint="eastAsia" w:ascii="宋体" w:hAnsi="宋体"/>
          <w:color w:val="000000"/>
          <w:szCs w:val="28"/>
        </w:rPr>
        <w:t>服务</w:t>
      </w:r>
      <w:r>
        <w:rPr>
          <w:color w:val="000000"/>
          <w:spacing w:val="-4"/>
          <w:szCs w:val="28"/>
        </w:rPr>
        <w:t>并支付</w:t>
      </w:r>
      <w:r>
        <w:rPr>
          <w:rFonts w:hint="eastAsia"/>
          <w:color w:val="000000"/>
          <w:spacing w:val="-4"/>
          <w:szCs w:val="28"/>
        </w:rPr>
        <w:t>服务</w:t>
      </w:r>
      <w:r>
        <w:rPr>
          <w:color w:val="000000"/>
          <w:spacing w:val="-4"/>
          <w:szCs w:val="28"/>
        </w:rPr>
        <w:t>报酬</w:t>
      </w:r>
      <w:r>
        <w:rPr>
          <w:rFonts w:hint="eastAsia"/>
          <w:color w:val="000000"/>
          <w:spacing w:val="-4"/>
          <w:szCs w:val="28"/>
        </w:rPr>
        <w:t>事宜，</w:t>
      </w:r>
      <w:r>
        <w:rPr>
          <w:color w:val="000000"/>
          <w:spacing w:val="-4"/>
          <w:szCs w:val="28"/>
        </w:rPr>
        <w:t>双方</w:t>
      </w:r>
      <w:r>
        <w:rPr>
          <w:color w:val="000000"/>
          <w:szCs w:val="28"/>
        </w:rPr>
        <w:t>经过平等协商，在真实、充分地表达各自意愿的基础上，根据《中华人民共和国合同法》的规定，达成如下协议，并由双方共同恪守。</w:t>
      </w:r>
    </w:p>
    <w:p>
      <w:pPr>
        <w:spacing w:line="480" w:lineRule="exact"/>
        <w:ind w:firstLine="560" w:firstLineChars="200"/>
        <w:rPr>
          <w:rFonts w:hint="eastAsia"/>
          <w:color w:val="000000"/>
          <w:szCs w:val="28"/>
        </w:rPr>
      </w:pPr>
      <w:r>
        <w:rPr>
          <w:rFonts w:hint="eastAsia" w:eastAsia="黑体"/>
          <w:color w:val="000000"/>
          <w:szCs w:val="28"/>
        </w:rPr>
        <w:t xml:space="preserve">第一条 </w:t>
      </w:r>
      <w:r>
        <w:rPr>
          <w:rFonts w:hint="eastAsia"/>
          <w:color w:val="000000"/>
          <w:szCs w:val="28"/>
        </w:rPr>
        <w:t>乙方进行技术服务的内容、要求和方式：</w:t>
      </w:r>
    </w:p>
    <w:p>
      <w:pPr>
        <w:spacing w:line="480" w:lineRule="exact"/>
        <w:ind w:firstLine="560" w:firstLineChars="200"/>
        <w:rPr>
          <w:rFonts w:hint="eastAsia"/>
          <w:color w:val="000000"/>
          <w:szCs w:val="28"/>
          <w:u w:val="single"/>
        </w:rPr>
      </w:pPr>
      <w:r>
        <w:rPr>
          <w:rFonts w:hint="eastAsia"/>
          <w:color w:val="000000"/>
          <w:szCs w:val="28"/>
        </w:rPr>
        <w:t>1、服务内容：</w:t>
      </w:r>
      <w:r>
        <w:rPr>
          <w:rFonts w:hint="eastAsia"/>
          <w:color w:val="000000"/>
          <w:szCs w:val="28"/>
          <w:u w:val="single"/>
        </w:rPr>
        <w:t>在南溪河摇金国控断面以上允许实施生态治理技术河段，安装生态修复设施8套以上（含8套）并有效运行维护，确保摇金断面水质达到验收标准。</w:t>
      </w:r>
    </w:p>
    <w:p>
      <w:pPr>
        <w:spacing w:line="480" w:lineRule="exact"/>
        <w:ind w:firstLine="560" w:firstLineChars="200"/>
        <w:rPr>
          <w:rFonts w:hint="eastAsia"/>
          <w:color w:val="000000"/>
          <w:szCs w:val="28"/>
        </w:rPr>
      </w:pPr>
      <w:r>
        <w:rPr>
          <w:color w:val="000000"/>
          <w:szCs w:val="28"/>
        </w:rPr>
        <w:t>2</w:t>
      </w:r>
      <w:r>
        <w:rPr>
          <w:rFonts w:hint="eastAsia"/>
          <w:color w:val="000000"/>
          <w:szCs w:val="28"/>
        </w:rPr>
        <w:t>、服务要求：</w:t>
      </w:r>
    </w:p>
    <w:p>
      <w:pPr>
        <w:spacing w:line="480" w:lineRule="exact"/>
        <w:ind w:firstLine="560" w:firstLineChars="200"/>
        <w:rPr>
          <w:rFonts w:hint="eastAsia"/>
          <w:color w:val="000000"/>
          <w:szCs w:val="28"/>
          <w:u w:val="single"/>
        </w:rPr>
      </w:pPr>
      <w:r>
        <w:rPr>
          <w:rFonts w:hint="eastAsia"/>
          <w:color w:val="000000"/>
          <w:szCs w:val="28"/>
          <w:u w:val="single"/>
        </w:rPr>
        <w:t>（1）采购人根据经有效性审核的上游实施原位修复的起始断面（南溪河干流断面）、摇金断面（考核摇金市控断面前，以市控断面水质作为考核依据；考核摇金国控断面后，以国控断面水质作为考核依据）水质在线监测数据的月均值和水质手工监测当月数据作为验收依据；当水质在线监测数据未满足有效性审核要求时，由重庆市合川区生态环境监测站提供相应辅助考核依据；</w:t>
      </w:r>
    </w:p>
    <w:p>
      <w:pPr>
        <w:spacing w:line="480" w:lineRule="exact"/>
        <w:ind w:firstLine="560" w:firstLineChars="200"/>
        <w:rPr>
          <w:rFonts w:hint="eastAsia"/>
          <w:color w:val="000000"/>
          <w:szCs w:val="28"/>
          <w:u w:val="single"/>
        </w:rPr>
      </w:pPr>
      <w:r>
        <w:rPr>
          <w:rFonts w:hint="eastAsia"/>
          <w:color w:val="000000"/>
          <w:szCs w:val="28"/>
          <w:u w:val="single"/>
        </w:rPr>
        <w:t>（2）验收评价因子为化学需氧量、高锰酸盐指数、总磷达标。</w:t>
      </w:r>
    </w:p>
    <w:p>
      <w:pPr>
        <w:spacing w:line="480" w:lineRule="exact"/>
        <w:ind w:firstLine="560" w:firstLineChars="200"/>
        <w:rPr>
          <w:rFonts w:hint="eastAsia"/>
          <w:color w:val="000000"/>
          <w:szCs w:val="28"/>
        </w:rPr>
      </w:pPr>
      <w:r>
        <w:rPr>
          <w:rFonts w:hint="eastAsia" w:eastAsia="黑体"/>
          <w:color w:val="000000"/>
          <w:szCs w:val="28"/>
        </w:rPr>
        <w:t xml:space="preserve">第二条 </w:t>
      </w:r>
      <w:r>
        <w:rPr>
          <w:rFonts w:hint="eastAsia"/>
          <w:color w:val="000000"/>
          <w:szCs w:val="28"/>
        </w:rPr>
        <w:t>乙方应当按照下列进度要求完成本合同项目的技术服务工作：</w:t>
      </w:r>
    </w:p>
    <w:p>
      <w:pPr>
        <w:spacing w:line="480" w:lineRule="exact"/>
        <w:ind w:firstLine="560" w:firstLineChars="200"/>
        <w:rPr>
          <w:rFonts w:hint="eastAsia"/>
          <w:color w:val="000000"/>
          <w:szCs w:val="28"/>
        </w:rPr>
      </w:pPr>
      <w:r>
        <w:rPr>
          <w:rFonts w:hint="eastAsia"/>
          <w:color w:val="000000"/>
          <w:szCs w:val="28"/>
        </w:rPr>
        <w:t>（1）设施安装调试期</w:t>
      </w:r>
    </w:p>
    <w:p>
      <w:pPr>
        <w:spacing w:line="480" w:lineRule="exact"/>
        <w:ind w:firstLine="560" w:firstLineChars="200"/>
        <w:rPr>
          <w:rFonts w:hint="eastAsia"/>
          <w:color w:val="000000"/>
          <w:szCs w:val="28"/>
          <w:u w:val="single"/>
        </w:rPr>
      </w:pPr>
      <w:r>
        <w:rPr>
          <w:rFonts w:hint="eastAsia"/>
          <w:color w:val="000000"/>
          <w:szCs w:val="28"/>
          <w:u w:val="single"/>
        </w:rPr>
        <w:t>乙方应在采购合同签订后 60 个日历天内完成生态修复设施安装工作，确保系统能投入调试运行。甲方负责协调进场道路、用水、用电、用地等工作。</w:t>
      </w:r>
    </w:p>
    <w:p>
      <w:pPr>
        <w:spacing w:line="480" w:lineRule="exact"/>
        <w:ind w:firstLine="560" w:firstLineChars="200"/>
        <w:rPr>
          <w:rFonts w:hint="eastAsia"/>
          <w:color w:val="000000"/>
          <w:szCs w:val="28"/>
        </w:rPr>
      </w:pPr>
      <w:r>
        <w:rPr>
          <w:rFonts w:hint="eastAsia"/>
          <w:color w:val="000000"/>
          <w:szCs w:val="28"/>
        </w:rPr>
        <w:t>（2）运营服务期</w:t>
      </w:r>
    </w:p>
    <w:p>
      <w:pPr>
        <w:spacing w:line="480" w:lineRule="exact"/>
        <w:ind w:firstLine="560" w:firstLineChars="200"/>
        <w:rPr>
          <w:rFonts w:hint="eastAsia" w:eastAsia="黑体"/>
          <w:color w:val="000000"/>
          <w:szCs w:val="28"/>
          <w:u w:val="single"/>
        </w:rPr>
      </w:pPr>
      <w:r>
        <w:rPr>
          <w:rFonts w:hint="eastAsia"/>
          <w:color w:val="000000"/>
          <w:szCs w:val="28"/>
          <w:u w:val="single"/>
        </w:rPr>
        <w:t>生态修复设施安装完成后进入调试运行期（调试运行期3个月）；经调试运行验收合格后项目进入运营服务期（运营服务期18个月，2个考核年），从设备调试验收合格次月起开始计算。</w:t>
      </w:r>
    </w:p>
    <w:p>
      <w:pPr>
        <w:spacing w:line="480" w:lineRule="exact"/>
        <w:ind w:firstLine="560" w:firstLineChars="200"/>
        <w:rPr>
          <w:rFonts w:hint="eastAsia"/>
          <w:color w:val="000000"/>
          <w:szCs w:val="28"/>
        </w:rPr>
      </w:pPr>
      <w:r>
        <w:rPr>
          <w:rFonts w:hint="eastAsia" w:eastAsia="黑体"/>
          <w:color w:val="000000"/>
          <w:szCs w:val="28"/>
        </w:rPr>
        <w:t xml:space="preserve">第三条 </w:t>
      </w:r>
      <w:r>
        <w:rPr>
          <w:rFonts w:hint="eastAsia"/>
          <w:color w:val="000000"/>
          <w:szCs w:val="28"/>
        </w:rPr>
        <w:t>为保证乙方合法有效进行技术服务工作，甲方应当向乙方提供下列协作事项，并对其所提供资料和信息的完整性、正确性与时限性负责：</w:t>
      </w:r>
    </w:p>
    <w:p>
      <w:pPr>
        <w:spacing w:line="480" w:lineRule="exact"/>
        <w:ind w:firstLine="560" w:firstLineChars="200"/>
        <w:rPr>
          <w:rFonts w:hint="eastAsia"/>
          <w:color w:val="000000"/>
          <w:szCs w:val="28"/>
          <w:u w:val="single"/>
        </w:rPr>
      </w:pPr>
      <w:r>
        <w:rPr>
          <w:rFonts w:hint="eastAsia" w:ascii="宋体" w:hAnsi="宋体"/>
          <w:color w:val="000000"/>
          <w:szCs w:val="28"/>
        </w:rPr>
        <w:t>1、提供技术资料：</w:t>
      </w:r>
    </w:p>
    <w:p>
      <w:pPr>
        <w:spacing w:line="480" w:lineRule="exact"/>
        <w:ind w:firstLine="560" w:firstLineChars="200"/>
        <w:rPr>
          <w:rFonts w:hint="eastAsia" w:hAnsi="宋体"/>
          <w:color w:val="000000"/>
          <w:szCs w:val="28"/>
          <w:u w:val="single"/>
        </w:rPr>
      </w:pPr>
      <w:r>
        <w:rPr>
          <w:rFonts w:hAnsi="宋体"/>
          <w:color w:val="000000"/>
          <w:szCs w:val="28"/>
          <w:u w:val="single"/>
        </w:rPr>
        <w:t>（</w:t>
      </w:r>
      <w:r>
        <w:rPr>
          <w:color w:val="000000"/>
          <w:szCs w:val="28"/>
          <w:u w:val="single"/>
        </w:rPr>
        <w:t>1</w:t>
      </w:r>
      <w:r>
        <w:rPr>
          <w:rFonts w:hAnsi="宋体"/>
          <w:color w:val="000000"/>
          <w:szCs w:val="28"/>
          <w:u w:val="single"/>
        </w:rPr>
        <w:t>）</w:t>
      </w:r>
      <w:r>
        <w:rPr>
          <w:rFonts w:hint="eastAsia" w:hAnsi="宋体"/>
          <w:color w:val="000000"/>
          <w:szCs w:val="28"/>
          <w:u w:val="single"/>
        </w:rPr>
        <w:t>南溪河流域水生态环境相关资料。</w:t>
      </w:r>
    </w:p>
    <w:p>
      <w:pPr>
        <w:spacing w:line="480" w:lineRule="exact"/>
        <w:ind w:firstLine="560" w:firstLineChars="200"/>
        <w:rPr>
          <w:rFonts w:hint="eastAsia" w:hAnsi="宋体"/>
          <w:color w:val="000000"/>
          <w:szCs w:val="28"/>
          <w:u w:val="single"/>
        </w:rPr>
      </w:pPr>
      <w:r>
        <w:rPr>
          <w:rFonts w:hint="eastAsia" w:hAnsi="宋体"/>
          <w:color w:val="000000"/>
          <w:szCs w:val="28"/>
          <w:u w:val="single"/>
        </w:rPr>
        <w:t>（2）有关项目技术服务可能涉及的</w:t>
      </w:r>
      <w:r>
        <w:rPr>
          <w:rFonts w:hAnsi="宋体"/>
          <w:color w:val="000000"/>
          <w:szCs w:val="28"/>
          <w:u w:val="single"/>
        </w:rPr>
        <w:t>其他资料。</w:t>
      </w:r>
    </w:p>
    <w:p>
      <w:pPr>
        <w:spacing w:line="480" w:lineRule="exact"/>
        <w:ind w:firstLine="560" w:firstLineChars="200"/>
        <w:rPr>
          <w:rFonts w:hint="eastAsia"/>
          <w:color w:val="000000"/>
          <w:szCs w:val="28"/>
        </w:rPr>
      </w:pPr>
      <w:r>
        <w:rPr>
          <w:rFonts w:hint="eastAsia"/>
          <w:color w:val="000000"/>
          <w:szCs w:val="28"/>
        </w:rPr>
        <w:t>本合同签定后</w:t>
      </w:r>
      <w:r>
        <w:rPr>
          <w:rFonts w:hint="eastAsia"/>
          <w:color w:val="000000"/>
          <w:szCs w:val="28"/>
          <w:u w:val="single"/>
        </w:rPr>
        <w:t xml:space="preserve"> 5 </w:t>
      </w:r>
      <w:r>
        <w:rPr>
          <w:rFonts w:hint="eastAsia"/>
          <w:color w:val="000000"/>
          <w:szCs w:val="28"/>
        </w:rPr>
        <w:t>个工作日内，甲方应及时提供上述交付技术资料的纸质文件和电子文档。</w:t>
      </w:r>
    </w:p>
    <w:p>
      <w:pPr>
        <w:spacing w:line="480" w:lineRule="exact"/>
        <w:ind w:firstLine="560" w:firstLineChars="200"/>
        <w:rPr>
          <w:rFonts w:hint="eastAsia"/>
          <w:color w:val="000000"/>
          <w:szCs w:val="28"/>
          <w:u w:val="single"/>
        </w:rPr>
      </w:pPr>
      <w:r>
        <w:rPr>
          <w:color w:val="000000"/>
          <w:szCs w:val="28"/>
        </w:rPr>
        <w:t>2</w:t>
      </w:r>
      <w:r>
        <w:rPr>
          <w:rFonts w:hint="eastAsia"/>
          <w:color w:val="000000"/>
          <w:szCs w:val="28"/>
        </w:rPr>
        <w:t>、提供工作条件：</w:t>
      </w:r>
      <w:r>
        <w:rPr>
          <w:rFonts w:hint="eastAsia"/>
          <w:color w:val="000000"/>
          <w:szCs w:val="28"/>
          <w:u w:val="single"/>
        </w:rPr>
        <w:t>甲方配合乙方进行现场踏勘。</w:t>
      </w:r>
    </w:p>
    <w:p>
      <w:pPr>
        <w:spacing w:line="480" w:lineRule="exact"/>
        <w:ind w:firstLine="560" w:firstLineChars="200"/>
        <w:rPr>
          <w:rFonts w:hint="eastAsia"/>
          <w:color w:val="000000"/>
          <w:szCs w:val="28"/>
          <w:u w:val="single"/>
        </w:rPr>
      </w:pPr>
      <w:r>
        <w:rPr>
          <w:color w:val="000000"/>
          <w:szCs w:val="28"/>
        </w:rPr>
        <w:t>3</w:t>
      </w:r>
      <w:r>
        <w:rPr>
          <w:rFonts w:hint="eastAsia"/>
          <w:color w:val="000000"/>
          <w:szCs w:val="28"/>
        </w:rPr>
        <w:t>、其他：</w:t>
      </w:r>
      <w:r>
        <w:rPr>
          <w:rFonts w:hint="eastAsia"/>
          <w:color w:val="000000"/>
          <w:szCs w:val="28"/>
          <w:u w:val="single"/>
        </w:rPr>
        <w:t>未尽事宜，由双方协商解决。</w:t>
      </w:r>
    </w:p>
    <w:p>
      <w:pPr>
        <w:spacing w:line="480" w:lineRule="exact"/>
        <w:ind w:firstLine="560" w:firstLineChars="200"/>
        <w:rPr>
          <w:rFonts w:hint="eastAsia"/>
          <w:color w:val="000000"/>
          <w:szCs w:val="28"/>
        </w:rPr>
      </w:pPr>
      <w:r>
        <w:rPr>
          <w:rFonts w:hint="eastAsia" w:eastAsia="黑体"/>
          <w:color w:val="000000"/>
          <w:szCs w:val="28"/>
        </w:rPr>
        <w:t xml:space="preserve">第四条 </w:t>
      </w:r>
      <w:r>
        <w:rPr>
          <w:rFonts w:hint="eastAsia"/>
          <w:color w:val="000000"/>
          <w:szCs w:val="28"/>
        </w:rPr>
        <w:t>甲方向乙方支付技术服务报酬及支付方式为：</w:t>
      </w:r>
    </w:p>
    <w:p>
      <w:pPr>
        <w:spacing w:line="480" w:lineRule="exact"/>
        <w:ind w:firstLine="560" w:firstLineChars="200"/>
        <w:rPr>
          <w:rFonts w:hint="eastAsia"/>
          <w:color w:val="000000"/>
          <w:szCs w:val="28"/>
          <w:u w:val="single"/>
        </w:rPr>
      </w:pPr>
      <w:r>
        <w:rPr>
          <w:color w:val="000000"/>
          <w:szCs w:val="28"/>
        </w:rPr>
        <w:t>1</w:t>
      </w:r>
      <w:r>
        <w:rPr>
          <w:rFonts w:hint="eastAsia"/>
          <w:color w:val="000000"/>
          <w:szCs w:val="28"/>
        </w:rPr>
        <w:t>、技术服务报酬总额为：</w:t>
      </w:r>
      <w:r>
        <w:rPr>
          <w:rFonts w:hint="eastAsia"/>
          <w:color w:val="000000"/>
          <w:szCs w:val="28"/>
          <w:u w:val="single"/>
        </w:rPr>
        <w:t>人民币     元整（大写：    元整），此费用包含两部分费用：（1）完成本项目所需要的生态修复设施费（含：货物费、运输费、安装费、调试运行费、税费等）等所有费用；（2）运营服务期内运营维护费（含：耗材费、设施设备更换费、维修费、日常巡检费、水质监测费、水电费、差旅费、管理费、人员工资、税费等）等所有费用。</w:t>
      </w:r>
    </w:p>
    <w:p>
      <w:pPr>
        <w:spacing w:line="480" w:lineRule="exact"/>
        <w:ind w:firstLine="560" w:firstLineChars="200"/>
        <w:rPr>
          <w:rFonts w:hint="eastAsia"/>
          <w:color w:val="000000"/>
          <w:szCs w:val="28"/>
        </w:rPr>
      </w:pPr>
      <w:r>
        <w:rPr>
          <w:rFonts w:hint="eastAsia"/>
          <w:color w:val="000000"/>
          <w:szCs w:val="28"/>
        </w:rPr>
        <w:t>2．技术服务报酬的支付：</w:t>
      </w:r>
    </w:p>
    <w:p>
      <w:pPr>
        <w:widowControl/>
        <w:spacing w:line="480" w:lineRule="exact"/>
        <w:ind w:firstLine="560" w:firstLineChars="200"/>
        <w:jc w:val="left"/>
        <w:rPr>
          <w:rFonts w:hint="eastAsia"/>
          <w:color w:val="000000"/>
          <w:szCs w:val="28"/>
          <w:u w:val="single"/>
        </w:rPr>
      </w:pPr>
      <w:r>
        <w:rPr>
          <w:rFonts w:hint="eastAsia"/>
          <w:color w:val="000000"/>
          <w:szCs w:val="28"/>
          <w:u w:val="single"/>
        </w:rPr>
        <w:t>（1）合同签订后7日内，甲方向乙方支付项目合同额的30%作为预付款，设备进场、安装完成后甲方向乙方支付项目合同额的10%，乙方生态修复措施完成后稳定运行3个月内，当摇金断面水质满足验收标准后，项目进入运营维护期，剩余60%的项目资金分18个月平均按月向中标人支付运营服务费。</w:t>
      </w:r>
    </w:p>
    <w:p>
      <w:pPr>
        <w:widowControl/>
        <w:spacing w:line="480" w:lineRule="exact"/>
        <w:ind w:firstLine="560" w:firstLineChars="200"/>
        <w:jc w:val="left"/>
        <w:rPr>
          <w:rFonts w:hint="eastAsia"/>
          <w:color w:val="000000"/>
          <w:szCs w:val="28"/>
          <w:u w:val="single"/>
        </w:rPr>
      </w:pPr>
      <w:r>
        <w:rPr>
          <w:rFonts w:hint="eastAsia"/>
          <w:color w:val="000000"/>
          <w:szCs w:val="28"/>
          <w:u w:val="single"/>
        </w:rPr>
        <w:t>（2）当考核断面当月化学需氧量、高锰酸盐指数、总磷月均值浓度均达到考核验收标准时，甲方全额支付乙方当月运营服务费。当考核断面当月化学需氧量、高锰酸盐指数、总磷月均值浓度任一项未达到考核验收标准时，甲方不予支付乙方当月运营服务费。当考核断面化学需氧量、高锰酸盐指数、总磷年均值浓度不满足地表水Ⅲ类标准，甲方不予支付乙方所有服务费，并对已付服务费进行追回。</w:t>
      </w:r>
    </w:p>
    <w:p>
      <w:pPr>
        <w:spacing w:line="480" w:lineRule="exact"/>
        <w:ind w:firstLine="560" w:firstLineChars="200"/>
        <w:rPr>
          <w:rFonts w:hint="eastAsia"/>
          <w:color w:val="000000"/>
          <w:szCs w:val="28"/>
        </w:rPr>
      </w:pPr>
      <w:r>
        <w:rPr>
          <w:rFonts w:hint="eastAsia"/>
          <w:color w:val="000000"/>
          <w:szCs w:val="28"/>
        </w:rPr>
        <w:t>乙方开户银行名称、账户和账号为：</w:t>
      </w:r>
    </w:p>
    <w:p>
      <w:pPr>
        <w:spacing w:line="480" w:lineRule="exact"/>
        <w:ind w:firstLine="560" w:firstLineChars="200"/>
        <w:rPr>
          <w:rFonts w:hint="eastAsia"/>
          <w:color w:val="000000"/>
          <w:szCs w:val="28"/>
          <w:u w:val="single"/>
        </w:rPr>
      </w:pPr>
      <w:r>
        <w:rPr>
          <w:rFonts w:hint="eastAsia"/>
          <w:color w:val="000000"/>
          <w:szCs w:val="28"/>
          <w:u w:val="single"/>
        </w:rPr>
        <w:t>开户银行：</w:t>
      </w:r>
      <w:r>
        <w:rPr>
          <w:rFonts w:hint="eastAsia"/>
          <w:bCs/>
          <w:color w:val="000000"/>
          <w:szCs w:val="28"/>
          <w:u w:val="single"/>
        </w:rPr>
        <w:t xml:space="preserve">                    </w:t>
      </w:r>
    </w:p>
    <w:p>
      <w:pPr>
        <w:spacing w:line="480" w:lineRule="exact"/>
        <w:ind w:firstLine="560" w:firstLineChars="200"/>
        <w:rPr>
          <w:rFonts w:hint="eastAsia"/>
          <w:color w:val="000000"/>
          <w:szCs w:val="28"/>
          <w:u w:val="single"/>
        </w:rPr>
      </w:pPr>
      <w:r>
        <w:rPr>
          <w:rFonts w:hint="eastAsia"/>
          <w:color w:val="000000"/>
          <w:szCs w:val="28"/>
          <w:u w:val="single"/>
        </w:rPr>
        <w:t>账    户：</w:t>
      </w:r>
      <w:r>
        <w:rPr>
          <w:rFonts w:hint="eastAsia"/>
          <w:bCs/>
          <w:color w:val="000000"/>
          <w:szCs w:val="28"/>
          <w:u w:val="single"/>
        </w:rPr>
        <w:t xml:space="preserve">                    </w:t>
      </w:r>
    </w:p>
    <w:p>
      <w:pPr>
        <w:spacing w:line="480" w:lineRule="exact"/>
        <w:ind w:firstLine="560" w:firstLineChars="200"/>
        <w:rPr>
          <w:rFonts w:hint="eastAsia"/>
          <w:color w:val="000000"/>
          <w:szCs w:val="28"/>
          <w:u w:val="single"/>
        </w:rPr>
      </w:pPr>
      <w:r>
        <w:rPr>
          <w:rFonts w:hint="eastAsia"/>
          <w:color w:val="000000"/>
          <w:szCs w:val="28"/>
          <w:u w:val="single"/>
        </w:rPr>
        <w:t xml:space="preserve">账    号： </w:t>
      </w:r>
      <w:r>
        <w:rPr>
          <w:rFonts w:hint="eastAsia"/>
          <w:bCs/>
          <w:color w:val="000000"/>
          <w:szCs w:val="28"/>
          <w:u w:val="single"/>
        </w:rPr>
        <w:t xml:space="preserve">                   </w:t>
      </w:r>
    </w:p>
    <w:p>
      <w:pPr>
        <w:spacing w:line="480" w:lineRule="exact"/>
        <w:ind w:firstLine="560" w:firstLineChars="200"/>
        <w:rPr>
          <w:rFonts w:hint="eastAsia"/>
          <w:color w:val="000000"/>
          <w:szCs w:val="28"/>
          <w:u w:val="single"/>
        </w:rPr>
      </w:pPr>
      <w:r>
        <w:rPr>
          <w:rFonts w:hint="eastAsia"/>
          <w:color w:val="000000"/>
          <w:szCs w:val="28"/>
          <w:u w:val="single"/>
        </w:rPr>
        <w:t>社会信用代码：</w:t>
      </w:r>
      <w:r>
        <w:rPr>
          <w:rFonts w:hint="eastAsia"/>
          <w:bCs/>
          <w:color w:val="000000"/>
          <w:szCs w:val="28"/>
          <w:u w:val="single"/>
        </w:rPr>
        <w:t xml:space="preserve">                       </w:t>
      </w:r>
    </w:p>
    <w:p>
      <w:pPr>
        <w:spacing w:line="480" w:lineRule="exact"/>
        <w:ind w:firstLine="560" w:firstLineChars="200"/>
        <w:rPr>
          <w:color w:val="000000"/>
          <w:szCs w:val="28"/>
          <w:u w:val="single"/>
        </w:rPr>
      </w:pPr>
      <w:r>
        <w:rPr>
          <w:rFonts w:hint="eastAsia"/>
          <w:color w:val="000000"/>
          <w:szCs w:val="28"/>
        </w:rPr>
        <w:t>（3）甲方每次付款时，乙方应提供等值金额的增值税发票。</w:t>
      </w:r>
    </w:p>
    <w:p>
      <w:pPr>
        <w:spacing w:line="480" w:lineRule="exact"/>
        <w:ind w:firstLine="560" w:firstLineChars="200"/>
        <w:rPr>
          <w:rFonts w:hint="eastAsia"/>
          <w:color w:val="000000"/>
          <w:szCs w:val="28"/>
        </w:rPr>
      </w:pPr>
      <w:r>
        <w:rPr>
          <w:rFonts w:hint="eastAsia" w:eastAsia="黑体"/>
          <w:color w:val="000000"/>
          <w:szCs w:val="28"/>
        </w:rPr>
        <w:t xml:space="preserve">第五条 </w:t>
      </w:r>
      <w:r>
        <w:rPr>
          <w:rFonts w:hint="eastAsia"/>
          <w:color w:val="000000"/>
          <w:szCs w:val="28"/>
        </w:rPr>
        <w:t>双方确定因履行本合同应遵守保密义务如下：</w:t>
      </w:r>
    </w:p>
    <w:p>
      <w:pPr>
        <w:spacing w:line="480" w:lineRule="exact"/>
        <w:ind w:firstLine="560" w:firstLineChars="200"/>
        <w:rPr>
          <w:rFonts w:hint="eastAsia"/>
          <w:color w:val="000000"/>
          <w:szCs w:val="28"/>
        </w:rPr>
      </w:pPr>
      <w:r>
        <w:rPr>
          <w:rFonts w:hint="eastAsia"/>
          <w:color w:val="000000"/>
          <w:szCs w:val="28"/>
        </w:rPr>
        <w:t>甲方：</w:t>
      </w:r>
    </w:p>
    <w:p>
      <w:pPr>
        <w:spacing w:line="480" w:lineRule="exact"/>
        <w:ind w:firstLine="560" w:firstLineChars="200"/>
        <w:rPr>
          <w:rFonts w:hint="eastAsia"/>
          <w:color w:val="000000"/>
          <w:szCs w:val="28"/>
        </w:rPr>
      </w:pPr>
      <w:r>
        <w:rPr>
          <w:color w:val="000000"/>
          <w:szCs w:val="28"/>
        </w:rPr>
        <w:t>1</w:t>
      </w:r>
      <w:r>
        <w:rPr>
          <w:rFonts w:hint="eastAsia"/>
          <w:color w:val="000000"/>
          <w:szCs w:val="28"/>
        </w:rPr>
        <w:t>、保密内容（包括技术信息和经营信息）：</w:t>
      </w:r>
      <w:r>
        <w:rPr>
          <w:rFonts w:hint="eastAsia"/>
          <w:color w:val="000000"/>
          <w:szCs w:val="28"/>
          <w:u w:val="single"/>
        </w:rPr>
        <w:t>对乙方工作及其提交的相关技术涉及的相关材料。</w:t>
      </w:r>
    </w:p>
    <w:p>
      <w:pPr>
        <w:spacing w:line="480" w:lineRule="exact"/>
        <w:ind w:firstLine="560" w:firstLineChars="200"/>
        <w:rPr>
          <w:rFonts w:hint="eastAsia"/>
          <w:color w:val="000000"/>
          <w:szCs w:val="28"/>
          <w:u w:val="single"/>
        </w:rPr>
      </w:pPr>
      <w:r>
        <w:rPr>
          <w:color w:val="000000"/>
          <w:szCs w:val="28"/>
        </w:rPr>
        <w:t>2</w:t>
      </w:r>
      <w:r>
        <w:rPr>
          <w:rFonts w:hint="eastAsia"/>
          <w:color w:val="000000"/>
          <w:szCs w:val="28"/>
        </w:rPr>
        <w:t>、涉密人员范围：</w:t>
      </w:r>
      <w:r>
        <w:rPr>
          <w:rFonts w:hint="eastAsia"/>
          <w:color w:val="000000"/>
          <w:szCs w:val="28"/>
          <w:u w:val="single"/>
        </w:rPr>
        <w:t>项目相关实施人员信息及分工。</w:t>
      </w:r>
    </w:p>
    <w:p>
      <w:pPr>
        <w:spacing w:line="480" w:lineRule="exact"/>
        <w:ind w:firstLine="560" w:firstLineChars="200"/>
        <w:rPr>
          <w:rFonts w:hint="eastAsia"/>
          <w:color w:val="000000"/>
          <w:szCs w:val="28"/>
          <w:u w:val="single"/>
        </w:rPr>
      </w:pPr>
      <w:r>
        <w:rPr>
          <w:color w:val="000000"/>
          <w:szCs w:val="28"/>
        </w:rPr>
        <w:t>3</w:t>
      </w:r>
      <w:r>
        <w:rPr>
          <w:rFonts w:hint="eastAsia"/>
          <w:color w:val="000000"/>
          <w:szCs w:val="28"/>
        </w:rPr>
        <w:t>、保密期限：</w:t>
      </w:r>
      <w:r>
        <w:rPr>
          <w:rFonts w:hint="eastAsia"/>
          <w:color w:val="000000"/>
          <w:szCs w:val="28"/>
          <w:u w:val="single"/>
        </w:rPr>
        <w:t>3年</w:t>
      </w:r>
    </w:p>
    <w:p>
      <w:pPr>
        <w:spacing w:line="480" w:lineRule="exact"/>
        <w:ind w:firstLine="560" w:firstLineChars="200"/>
        <w:rPr>
          <w:rFonts w:hint="eastAsia"/>
          <w:color w:val="000000"/>
          <w:szCs w:val="28"/>
        </w:rPr>
      </w:pPr>
      <w:r>
        <w:rPr>
          <w:color w:val="000000"/>
          <w:szCs w:val="28"/>
        </w:rPr>
        <w:t>4</w:t>
      </w:r>
      <w:r>
        <w:rPr>
          <w:rFonts w:hint="eastAsia"/>
          <w:color w:val="000000"/>
          <w:szCs w:val="28"/>
        </w:rPr>
        <w:t>、泄密责任：</w:t>
      </w:r>
      <w:r>
        <w:rPr>
          <w:rFonts w:hint="eastAsia"/>
          <w:color w:val="000000"/>
          <w:szCs w:val="28"/>
          <w:u w:val="single"/>
        </w:rPr>
        <w:t>对泄密造成的损失，按《中华人民共和国</w:t>
      </w:r>
      <w:r>
        <w:rPr>
          <w:rFonts w:hint="eastAsia"/>
          <w:color w:val="000000"/>
          <w:szCs w:val="28"/>
          <w:u w:val="single"/>
          <w:lang w:eastAsia="zh-CN"/>
        </w:rPr>
        <w:t>保守国家秘</w:t>
      </w:r>
      <w:r>
        <w:rPr>
          <w:rFonts w:hint="eastAsia"/>
          <w:color w:val="000000"/>
          <w:szCs w:val="28"/>
          <w:u w:val="single"/>
        </w:rPr>
        <w:t>密法》、《中华人民共和国反不正当竞争法》的规定承担相应法律责任</w:t>
      </w:r>
      <w:r>
        <w:rPr>
          <w:rFonts w:hint="eastAsia"/>
          <w:color w:val="000000"/>
          <w:szCs w:val="28"/>
        </w:rPr>
        <w:t>。</w:t>
      </w:r>
    </w:p>
    <w:p>
      <w:pPr>
        <w:spacing w:line="480" w:lineRule="exact"/>
        <w:ind w:firstLine="560" w:firstLineChars="200"/>
        <w:rPr>
          <w:rFonts w:hint="eastAsia"/>
          <w:color w:val="000000"/>
          <w:szCs w:val="28"/>
        </w:rPr>
      </w:pPr>
      <w:r>
        <w:rPr>
          <w:rFonts w:hint="eastAsia"/>
          <w:color w:val="000000"/>
          <w:szCs w:val="28"/>
        </w:rPr>
        <w:t>乙方：</w:t>
      </w:r>
    </w:p>
    <w:p>
      <w:pPr>
        <w:spacing w:line="480" w:lineRule="exact"/>
        <w:ind w:firstLine="560" w:firstLineChars="200"/>
        <w:rPr>
          <w:rFonts w:hint="eastAsia"/>
          <w:color w:val="000000"/>
          <w:szCs w:val="28"/>
        </w:rPr>
      </w:pPr>
      <w:r>
        <w:rPr>
          <w:color w:val="000000"/>
          <w:szCs w:val="28"/>
        </w:rPr>
        <w:t>1</w:t>
      </w:r>
      <w:r>
        <w:rPr>
          <w:rFonts w:hint="eastAsia"/>
          <w:color w:val="000000"/>
          <w:szCs w:val="28"/>
        </w:rPr>
        <w:t>、保密内容（包括技术信息和经营信息）</w:t>
      </w:r>
      <w:r>
        <w:rPr>
          <w:color w:val="000000"/>
          <w:szCs w:val="28"/>
        </w:rPr>
        <w:t>:</w:t>
      </w:r>
      <w:r>
        <w:rPr>
          <w:rFonts w:hint="eastAsia"/>
          <w:color w:val="000000"/>
          <w:szCs w:val="28"/>
        </w:rPr>
        <w:t xml:space="preserve"> </w:t>
      </w:r>
      <w:r>
        <w:rPr>
          <w:rFonts w:hint="eastAsia"/>
          <w:color w:val="000000"/>
          <w:szCs w:val="28"/>
          <w:u w:val="single"/>
        </w:rPr>
        <w:t>甲方提供的技术资料。</w:t>
      </w:r>
    </w:p>
    <w:p>
      <w:pPr>
        <w:spacing w:line="480" w:lineRule="exact"/>
        <w:ind w:firstLine="560" w:firstLineChars="200"/>
        <w:rPr>
          <w:rFonts w:hint="eastAsia"/>
          <w:color w:val="000000"/>
          <w:szCs w:val="28"/>
        </w:rPr>
      </w:pPr>
      <w:r>
        <w:rPr>
          <w:color w:val="000000"/>
          <w:szCs w:val="28"/>
        </w:rPr>
        <w:t>2</w:t>
      </w:r>
      <w:r>
        <w:rPr>
          <w:rFonts w:hint="eastAsia"/>
          <w:color w:val="000000"/>
          <w:szCs w:val="28"/>
        </w:rPr>
        <w:t>、涉密人员范围</w:t>
      </w:r>
      <w:r>
        <w:rPr>
          <w:color w:val="000000"/>
          <w:szCs w:val="28"/>
        </w:rPr>
        <w:t>:</w:t>
      </w:r>
      <w:r>
        <w:rPr>
          <w:rFonts w:hint="eastAsia"/>
          <w:color w:val="000000"/>
          <w:szCs w:val="28"/>
        </w:rPr>
        <w:t xml:space="preserve"> </w:t>
      </w:r>
      <w:r>
        <w:rPr>
          <w:rFonts w:hint="eastAsia"/>
          <w:color w:val="000000"/>
          <w:szCs w:val="28"/>
          <w:u w:val="single"/>
        </w:rPr>
        <w:t>项目相关实施人员信息及分工。</w:t>
      </w:r>
    </w:p>
    <w:p>
      <w:pPr>
        <w:spacing w:line="480" w:lineRule="exact"/>
        <w:ind w:firstLine="560" w:firstLineChars="200"/>
        <w:rPr>
          <w:rFonts w:hint="eastAsia"/>
          <w:color w:val="000000"/>
          <w:szCs w:val="28"/>
          <w:u w:val="single"/>
        </w:rPr>
      </w:pPr>
      <w:r>
        <w:rPr>
          <w:color w:val="000000"/>
          <w:szCs w:val="28"/>
        </w:rPr>
        <w:t>3</w:t>
      </w:r>
      <w:r>
        <w:rPr>
          <w:rFonts w:hint="eastAsia"/>
          <w:color w:val="000000"/>
          <w:szCs w:val="28"/>
        </w:rPr>
        <w:t>、保密期限：</w:t>
      </w:r>
      <w:r>
        <w:rPr>
          <w:rFonts w:hint="eastAsia"/>
          <w:color w:val="000000"/>
          <w:szCs w:val="28"/>
          <w:u w:val="single"/>
        </w:rPr>
        <w:t>3年</w:t>
      </w:r>
    </w:p>
    <w:p>
      <w:pPr>
        <w:spacing w:line="480" w:lineRule="exact"/>
        <w:ind w:firstLine="560" w:firstLineChars="200"/>
        <w:rPr>
          <w:rFonts w:hint="eastAsia"/>
          <w:color w:val="000000"/>
          <w:szCs w:val="28"/>
        </w:rPr>
      </w:pPr>
      <w:r>
        <w:rPr>
          <w:color w:val="000000"/>
          <w:szCs w:val="28"/>
        </w:rPr>
        <w:t>4</w:t>
      </w:r>
      <w:r>
        <w:rPr>
          <w:rFonts w:hint="eastAsia"/>
          <w:color w:val="000000"/>
          <w:szCs w:val="28"/>
        </w:rPr>
        <w:t>、泄密责任：</w:t>
      </w:r>
      <w:r>
        <w:rPr>
          <w:rFonts w:hint="eastAsia"/>
          <w:color w:val="000000"/>
          <w:szCs w:val="28"/>
          <w:u w:val="single"/>
        </w:rPr>
        <w:t>对泄密造成的损失，按《中华人民共和国</w:t>
      </w:r>
      <w:r>
        <w:rPr>
          <w:rFonts w:hint="eastAsia"/>
          <w:color w:val="000000"/>
          <w:szCs w:val="28"/>
          <w:u w:val="single"/>
          <w:lang w:eastAsia="zh-CN"/>
        </w:rPr>
        <w:t>保守国家秘</w:t>
      </w:r>
      <w:r>
        <w:rPr>
          <w:rFonts w:hint="eastAsia"/>
          <w:color w:val="000000"/>
          <w:szCs w:val="28"/>
          <w:u w:val="single"/>
        </w:rPr>
        <w:t>密法》、《中华人民共和国反不正当竞争法》的规定承担相应法律责任</w:t>
      </w:r>
      <w:r>
        <w:rPr>
          <w:rFonts w:hint="eastAsia"/>
          <w:color w:val="000000"/>
          <w:szCs w:val="28"/>
        </w:rPr>
        <w:t>。</w:t>
      </w:r>
    </w:p>
    <w:p>
      <w:pPr>
        <w:spacing w:line="480" w:lineRule="exact"/>
        <w:ind w:firstLine="560" w:firstLineChars="200"/>
        <w:rPr>
          <w:rFonts w:hint="eastAsia"/>
          <w:color w:val="000000"/>
          <w:szCs w:val="28"/>
        </w:rPr>
      </w:pPr>
      <w:r>
        <w:rPr>
          <w:rFonts w:hint="eastAsia" w:eastAsia="黑体"/>
          <w:color w:val="000000"/>
          <w:szCs w:val="28"/>
        </w:rPr>
        <w:t xml:space="preserve">第六条 </w:t>
      </w:r>
      <w:r>
        <w:rPr>
          <w:rFonts w:hint="eastAsia"/>
          <w:color w:val="000000"/>
          <w:szCs w:val="28"/>
        </w:rPr>
        <w:t>本合同的变更必须由双方协商一致，并以书面形式确定。但有下列情形之一的，一方可以向另一方提出变更合同权利与义务的书面请求，另一方应当在</w:t>
      </w:r>
      <w:r>
        <w:rPr>
          <w:color w:val="000000"/>
          <w:szCs w:val="28"/>
          <w:u w:val="single"/>
        </w:rPr>
        <w:t xml:space="preserve"> </w:t>
      </w:r>
      <w:r>
        <w:rPr>
          <w:rFonts w:hint="eastAsia"/>
          <w:color w:val="000000"/>
          <w:szCs w:val="28"/>
          <w:u w:val="single"/>
        </w:rPr>
        <w:t>10</w:t>
      </w:r>
      <w:r>
        <w:rPr>
          <w:color w:val="000000"/>
          <w:szCs w:val="28"/>
          <w:u w:val="single"/>
        </w:rPr>
        <w:t xml:space="preserve"> </w:t>
      </w:r>
      <w:r>
        <w:rPr>
          <w:rFonts w:hint="eastAsia"/>
          <w:color w:val="000000"/>
          <w:szCs w:val="28"/>
        </w:rPr>
        <w:t>日内予以答复；逾期未予答复的，视为同意：</w:t>
      </w:r>
    </w:p>
    <w:p>
      <w:pPr>
        <w:numPr>
          <w:ilvl w:val="0"/>
          <w:numId w:val="17"/>
        </w:numPr>
        <w:spacing w:line="480" w:lineRule="exact"/>
        <w:rPr>
          <w:rFonts w:hint="eastAsia"/>
          <w:color w:val="000000"/>
          <w:szCs w:val="28"/>
          <w:u w:val="single"/>
        </w:rPr>
      </w:pPr>
      <w:r>
        <w:rPr>
          <w:rFonts w:hint="eastAsia"/>
          <w:color w:val="000000"/>
          <w:szCs w:val="28"/>
          <w:u w:val="single"/>
        </w:rPr>
        <w:t>服务内容和要求等相关情况发生重大调整。</w:t>
      </w:r>
    </w:p>
    <w:p>
      <w:pPr>
        <w:numPr>
          <w:ilvl w:val="0"/>
          <w:numId w:val="17"/>
        </w:numPr>
        <w:spacing w:line="480" w:lineRule="exact"/>
        <w:rPr>
          <w:rFonts w:hint="eastAsia"/>
          <w:color w:val="000000"/>
          <w:szCs w:val="28"/>
        </w:rPr>
      </w:pPr>
      <w:r>
        <w:rPr>
          <w:rFonts w:hint="eastAsia"/>
          <w:color w:val="000000"/>
          <w:szCs w:val="28"/>
          <w:u w:val="single"/>
        </w:rPr>
        <w:t>其他：         /                。</w:t>
      </w:r>
    </w:p>
    <w:p>
      <w:pPr>
        <w:spacing w:line="480" w:lineRule="exact"/>
        <w:ind w:firstLine="560" w:firstLineChars="200"/>
        <w:rPr>
          <w:rFonts w:hint="eastAsia"/>
          <w:color w:val="000000"/>
          <w:szCs w:val="28"/>
        </w:rPr>
      </w:pPr>
      <w:r>
        <w:rPr>
          <w:rFonts w:hint="eastAsia" w:eastAsia="黑体"/>
          <w:color w:val="000000"/>
          <w:szCs w:val="28"/>
        </w:rPr>
        <w:t xml:space="preserve">第七条 </w:t>
      </w:r>
      <w:r>
        <w:rPr>
          <w:rFonts w:hint="eastAsia"/>
          <w:color w:val="000000"/>
          <w:szCs w:val="28"/>
        </w:rPr>
        <w:t>双方确定，双方按以下标准和方式对乙方提交的技术服务工作成果进行验收：</w:t>
      </w:r>
    </w:p>
    <w:p>
      <w:pPr>
        <w:spacing w:line="480" w:lineRule="exact"/>
        <w:ind w:firstLine="560" w:firstLineChars="200"/>
        <w:rPr>
          <w:rFonts w:hint="eastAsia"/>
          <w:color w:val="000000"/>
          <w:szCs w:val="28"/>
        </w:rPr>
      </w:pPr>
      <w:r>
        <w:rPr>
          <w:color w:val="000000"/>
          <w:szCs w:val="28"/>
        </w:rPr>
        <w:t>1</w:t>
      </w:r>
      <w:r>
        <w:rPr>
          <w:rFonts w:hint="eastAsia"/>
          <w:color w:val="000000"/>
          <w:szCs w:val="28"/>
        </w:rPr>
        <w:t>、乙方提交技术服务工作成果的形式：</w:t>
      </w:r>
      <w:r>
        <w:rPr>
          <w:rFonts w:hint="eastAsia"/>
          <w:color w:val="000000"/>
          <w:szCs w:val="28"/>
          <w:u w:val="single"/>
        </w:rPr>
        <w:t>安装生态修复设施8套以上（含8套）并有效运行维护。</w:t>
      </w:r>
    </w:p>
    <w:p>
      <w:pPr>
        <w:spacing w:line="480" w:lineRule="exact"/>
        <w:ind w:firstLine="560" w:firstLineChars="200"/>
        <w:rPr>
          <w:rFonts w:hint="eastAsia"/>
          <w:color w:val="000000"/>
          <w:szCs w:val="28"/>
          <w:u w:val="single"/>
        </w:rPr>
      </w:pPr>
      <w:r>
        <w:rPr>
          <w:rFonts w:hint="eastAsia"/>
          <w:color w:val="000000"/>
          <w:szCs w:val="28"/>
        </w:rPr>
        <w:t>2、技术服务工作成果的验收标准：</w:t>
      </w:r>
      <w:r>
        <w:rPr>
          <w:rFonts w:hint="eastAsia"/>
          <w:color w:val="000000"/>
          <w:szCs w:val="28"/>
          <w:u w:val="single"/>
        </w:rPr>
        <w:t>乙方所提供的技术技术服务以保障南溪河摇金考核断面化学需氧量、高锰酸盐指数、总磷达标为前提，具体应以通过重庆市合川区生态环境局的核查验收合格为唯一标准。</w:t>
      </w:r>
    </w:p>
    <w:p>
      <w:pPr>
        <w:spacing w:line="480" w:lineRule="exact"/>
        <w:ind w:firstLine="560" w:firstLineChars="200"/>
        <w:rPr>
          <w:rFonts w:hint="eastAsia"/>
          <w:color w:val="000000"/>
          <w:szCs w:val="28"/>
        </w:rPr>
      </w:pPr>
      <w:r>
        <w:rPr>
          <w:rFonts w:eastAsia="黑体"/>
          <w:color w:val="000000"/>
          <w:szCs w:val="28"/>
        </w:rPr>
        <w:t xml:space="preserve"> </w:t>
      </w:r>
      <w:r>
        <w:rPr>
          <w:rFonts w:hint="eastAsia" w:eastAsia="黑体"/>
          <w:color w:val="000000"/>
          <w:szCs w:val="28"/>
        </w:rPr>
        <w:t xml:space="preserve">第八条 </w:t>
      </w:r>
      <w:r>
        <w:rPr>
          <w:rFonts w:hint="eastAsia"/>
          <w:color w:val="000000"/>
          <w:szCs w:val="28"/>
        </w:rPr>
        <w:t>双方确定：</w:t>
      </w:r>
    </w:p>
    <w:p>
      <w:pPr>
        <w:spacing w:line="480" w:lineRule="exact"/>
        <w:ind w:firstLine="560" w:firstLineChars="200"/>
        <w:rPr>
          <w:rFonts w:hint="eastAsia"/>
          <w:color w:val="000000"/>
          <w:szCs w:val="28"/>
        </w:rPr>
      </w:pPr>
      <w:r>
        <w:rPr>
          <w:color w:val="000000"/>
          <w:szCs w:val="28"/>
        </w:rPr>
        <w:t>1</w:t>
      </w:r>
      <w:r>
        <w:rPr>
          <w:rFonts w:hint="eastAsia"/>
          <w:color w:val="000000"/>
          <w:szCs w:val="28"/>
        </w:rPr>
        <w:t>、在本合同有效期内，甲方利用乙方提交的技术服务工作成果所完成的新的技术成果，归</w:t>
      </w:r>
      <w:r>
        <w:rPr>
          <w:color w:val="000000"/>
          <w:szCs w:val="28"/>
          <w:u w:val="single"/>
        </w:rPr>
        <w:t xml:space="preserve"> </w:t>
      </w:r>
      <w:r>
        <w:rPr>
          <w:rFonts w:hint="eastAsia"/>
          <w:color w:val="000000"/>
          <w:szCs w:val="28"/>
          <w:u w:val="single"/>
        </w:rPr>
        <w:t>双</w:t>
      </w:r>
      <w:r>
        <w:rPr>
          <w:color w:val="000000"/>
          <w:szCs w:val="28"/>
          <w:u w:val="single"/>
        </w:rPr>
        <w:t xml:space="preserve"> </w:t>
      </w:r>
      <w:r>
        <w:rPr>
          <w:rFonts w:hint="eastAsia"/>
          <w:color w:val="000000"/>
          <w:szCs w:val="28"/>
        </w:rPr>
        <w:t>方所有。</w:t>
      </w:r>
    </w:p>
    <w:p>
      <w:pPr>
        <w:spacing w:line="480" w:lineRule="exact"/>
        <w:ind w:firstLine="560" w:firstLineChars="200"/>
        <w:rPr>
          <w:rFonts w:hint="eastAsia"/>
          <w:color w:val="000000"/>
          <w:szCs w:val="28"/>
        </w:rPr>
      </w:pPr>
      <w:r>
        <w:rPr>
          <w:color w:val="000000"/>
          <w:szCs w:val="28"/>
        </w:rPr>
        <w:t>2</w:t>
      </w:r>
      <w:r>
        <w:rPr>
          <w:rFonts w:hint="eastAsia"/>
          <w:color w:val="000000"/>
          <w:szCs w:val="28"/>
        </w:rPr>
        <w:t>、在本合同有效期内，乙方利用甲方提供的技术资料和工作条件所完成的新的技术成果，归</w:t>
      </w:r>
      <w:r>
        <w:rPr>
          <w:color w:val="000000"/>
          <w:szCs w:val="28"/>
          <w:u w:val="single"/>
        </w:rPr>
        <w:t xml:space="preserve"> </w:t>
      </w:r>
      <w:r>
        <w:rPr>
          <w:rFonts w:hint="eastAsia"/>
          <w:color w:val="000000"/>
          <w:szCs w:val="28"/>
          <w:u w:val="single"/>
        </w:rPr>
        <w:t>双</w:t>
      </w:r>
      <w:r>
        <w:rPr>
          <w:color w:val="000000"/>
          <w:szCs w:val="28"/>
          <w:u w:val="single"/>
        </w:rPr>
        <w:t xml:space="preserve"> </w:t>
      </w:r>
      <w:r>
        <w:rPr>
          <w:rFonts w:hint="eastAsia"/>
          <w:color w:val="000000"/>
          <w:szCs w:val="28"/>
        </w:rPr>
        <w:t>方所有。</w:t>
      </w:r>
    </w:p>
    <w:p>
      <w:pPr>
        <w:spacing w:line="480" w:lineRule="exact"/>
        <w:ind w:firstLine="560" w:firstLineChars="200"/>
        <w:outlineLvl w:val="0"/>
        <w:rPr>
          <w:color w:val="000000"/>
          <w:szCs w:val="28"/>
        </w:rPr>
      </w:pPr>
      <w:r>
        <w:rPr>
          <w:rFonts w:hint="eastAsia" w:eastAsia="黑体"/>
          <w:color w:val="000000"/>
          <w:szCs w:val="28"/>
        </w:rPr>
        <w:t xml:space="preserve">第九条 </w:t>
      </w:r>
      <w:r>
        <w:rPr>
          <w:rFonts w:hint="eastAsia"/>
          <w:color w:val="000000"/>
          <w:szCs w:val="28"/>
        </w:rPr>
        <w:t>双方签署本合同后应当严格履行合同，如果一方违约，违约方应当按照《合同法》的规定，承担相应的违约责任。</w:t>
      </w:r>
    </w:p>
    <w:p>
      <w:pPr>
        <w:spacing w:line="480" w:lineRule="exact"/>
        <w:ind w:firstLine="560" w:firstLineChars="200"/>
        <w:rPr>
          <w:rFonts w:eastAsia="黑体"/>
          <w:color w:val="000000"/>
          <w:szCs w:val="28"/>
        </w:rPr>
      </w:pPr>
      <w:r>
        <w:rPr>
          <w:rFonts w:hint="eastAsia" w:eastAsia="黑体"/>
          <w:color w:val="000000"/>
          <w:szCs w:val="28"/>
        </w:rPr>
        <w:t xml:space="preserve">第十条 </w:t>
      </w:r>
      <w:r>
        <w:rPr>
          <w:rFonts w:hint="eastAsia"/>
          <w:color w:val="000000"/>
          <w:szCs w:val="28"/>
        </w:rPr>
        <w:t>双方确认：各自的联系方式已列入本合同首页，本合同履行期间所需要发送的信函、书面通知、以及可能发生的诉讼（仲裁）等事项所需发送的法律文书，均应当按照上述联系地址发送，如果一方更改其联系方式的，应当在更改之前书面通知对方，否则向原地址发送的信函、书面通知、以及可能发生的诉讼（仲裁）等事项所需发送的法律文书，均视为在发送之日起三日内送达。</w:t>
      </w:r>
    </w:p>
    <w:p>
      <w:pPr>
        <w:spacing w:line="480" w:lineRule="exact"/>
        <w:ind w:firstLine="560" w:firstLineChars="200"/>
        <w:rPr>
          <w:rFonts w:hint="eastAsia"/>
          <w:color w:val="000000"/>
          <w:szCs w:val="28"/>
        </w:rPr>
      </w:pPr>
      <w:r>
        <w:rPr>
          <w:rFonts w:hint="eastAsia" w:eastAsia="黑体"/>
          <w:color w:val="000000"/>
          <w:szCs w:val="28"/>
        </w:rPr>
        <w:t>第十一条</w:t>
      </w:r>
      <w:r>
        <w:rPr>
          <w:rFonts w:hint="eastAsia"/>
          <w:color w:val="000000"/>
          <w:szCs w:val="28"/>
        </w:rPr>
        <w:t>双方因履行本合同而发生的争议，应协商、调解解决。协商、调解不成的，应提交重庆仲裁委员会以其简易程序仲裁。</w:t>
      </w:r>
    </w:p>
    <w:p>
      <w:pPr>
        <w:spacing w:line="480" w:lineRule="exact"/>
        <w:ind w:firstLine="560" w:firstLineChars="200"/>
        <w:rPr>
          <w:rFonts w:hint="eastAsia"/>
          <w:color w:val="000000"/>
          <w:szCs w:val="28"/>
          <w:u w:val="single"/>
        </w:rPr>
      </w:pPr>
      <w:r>
        <w:rPr>
          <w:rFonts w:hint="eastAsia" w:eastAsia="黑体"/>
          <w:color w:val="000000"/>
          <w:szCs w:val="28"/>
        </w:rPr>
        <w:t>第十二条</w:t>
      </w:r>
      <w:r>
        <w:rPr>
          <w:rFonts w:hint="eastAsia"/>
          <w:color w:val="000000"/>
          <w:szCs w:val="28"/>
        </w:rPr>
        <w:t>双方确认：乙方完成的项目相关报告及工作均系基于甲方提供的各项资料信息及配合；本合同及相关附件中所涉及的有关名词和技术术语，其定义和解释</w:t>
      </w:r>
      <w:r>
        <w:rPr>
          <w:rFonts w:hint="eastAsia"/>
          <w:color w:val="000000"/>
          <w:szCs w:val="28"/>
          <w:u w:val="single"/>
        </w:rPr>
        <w:t xml:space="preserve"> 按国家、行业规范用语及行业习惯用语解释。</w:t>
      </w:r>
    </w:p>
    <w:p>
      <w:pPr>
        <w:spacing w:line="480" w:lineRule="exact"/>
        <w:ind w:firstLine="482"/>
        <w:rPr>
          <w:rFonts w:hint="eastAsia"/>
          <w:color w:val="000000"/>
          <w:szCs w:val="28"/>
        </w:rPr>
      </w:pPr>
      <w:r>
        <w:rPr>
          <w:rFonts w:hint="eastAsia" w:eastAsia="黑体"/>
          <w:color w:val="000000"/>
          <w:szCs w:val="28"/>
        </w:rPr>
        <w:t>第十三条</w:t>
      </w:r>
      <w:r>
        <w:rPr>
          <w:rFonts w:hint="eastAsia"/>
          <w:color w:val="000000"/>
          <w:szCs w:val="28"/>
        </w:rPr>
        <w:t xml:space="preserve">本合同一式 </w:t>
      </w:r>
      <w:r>
        <w:rPr>
          <w:rFonts w:hint="eastAsia"/>
          <w:color w:val="000000"/>
          <w:szCs w:val="28"/>
          <w:u w:val="single"/>
        </w:rPr>
        <w:t xml:space="preserve">陆 </w:t>
      </w:r>
      <w:r>
        <w:rPr>
          <w:rFonts w:hint="eastAsia"/>
          <w:color w:val="000000"/>
          <w:szCs w:val="28"/>
        </w:rPr>
        <w:t xml:space="preserve">份，具有同等法律效力，甲方 </w:t>
      </w:r>
      <w:r>
        <w:rPr>
          <w:rFonts w:hint="eastAsia"/>
          <w:color w:val="000000"/>
          <w:szCs w:val="28"/>
          <w:u w:val="single"/>
        </w:rPr>
        <w:t xml:space="preserve">叁 </w:t>
      </w:r>
      <w:r>
        <w:rPr>
          <w:rFonts w:hint="eastAsia"/>
          <w:color w:val="000000"/>
          <w:szCs w:val="28"/>
        </w:rPr>
        <w:t xml:space="preserve">份、乙方 </w:t>
      </w:r>
      <w:r>
        <w:rPr>
          <w:rFonts w:hint="eastAsia"/>
          <w:color w:val="000000"/>
          <w:szCs w:val="28"/>
          <w:u w:val="single"/>
        </w:rPr>
        <w:t xml:space="preserve">叁 </w:t>
      </w:r>
      <w:r>
        <w:rPr>
          <w:rFonts w:hint="eastAsia"/>
          <w:color w:val="000000"/>
          <w:szCs w:val="28"/>
        </w:rPr>
        <w:t>份。</w:t>
      </w:r>
    </w:p>
    <w:p>
      <w:pPr>
        <w:spacing w:line="480" w:lineRule="exact"/>
        <w:ind w:firstLine="560" w:firstLineChars="200"/>
        <w:rPr>
          <w:color w:val="000000"/>
          <w:szCs w:val="28"/>
        </w:rPr>
      </w:pPr>
      <w:r>
        <w:rPr>
          <w:rFonts w:hint="eastAsia" w:eastAsia="黑体"/>
          <w:color w:val="000000"/>
          <w:szCs w:val="28"/>
        </w:rPr>
        <w:t>第十四条</w:t>
      </w:r>
      <w:r>
        <w:rPr>
          <w:rFonts w:hint="eastAsia"/>
          <w:color w:val="000000"/>
          <w:szCs w:val="28"/>
        </w:rPr>
        <w:t>本合同自双方法定代表人（或委托代理人）签字并盖章后即生效。</w:t>
      </w:r>
    </w:p>
    <w:p>
      <w:pPr>
        <w:spacing w:line="520" w:lineRule="exact"/>
        <w:ind w:firstLine="480" w:firstLineChars="200"/>
        <w:rPr>
          <w:rFonts w:hint="eastAsia"/>
          <w:color w:val="000000"/>
          <w:spacing w:val="-20"/>
          <w:szCs w:val="28"/>
        </w:rPr>
      </w:pPr>
    </w:p>
    <w:p>
      <w:pPr>
        <w:spacing w:line="520" w:lineRule="exact"/>
        <w:ind w:firstLine="480" w:firstLineChars="200"/>
        <w:rPr>
          <w:rFonts w:hint="eastAsia"/>
          <w:color w:val="000000"/>
          <w:spacing w:val="-20"/>
          <w:szCs w:val="28"/>
        </w:rPr>
      </w:pPr>
    </w:p>
    <w:p>
      <w:pPr>
        <w:spacing w:line="520" w:lineRule="exact"/>
        <w:ind w:firstLine="480" w:firstLineChars="200"/>
        <w:rPr>
          <w:rFonts w:hint="eastAsia"/>
          <w:color w:val="000000"/>
          <w:spacing w:val="-20"/>
          <w:szCs w:val="28"/>
          <w:u w:val="single"/>
        </w:rPr>
      </w:pPr>
      <w:r>
        <w:rPr>
          <w:rFonts w:hint="eastAsia"/>
          <w:color w:val="000000"/>
          <w:spacing w:val="-20"/>
          <w:szCs w:val="28"/>
        </w:rPr>
        <w:t xml:space="preserve">甲方： </w:t>
      </w:r>
      <w:r>
        <w:rPr>
          <w:rFonts w:hint="eastAsia"/>
          <w:color w:val="000000"/>
          <w:szCs w:val="28"/>
          <w:u w:val="single"/>
        </w:rPr>
        <w:t xml:space="preserve">  </w:t>
      </w:r>
      <w:r>
        <w:rPr>
          <w:rFonts w:hint="eastAsia"/>
          <w:bCs/>
          <w:color w:val="000000"/>
          <w:szCs w:val="28"/>
          <w:u w:val="single"/>
        </w:rPr>
        <w:t xml:space="preserve">                      </w:t>
      </w:r>
      <w:r>
        <w:rPr>
          <w:color w:val="000000"/>
          <w:szCs w:val="28"/>
          <w:u w:val="single"/>
        </w:rPr>
        <w:t xml:space="preserve">  </w:t>
      </w:r>
      <w:r>
        <w:rPr>
          <w:rFonts w:hint="eastAsia"/>
          <w:color w:val="000000"/>
          <w:szCs w:val="28"/>
          <w:u w:val="single"/>
        </w:rPr>
        <w:t xml:space="preserve">          </w:t>
      </w:r>
      <w:r>
        <w:rPr>
          <w:rFonts w:hint="eastAsia"/>
          <w:color w:val="000000"/>
          <w:spacing w:val="-20"/>
          <w:szCs w:val="28"/>
        </w:rPr>
        <w:t>（盖章）</w:t>
      </w:r>
    </w:p>
    <w:p>
      <w:pPr>
        <w:spacing w:line="520" w:lineRule="exact"/>
        <w:ind w:firstLine="560" w:firstLineChars="200"/>
        <w:rPr>
          <w:color w:val="000000"/>
          <w:szCs w:val="28"/>
        </w:rPr>
      </w:pPr>
      <w:r>
        <w:rPr>
          <w:rFonts w:hint="eastAsia"/>
          <w:color w:val="000000"/>
          <w:szCs w:val="28"/>
        </w:rPr>
        <w:t>法定代表人／委托代理人：</w:t>
      </w:r>
      <w:r>
        <w:rPr>
          <w:rFonts w:hint="eastAsia"/>
          <w:color w:val="000000"/>
          <w:szCs w:val="28"/>
          <w:u w:val="single"/>
        </w:rPr>
        <w:t>　　　　</w:t>
      </w:r>
      <w:r>
        <w:rPr>
          <w:color w:val="000000"/>
          <w:szCs w:val="28"/>
          <w:u w:val="single"/>
        </w:rPr>
        <w:t xml:space="preserve">  </w:t>
      </w:r>
      <w:r>
        <w:rPr>
          <w:rFonts w:hint="eastAsia"/>
          <w:color w:val="000000"/>
          <w:szCs w:val="28"/>
          <w:u w:val="single"/>
        </w:rPr>
        <w:t>　　</w:t>
      </w:r>
      <w:r>
        <w:rPr>
          <w:color w:val="000000"/>
          <w:szCs w:val="28"/>
          <w:u w:val="single"/>
        </w:rPr>
        <w:t xml:space="preserve">  </w:t>
      </w:r>
      <w:r>
        <w:rPr>
          <w:rFonts w:hint="eastAsia"/>
          <w:color w:val="000000"/>
          <w:szCs w:val="28"/>
          <w:u w:val="single"/>
        </w:rPr>
        <w:t>　</w:t>
      </w:r>
      <w:r>
        <w:rPr>
          <w:rFonts w:hint="eastAsia"/>
          <w:color w:val="000000"/>
          <w:szCs w:val="28"/>
        </w:rPr>
        <w:t>（签名）</w:t>
      </w:r>
    </w:p>
    <w:p>
      <w:pPr>
        <w:spacing w:line="520" w:lineRule="exact"/>
        <w:ind w:firstLine="1540" w:firstLineChars="550"/>
        <w:rPr>
          <w:rFonts w:hint="eastAsia"/>
          <w:color w:val="000000"/>
          <w:szCs w:val="28"/>
        </w:rPr>
      </w:pPr>
      <w:r>
        <w:rPr>
          <w:rFonts w:hint="eastAsia"/>
          <w:color w:val="000000"/>
          <w:szCs w:val="28"/>
        </w:rPr>
        <w:t xml:space="preserve">                        年   月    日</w:t>
      </w:r>
    </w:p>
    <w:p>
      <w:pPr>
        <w:spacing w:line="520" w:lineRule="exact"/>
        <w:ind w:firstLine="560" w:firstLineChars="200"/>
        <w:rPr>
          <w:rFonts w:hint="eastAsia"/>
          <w:color w:val="000000"/>
          <w:szCs w:val="28"/>
        </w:rPr>
      </w:pPr>
    </w:p>
    <w:p>
      <w:pPr>
        <w:spacing w:line="520" w:lineRule="exact"/>
        <w:ind w:firstLine="560" w:firstLineChars="200"/>
        <w:rPr>
          <w:rFonts w:hint="eastAsia"/>
          <w:color w:val="000000"/>
          <w:szCs w:val="28"/>
        </w:rPr>
      </w:pPr>
    </w:p>
    <w:p>
      <w:pPr>
        <w:spacing w:line="520" w:lineRule="exact"/>
        <w:ind w:firstLine="560" w:firstLineChars="200"/>
        <w:rPr>
          <w:rFonts w:hint="eastAsia"/>
          <w:color w:val="000000"/>
          <w:szCs w:val="28"/>
          <w:u w:val="single"/>
        </w:rPr>
      </w:pPr>
      <w:r>
        <w:rPr>
          <w:rFonts w:hint="eastAsia"/>
          <w:color w:val="000000"/>
          <w:szCs w:val="28"/>
        </w:rPr>
        <w:t>乙方：</w:t>
      </w:r>
      <w:r>
        <w:rPr>
          <w:color w:val="000000"/>
          <w:szCs w:val="28"/>
          <w:u w:val="single"/>
        </w:rPr>
        <w:t xml:space="preserve"> </w:t>
      </w:r>
      <w:r>
        <w:rPr>
          <w:rFonts w:hint="eastAsia"/>
          <w:color w:val="000000"/>
          <w:szCs w:val="28"/>
          <w:u w:val="single"/>
        </w:rPr>
        <w:t xml:space="preserve"> </w:t>
      </w:r>
      <w:r>
        <w:rPr>
          <w:rFonts w:hint="eastAsia"/>
          <w:bCs/>
          <w:color w:val="000000"/>
          <w:szCs w:val="28"/>
          <w:u w:val="single"/>
        </w:rPr>
        <w:t xml:space="preserve">                              </w:t>
      </w:r>
      <w:r>
        <w:rPr>
          <w:color w:val="000000"/>
          <w:szCs w:val="28"/>
          <w:u w:val="single"/>
        </w:rPr>
        <w:t xml:space="preserve">    </w:t>
      </w:r>
      <w:r>
        <w:rPr>
          <w:rFonts w:hint="eastAsia"/>
          <w:color w:val="000000"/>
          <w:szCs w:val="28"/>
        </w:rPr>
        <w:t>（盖章）</w:t>
      </w:r>
    </w:p>
    <w:p>
      <w:pPr>
        <w:spacing w:line="520" w:lineRule="exact"/>
        <w:ind w:firstLine="560" w:firstLineChars="200"/>
        <w:rPr>
          <w:rFonts w:hint="eastAsia"/>
          <w:color w:val="000000"/>
          <w:szCs w:val="28"/>
          <w:u w:val="single"/>
        </w:rPr>
      </w:pPr>
      <w:r>
        <w:rPr>
          <w:rFonts w:hint="eastAsia"/>
          <w:color w:val="000000"/>
          <w:szCs w:val="28"/>
        </w:rPr>
        <w:t>法定代表人／委托代理人：</w:t>
      </w:r>
      <w:r>
        <w:rPr>
          <w:rFonts w:hint="eastAsia"/>
          <w:color w:val="000000"/>
          <w:szCs w:val="28"/>
          <w:u w:val="single"/>
        </w:rPr>
        <w:t>　　　　</w:t>
      </w:r>
      <w:r>
        <w:rPr>
          <w:color w:val="000000"/>
          <w:szCs w:val="28"/>
          <w:u w:val="single"/>
        </w:rPr>
        <w:t xml:space="preserve">  </w:t>
      </w:r>
      <w:r>
        <w:rPr>
          <w:rFonts w:hint="eastAsia"/>
          <w:color w:val="000000"/>
          <w:szCs w:val="28"/>
          <w:u w:val="single"/>
        </w:rPr>
        <w:t>　　</w:t>
      </w:r>
      <w:r>
        <w:rPr>
          <w:color w:val="000000"/>
          <w:szCs w:val="28"/>
          <w:u w:val="single"/>
        </w:rPr>
        <w:t xml:space="preserve">    </w:t>
      </w:r>
      <w:r>
        <w:rPr>
          <w:rFonts w:hint="eastAsia"/>
          <w:color w:val="000000"/>
          <w:szCs w:val="28"/>
        </w:rPr>
        <w:t>（签名）</w:t>
      </w:r>
    </w:p>
    <w:p>
      <w:pPr>
        <w:spacing w:line="520" w:lineRule="exact"/>
        <w:rPr>
          <w:rFonts w:hint="eastAsia"/>
          <w:color w:val="000000"/>
          <w:szCs w:val="28"/>
        </w:rPr>
      </w:pPr>
      <w:r>
        <w:rPr>
          <w:rFonts w:hint="eastAsia"/>
          <w:color w:val="000000"/>
          <w:szCs w:val="28"/>
        </w:rPr>
        <w:t xml:space="preserve">                                    年    月    日</w:t>
      </w:r>
    </w:p>
    <w:p>
      <w:pPr>
        <w:pStyle w:val="4"/>
        <w:spacing w:beforeLines="0" w:afterLines="0" w:line="360" w:lineRule="auto"/>
        <w:rPr>
          <w:rFonts w:hint="eastAsia" w:ascii="方正小标宋_GBK" w:eastAsia="方正小标宋_GBK"/>
        </w:rPr>
      </w:pPr>
    </w:p>
    <w:p>
      <w:pPr>
        <w:pStyle w:val="4"/>
        <w:spacing w:beforeLines="0" w:afterLines="0" w:line="360" w:lineRule="auto"/>
        <w:rPr>
          <w:rFonts w:hint="eastAsia" w:ascii="方正小标宋_GBK" w:eastAsia="方正小标宋_GBK"/>
        </w:rPr>
      </w:pPr>
    </w:p>
    <w:p>
      <w:pPr>
        <w:pStyle w:val="4"/>
        <w:spacing w:beforeLines="0" w:afterLines="0" w:line="360" w:lineRule="auto"/>
        <w:rPr>
          <w:rFonts w:hint="eastAsia" w:ascii="方正小标宋_GBK" w:eastAsia="方正小标宋_GBK"/>
        </w:rPr>
      </w:pPr>
    </w:p>
    <w:p>
      <w:pPr>
        <w:pStyle w:val="4"/>
        <w:spacing w:beforeLines="0" w:afterLines="0" w:line="360" w:lineRule="auto"/>
        <w:rPr>
          <w:rFonts w:hint="eastAsia" w:ascii="方正小标宋_GBK" w:eastAsia="方正小标宋_GBK"/>
        </w:rPr>
      </w:pPr>
    </w:p>
    <w:p>
      <w:pPr>
        <w:pStyle w:val="4"/>
        <w:spacing w:beforeLines="0" w:afterLines="0" w:line="360" w:lineRule="auto"/>
        <w:rPr>
          <w:rFonts w:hint="eastAsia" w:ascii="方正小标宋_GBK" w:eastAsia="方正小标宋_GBK"/>
        </w:rPr>
      </w:pPr>
    </w:p>
    <w:p>
      <w:pPr>
        <w:pStyle w:val="4"/>
        <w:spacing w:beforeLines="0" w:afterLines="0" w:line="360" w:lineRule="auto"/>
        <w:rPr>
          <w:rFonts w:hint="eastAsia" w:ascii="方正小标宋_GBK" w:eastAsia="方正小标宋_GBK"/>
        </w:rPr>
      </w:pPr>
    </w:p>
    <w:p>
      <w:pPr>
        <w:pStyle w:val="4"/>
        <w:spacing w:beforeLines="0" w:afterLines="0" w:line="360" w:lineRule="auto"/>
        <w:rPr>
          <w:rFonts w:hint="eastAsia" w:ascii="方正小标宋_GBK" w:eastAsia="方正小标宋_GBK"/>
        </w:rPr>
      </w:pPr>
    </w:p>
    <w:p>
      <w:pPr>
        <w:rPr>
          <w:rFonts w:hint="eastAsia"/>
        </w:rPr>
      </w:pPr>
    </w:p>
    <w:p>
      <w:pPr>
        <w:rPr>
          <w:rFonts w:hint="eastAsia"/>
        </w:rPr>
      </w:pPr>
    </w:p>
    <w:p>
      <w:pPr>
        <w:rPr>
          <w:rFonts w:hint="eastAsia"/>
        </w:rPr>
      </w:pPr>
    </w:p>
    <w:p>
      <w:pPr>
        <w:rPr>
          <w:rFonts w:hint="eastAsia"/>
        </w:rPr>
      </w:pPr>
    </w:p>
    <w:p>
      <w:pPr>
        <w:ind w:firstLine="2640" w:firstLineChars="600"/>
        <w:rPr>
          <w:rFonts w:hint="eastAsia" w:ascii="方正小标宋_GBK" w:eastAsia="方正小标宋_GBK"/>
          <w:sz w:val="44"/>
        </w:rPr>
      </w:pPr>
      <w:r>
        <w:rPr>
          <w:rFonts w:hint="eastAsia" w:ascii="方正小标宋_GBK" w:eastAsia="方正小标宋_GBK"/>
          <w:sz w:val="44"/>
        </w:rPr>
        <w:t>第七篇  投标文件格式</w:t>
      </w:r>
      <w:bookmarkEnd w:id="72"/>
      <w:bookmarkEnd w:id="73"/>
    </w:p>
    <w:p>
      <w:pPr>
        <w:snapToGrid w:val="0"/>
        <w:spacing w:line="440" w:lineRule="exact"/>
        <w:ind w:firstLine="482" w:firstLineChars="200"/>
        <w:rPr>
          <w:rFonts w:hint="eastAsia" w:ascii="仿宋" w:hAnsi="仿宋" w:eastAsia="仿宋"/>
          <w:b/>
          <w:sz w:val="24"/>
          <w:szCs w:val="24"/>
        </w:rPr>
      </w:pPr>
      <w:r>
        <w:rPr>
          <w:rFonts w:hint="eastAsia" w:ascii="方正仿宋_GBK" w:hAnsi="宋体" w:eastAsia="方正仿宋_GBK"/>
          <w:b/>
          <w:sz w:val="24"/>
          <w:szCs w:val="24"/>
        </w:rPr>
        <w:t>一、经济文件</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（一）开标一览表</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（二）分项报价明细表</w:t>
      </w:r>
    </w:p>
    <w:p>
      <w:pPr>
        <w:snapToGrid w:val="0"/>
        <w:spacing w:line="44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rPr>
        <w:t>二、技术文件</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（一）技术方案</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（二）技术条款差异表</w:t>
      </w:r>
    </w:p>
    <w:p>
      <w:pPr>
        <w:snapToGrid w:val="0"/>
        <w:spacing w:line="44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rPr>
        <w:t>三、商务文件</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（一）投标函（格式）</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（二）商务条款差异表</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（三）商务及售后服务承诺</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（四）中小微企业声明函、监狱企业证明文件、残疾人福利性单位声明函</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（五）其他与项目有关的资料（自附）</w:t>
      </w:r>
    </w:p>
    <w:p>
      <w:pPr>
        <w:snapToGrid w:val="0"/>
        <w:spacing w:line="440" w:lineRule="exact"/>
        <w:ind w:firstLine="482" w:firstLineChars="200"/>
        <w:rPr>
          <w:rFonts w:hint="eastAsia" w:ascii="方正仿宋_GBK" w:hAnsi="宋体" w:eastAsia="方正仿宋_GBK"/>
          <w:b/>
          <w:sz w:val="24"/>
          <w:szCs w:val="24"/>
        </w:rPr>
      </w:pPr>
      <w:r>
        <w:rPr>
          <w:rFonts w:hint="eastAsia" w:ascii="方正仿宋_GBK" w:hAnsi="宋体" w:eastAsia="方正仿宋_GBK"/>
          <w:b/>
          <w:sz w:val="24"/>
          <w:szCs w:val="24"/>
        </w:rPr>
        <w:t>四、资格文件</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（一）营业执照（副本）或事业单位法人证书（副本）复印件</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（二）法定代表人身份证明书（格式）</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（三）法定代表人授权委托书（格式）</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（四）</w:t>
      </w:r>
      <w:r>
        <w:rPr>
          <w:rFonts w:hint="eastAsia" w:ascii="方正仿宋_GBK" w:hAnsi="宋体" w:eastAsia="方正仿宋_GBK"/>
          <w:sz w:val="24"/>
          <w:szCs w:val="24"/>
          <w:u w:val="single"/>
        </w:rPr>
        <w:t>2019</w:t>
      </w:r>
      <w:r>
        <w:rPr>
          <w:rFonts w:hint="eastAsia" w:ascii="方正仿宋_GBK" w:hAnsi="宋体" w:eastAsia="方正仿宋_GBK"/>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（五）书面声明（格式）</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（六）开标日前三个月缴纳税收的证明材料复印件。依法免税的投标人，应提供相应文件证明其依法免税。</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七）开标日前三个月缴纳社会保障金的证明材料复印件（缴纳社会保障金的证明材料指：社会保险登记证或缴纳社会保险的凭据（专用收据或社会保险缴纳清单））。依法不需要缴纳社会保障资金的投标人，应提供相应文件证明其依法不需要缴纳社会保障资金。</w:t>
      </w:r>
    </w:p>
    <w:p>
      <w:pPr>
        <w:snapToGrid w:val="0"/>
        <w:spacing w:line="440" w:lineRule="exact"/>
        <w:ind w:firstLine="480" w:firstLineChars="200"/>
        <w:rPr>
          <w:rFonts w:hint="eastAsia" w:ascii="方正仿宋_GBK" w:hAnsi="宋体" w:eastAsia="方正仿宋_GBK"/>
          <w:sz w:val="24"/>
          <w:szCs w:val="24"/>
        </w:rPr>
      </w:pPr>
      <w:r>
        <w:rPr>
          <w:rFonts w:hint="eastAsia" w:ascii="方正仿宋_GBK" w:hAnsi="宋体" w:eastAsia="方正仿宋_GBK"/>
          <w:sz w:val="24"/>
          <w:szCs w:val="24"/>
        </w:rPr>
        <w:t>（八）特定资格条件证书或证明文件</w:t>
      </w:r>
    </w:p>
    <w:p>
      <w:pPr>
        <w:pStyle w:val="5"/>
        <w:pageBreakBefore/>
        <w:spacing w:line="500" w:lineRule="exact"/>
        <w:rPr>
          <w:rFonts w:hint="eastAsia" w:ascii="方正仿宋_GBK" w:hAnsi="方正仿宋_GBK" w:eastAsia="方正仿宋_GBK" w:cs="方正仿宋_GBK"/>
          <w:b/>
          <w:szCs w:val="28"/>
        </w:rPr>
      </w:pPr>
      <w:bookmarkStart w:id="76" w:name="_Toc14209"/>
      <w:r>
        <w:rPr>
          <w:rFonts w:hint="eastAsia" w:ascii="方正仿宋_GBK" w:hAnsi="方正仿宋_GBK" w:eastAsia="方正仿宋_GBK" w:cs="方正仿宋_GBK"/>
          <w:b/>
          <w:szCs w:val="28"/>
        </w:rPr>
        <w:t>一、经济文件</w:t>
      </w:r>
      <w:bookmarkEnd w:id="74"/>
      <w:bookmarkEnd w:id="75"/>
      <w:bookmarkEnd w:id="76"/>
    </w:p>
    <w:p>
      <w:pPr>
        <w:snapToGrid w:val="0"/>
        <w:spacing w:line="500" w:lineRule="exact"/>
        <w:jc w:val="center"/>
        <w:rPr>
          <w:rFonts w:hint="eastAsia" w:ascii="方正仿宋_GBK" w:hAnsi="方正仿宋_GBK" w:eastAsia="方正仿宋_GBK" w:cs="方正仿宋_GBK"/>
          <w:szCs w:val="36"/>
        </w:rPr>
      </w:pPr>
      <w:r>
        <w:rPr>
          <w:rFonts w:hint="eastAsia" w:ascii="方正仿宋_GBK" w:hAnsi="方正仿宋_GBK" w:eastAsia="方正仿宋_GBK" w:cs="方正仿宋_GBK"/>
          <w:szCs w:val="36"/>
        </w:rPr>
        <w:t>（一）开标一览表</w:t>
      </w:r>
    </w:p>
    <w:p>
      <w:pPr>
        <w:spacing w:line="500" w:lineRule="exact"/>
        <w:ind w:firstLine="240" w:firstLineChars="1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招标项目名称：</w:t>
      </w:r>
    </w:p>
    <w:tbl>
      <w:tblPr>
        <w:tblStyle w:val="6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130"/>
        <w:gridCol w:w="6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0" w:hRule="atLeast"/>
        </w:trPr>
        <w:tc>
          <w:tcPr>
            <w:tcW w:w="1788" w:type="dxa"/>
            <w:vAlign w:val="center"/>
          </w:tcPr>
          <w:p>
            <w:pPr>
              <w:spacing w:line="500" w:lineRule="exact"/>
              <w:jc w:val="center"/>
              <w:rPr>
                <w:rFonts w:hint="eastAsia" w:ascii="方正仿宋_GBK" w:hAnsi="方正仿宋_GBK" w:eastAsia="方正仿宋_GBK" w:cs="方正仿宋_GBK"/>
                <w:sz w:val="21"/>
                <w:szCs w:val="28"/>
              </w:rPr>
            </w:pPr>
            <w:r>
              <w:rPr>
                <w:rFonts w:hint="eastAsia" w:ascii="方正仿宋_GBK" w:hAnsi="方正仿宋_GBK" w:eastAsia="方正仿宋_GBK" w:cs="方正仿宋_GBK"/>
                <w:sz w:val="21"/>
                <w:szCs w:val="28"/>
              </w:rPr>
              <w:t>投标人名称</w:t>
            </w:r>
          </w:p>
        </w:tc>
        <w:tc>
          <w:tcPr>
            <w:tcW w:w="7840" w:type="dxa"/>
            <w:gridSpan w:val="2"/>
            <w:vAlign w:val="center"/>
          </w:tcPr>
          <w:p>
            <w:pPr>
              <w:spacing w:line="500" w:lineRule="exact"/>
              <w:jc w:val="center"/>
              <w:rPr>
                <w:rFonts w:hint="eastAsia" w:ascii="方正仿宋_GBK" w:hAnsi="方正仿宋_GBK" w:eastAsia="方正仿宋_GBK" w:cs="方正仿宋_GBK"/>
                <w:sz w:val="2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9" w:hRule="atLeast"/>
        </w:trPr>
        <w:tc>
          <w:tcPr>
            <w:tcW w:w="2918" w:type="dxa"/>
            <w:gridSpan w:val="2"/>
            <w:vAlign w:val="center"/>
          </w:tcPr>
          <w:p>
            <w:pPr>
              <w:spacing w:line="500" w:lineRule="exact"/>
              <w:jc w:val="center"/>
              <w:rPr>
                <w:rFonts w:hint="eastAsia" w:ascii="方正仿宋_GBK" w:hAnsi="方正仿宋_GBK" w:eastAsia="方正仿宋_GBK" w:cs="方正仿宋_GBK"/>
                <w:sz w:val="21"/>
                <w:szCs w:val="28"/>
              </w:rPr>
            </w:pPr>
            <w:r>
              <w:rPr>
                <w:rFonts w:hint="eastAsia" w:ascii="方正仿宋_GBK" w:hAnsi="方正仿宋_GBK" w:eastAsia="方正仿宋_GBK" w:cs="方正仿宋_GBK"/>
                <w:sz w:val="21"/>
                <w:szCs w:val="28"/>
              </w:rPr>
              <w:t>项目名称</w:t>
            </w:r>
          </w:p>
        </w:tc>
        <w:tc>
          <w:tcPr>
            <w:tcW w:w="6710" w:type="dxa"/>
            <w:vAlign w:val="center"/>
          </w:tcPr>
          <w:p>
            <w:pPr>
              <w:spacing w:line="500" w:lineRule="exact"/>
              <w:jc w:val="center"/>
              <w:rPr>
                <w:rFonts w:hint="eastAsia" w:ascii="方正仿宋_GBK" w:hAnsi="方正仿宋_GBK" w:eastAsia="方正仿宋_GBK" w:cs="方正仿宋_GBK"/>
                <w:sz w:val="21"/>
                <w:szCs w:val="28"/>
              </w:rPr>
            </w:pPr>
            <w:r>
              <w:rPr>
                <w:rFonts w:hint="eastAsia" w:ascii="方正仿宋_GBK" w:hAnsi="方正仿宋_GBK" w:eastAsia="方正仿宋_GBK" w:cs="方正仿宋_GBK"/>
                <w:sz w:val="21"/>
                <w:szCs w:val="28"/>
              </w:rPr>
              <w:t>投标报价（小写）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0" w:hRule="atLeast"/>
        </w:trPr>
        <w:tc>
          <w:tcPr>
            <w:tcW w:w="2918" w:type="dxa"/>
            <w:gridSpan w:val="2"/>
            <w:tcBorders>
              <w:bottom w:val="single" w:color="auto" w:sz="4" w:space="0"/>
            </w:tcBorders>
            <w:vAlign w:val="center"/>
          </w:tcPr>
          <w:p>
            <w:pPr>
              <w:spacing w:line="500" w:lineRule="exact"/>
              <w:rPr>
                <w:rFonts w:hint="eastAsia" w:ascii="方正仿宋_GBK" w:hAnsi="方正仿宋_GBK" w:eastAsia="方正仿宋_GBK" w:cs="方正仿宋_GBK"/>
                <w:sz w:val="21"/>
                <w:szCs w:val="28"/>
              </w:rPr>
            </w:pPr>
          </w:p>
        </w:tc>
        <w:tc>
          <w:tcPr>
            <w:tcW w:w="6710" w:type="dxa"/>
            <w:tcBorders>
              <w:bottom w:val="single" w:color="auto" w:sz="4" w:space="0"/>
            </w:tcBorders>
          </w:tcPr>
          <w:p>
            <w:pPr>
              <w:spacing w:line="500" w:lineRule="exact"/>
              <w:rPr>
                <w:rFonts w:hint="eastAsia" w:ascii="方正仿宋_GBK" w:hAnsi="方正仿宋_GBK" w:eastAsia="方正仿宋_GBK" w:cs="方正仿宋_GBK"/>
                <w:sz w:val="21"/>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38" w:hRule="atLeast"/>
        </w:trPr>
        <w:tc>
          <w:tcPr>
            <w:tcW w:w="9628" w:type="dxa"/>
            <w:gridSpan w:val="3"/>
            <w:tcBorders>
              <w:bottom w:val="single" w:color="auto" w:sz="4" w:space="0"/>
            </w:tcBorders>
            <w:vAlign w:val="center"/>
          </w:tcPr>
          <w:p>
            <w:pPr>
              <w:spacing w:line="560" w:lineRule="exact"/>
              <w:rPr>
                <w:rFonts w:hint="eastAsia" w:ascii="方正仿宋_GBK" w:hAnsi="方正仿宋_GBK" w:eastAsia="方正仿宋_GBK" w:cs="方正仿宋_GBK"/>
                <w:sz w:val="21"/>
                <w:szCs w:val="28"/>
              </w:rPr>
            </w:pPr>
            <w:r>
              <w:rPr>
                <w:rFonts w:hint="eastAsia" w:ascii="方正仿宋_GBK" w:hAnsi="方正仿宋_GBK" w:eastAsia="方正仿宋_GBK" w:cs="方正仿宋_GBK"/>
                <w:sz w:val="21"/>
                <w:szCs w:val="28"/>
              </w:rPr>
              <w:t xml:space="preserve">投标报价（大写）：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0" w:hRule="atLeast"/>
        </w:trPr>
        <w:tc>
          <w:tcPr>
            <w:tcW w:w="9628" w:type="dxa"/>
            <w:gridSpan w:val="3"/>
            <w:vAlign w:val="center"/>
          </w:tcPr>
          <w:p>
            <w:pPr>
              <w:pStyle w:val="34"/>
              <w:spacing w:line="500" w:lineRule="exact"/>
              <w:rPr>
                <w:rFonts w:hint="eastAsia" w:ascii="方正仿宋_GBK" w:hAnsi="方正仿宋_GBK" w:eastAsia="方正仿宋_GBK" w:cs="方正仿宋_GBK"/>
                <w:sz w:val="21"/>
                <w:szCs w:val="28"/>
              </w:rPr>
            </w:pPr>
            <w:r>
              <w:rPr>
                <w:rFonts w:hint="eastAsia" w:ascii="方正仿宋_GBK" w:hAnsi="方正仿宋_GBK" w:eastAsia="方正仿宋_GBK" w:cs="方正仿宋_GBK"/>
                <w:sz w:val="21"/>
                <w:szCs w:val="28"/>
              </w:rPr>
              <w:t xml:space="preserve">备注： </w:t>
            </w:r>
          </w:p>
        </w:tc>
      </w:tr>
    </w:tbl>
    <w:p>
      <w:pPr>
        <w:pStyle w:val="34"/>
        <w:spacing w:line="500" w:lineRule="exact"/>
        <w:rPr>
          <w:rFonts w:hint="eastAsia" w:ascii="方正仿宋_GBK" w:hAnsi="方正仿宋_GBK" w:eastAsia="方正仿宋_GBK" w:cs="方正仿宋_GBK"/>
          <w:sz w:val="24"/>
          <w:szCs w:val="28"/>
        </w:rPr>
      </w:pPr>
    </w:p>
    <w:p>
      <w:pPr>
        <w:rPr>
          <w:rFonts w:hint="eastAsia" w:ascii="方正仿宋_GBK" w:hAnsi="方正仿宋_GBK" w:eastAsia="方正仿宋_GBK" w:cs="方正仿宋_GBK"/>
        </w:rPr>
      </w:pPr>
    </w:p>
    <w:p>
      <w:pPr>
        <w:spacing w:line="500" w:lineRule="exact"/>
        <w:rPr>
          <w:rFonts w:hint="eastAsia" w:ascii="方正仿宋_GBK" w:hAnsi="方正仿宋_GBK" w:eastAsia="方正仿宋_GBK" w:cs="方正仿宋_GBK"/>
          <w:sz w:val="24"/>
          <w:szCs w:val="28"/>
        </w:rPr>
      </w:pPr>
    </w:p>
    <w:p>
      <w:pPr>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投标人                               法定代表人或法定代表人授权代表：</w:t>
      </w:r>
    </w:p>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 xml:space="preserve">  （投标人公章）                               （签字或盖章）</w:t>
      </w:r>
    </w:p>
    <w:p>
      <w:pPr>
        <w:spacing w:line="500" w:lineRule="exact"/>
        <w:rPr>
          <w:rFonts w:hint="eastAsia" w:ascii="方正仿宋_GBK" w:hAnsi="方正仿宋_GBK" w:eastAsia="方正仿宋_GBK" w:cs="方正仿宋_GBK"/>
          <w:sz w:val="24"/>
          <w:szCs w:val="28"/>
        </w:rPr>
      </w:pPr>
    </w:p>
    <w:p>
      <w:pPr>
        <w:spacing w:line="500" w:lineRule="exact"/>
        <w:rPr>
          <w:rFonts w:hint="eastAsia" w:ascii="方正仿宋_GBK" w:hAnsi="方正仿宋_GBK" w:eastAsia="方正仿宋_GBK" w:cs="方正仿宋_GBK"/>
          <w:sz w:val="24"/>
          <w:szCs w:val="28"/>
        </w:rPr>
      </w:pPr>
    </w:p>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 xml:space="preserve">                                            年     月     日</w:t>
      </w:r>
    </w:p>
    <w:p>
      <w:pPr>
        <w:snapToGrid w:val="0"/>
        <w:spacing w:line="500" w:lineRule="exact"/>
        <w:ind w:firstLine="480" w:firstLineChars="200"/>
        <w:rPr>
          <w:rFonts w:hint="eastAsia" w:ascii="方正仿宋_GBK" w:hAnsi="方正仿宋_GBK" w:eastAsia="方正仿宋_GBK" w:cs="方正仿宋_GBK"/>
          <w:sz w:val="24"/>
          <w:szCs w:val="28"/>
        </w:rPr>
      </w:pPr>
    </w:p>
    <w:p>
      <w:pPr>
        <w:snapToGrid w:val="0"/>
        <w:spacing w:line="500" w:lineRule="exact"/>
        <w:ind w:firstLine="480" w:firstLineChars="200"/>
        <w:rPr>
          <w:rFonts w:hint="eastAsia" w:ascii="方正仿宋_GBK" w:hAnsi="方正仿宋_GBK" w:eastAsia="方正仿宋_GBK" w:cs="方正仿宋_GBK"/>
          <w:sz w:val="24"/>
          <w:szCs w:val="28"/>
        </w:rPr>
      </w:pPr>
    </w:p>
    <w:p>
      <w:pPr>
        <w:snapToGrid w:val="0"/>
        <w:spacing w:line="500" w:lineRule="exact"/>
        <w:ind w:firstLine="480" w:firstLineChars="200"/>
        <w:rPr>
          <w:rFonts w:hint="eastAsia" w:ascii="方正仿宋_GBK" w:hAnsi="方正仿宋_GBK" w:eastAsia="方正仿宋_GBK" w:cs="方正仿宋_GBK"/>
          <w:sz w:val="24"/>
          <w:szCs w:val="28"/>
        </w:rPr>
      </w:pPr>
    </w:p>
    <w:p>
      <w:pPr>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说明：</w:t>
      </w:r>
    </w:p>
    <w:p>
      <w:pPr>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1.开标一览表按格式填列；</w:t>
      </w:r>
    </w:p>
    <w:p>
      <w:pPr>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2.开标一览表在开标大会上当众宣读，务必填写清楚，准确无误。</w:t>
      </w:r>
    </w:p>
    <w:p>
      <w:pPr>
        <w:snapToGrid w:val="0"/>
        <w:spacing w:line="500" w:lineRule="exact"/>
        <w:ind w:firstLine="56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Cs w:val="28"/>
        </w:rPr>
        <w:br w:type="page"/>
      </w:r>
      <w:r>
        <w:rPr>
          <w:rFonts w:hint="eastAsia" w:ascii="方正仿宋_GBK" w:hAnsi="方正仿宋_GBK" w:eastAsia="方正仿宋_GBK" w:cs="方正仿宋_GBK"/>
          <w:szCs w:val="36"/>
        </w:rPr>
        <w:t>（二）分项报价明细表</w:t>
      </w:r>
    </w:p>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 xml:space="preserve">招标项目名称：    </w:t>
      </w:r>
    </w:p>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 xml:space="preserve">                                                                   单位：元</w:t>
      </w:r>
    </w:p>
    <w:tbl>
      <w:tblPr>
        <w:tblStyle w:val="6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577"/>
        <w:gridCol w:w="1947"/>
        <w:gridCol w:w="1434"/>
        <w:gridCol w:w="1422"/>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 w:type="dxa"/>
          </w:tcPr>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序号</w:t>
            </w:r>
          </w:p>
        </w:tc>
        <w:tc>
          <w:tcPr>
            <w:tcW w:w="1577" w:type="dxa"/>
          </w:tcPr>
          <w:p>
            <w:pPr>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名称</w:t>
            </w:r>
          </w:p>
        </w:tc>
        <w:tc>
          <w:tcPr>
            <w:tcW w:w="1947" w:type="dxa"/>
          </w:tcPr>
          <w:p>
            <w:pPr>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相关内容</w:t>
            </w:r>
          </w:p>
        </w:tc>
        <w:tc>
          <w:tcPr>
            <w:tcW w:w="1434" w:type="dxa"/>
          </w:tcPr>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4"/>
              </w:rPr>
              <w:t>单价</w:t>
            </w:r>
          </w:p>
        </w:tc>
        <w:tc>
          <w:tcPr>
            <w:tcW w:w="1422" w:type="dxa"/>
          </w:tcPr>
          <w:p>
            <w:pPr>
              <w:spacing w:line="500" w:lineRule="exact"/>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数量</w:t>
            </w:r>
          </w:p>
        </w:tc>
        <w:tc>
          <w:tcPr>
            <w:tcW w:w="2254" w:type="dxa"/>
          </w:tcPr>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4"/>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 w:type="dxa"/>
          </w:tcPr>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1</w:t>
            </w:r>
          </w:p>
        </w:tc>
        <w:tc>
          <w:tcPr>
            <w:tcW w:w="1577" w:type="dxa"/>
          </w:tcPr>
          <w:p>
            <w:pPr>
              <w:spacing w:line="500" w:lineRule="exact"/>
              <w:rPr>
                <w:rFonts w:hint="eastAsia" w:ascii="方正仿宋_GBK" w:hAnsi="方正仿宋_GBK" w:eastAsia="方正仿宋_GBK" w:cs="方正仿宋_GBK"/>
                <w:sz w:val="24"/>
                <w:szCs w:val="28"/>
              </w:rPr>
            </w:pPr>
          </w:p>
        </w:tc>
        <w:tc>
          <w:tcPr>
            <w:tcW w:w="1947" w:type="dxa"/>
          </w:tcPr>
          <w:p>
            <w:pPr>
              <w:spacing w:line="500" w:lineRule="exact"/>
              <w:rPr>
                <w:rFonts w:hint="eastAsia" w:ascii="方正仿宋_GBK" w:hAnsi="方正仿宋_GBK" w:eastAsia="方正仿宋_GBK" w:cs="方正仿宋_GBK"/>
                <w:sz w:val="24"/>
                <w:szCs w:val="28"/>
              </w:rPr>
            </w:pPr>
          </w:p>
        </w:tc>
        <w:tc>
          <w:tcPr>
            <w:tcW w:w="1434" w:type="dxa"/>
          </w:tcPr>
          <w:p>
            <w:pPr>
              <w:spacing w:line="500" w:lineRule="exact"/>
              <w:rPr>
                <w:rFonts w:hint="eastAsia" w:ascii="方正仿宋_GBK" w:hAnsi="方正仿宋_GBK" w:eastAsia="方正仿宋_GBK" w:cs="方正仿宋_GBK"/>
                <w:sz w:val="24"/>
                <w:szCs w:val="28"/>
              </w:rPr>
            </w:pPr>
          </w:p>
        </w:tc>
        <w:tc>
          <w:tcPr>
            <w:tcW w:w="1422" w:type="dxa"/>
          </w:tcPr>
          <w:p>
            <w:pPr>
              <w:spacing w:line="500" w:lineRule="exact"/>
              <w:rPr>
                <w:rFonts w:hint="eastAsia" w:ascii="方正仿宋_GBK" w:hAnsi="方正仿宋_GBK" w:eastAsia="方正仿宋_GBK" w:cs="方正仿宋_GBK"/>
                <w:sz w:val="24"/>
                <w:szCs w:val="28"/>
              </w:rPr>
            </w:pPr>
          </w:p>
        </w:tc>
        <w:tc>
          <w:tcPr>
            <w:tcW w:w="2254" w:type="dxa"/>
          </w:tcPr>
          <w:p>
            <w:pPr>
              <w:spacing w:line="500" w:lineRule="exact"/>
              <w:rPr>
                <w:rFonts w:hint="eastAsia" w:ascii="方正仿宋_GBK" w:hAnsi="方正仿宋_GBK" w:eastAsia="方正仿宋_GBK" w:cs="方正仿宋_GBK"/>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 w:type="dxa"/>
          </w:tcPr>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2</w:t>
            </w:r>
          </w:p>
        </w:tc>
        <w:tc>
          <w:tcPr>
            <w:tcW w:w="1577" w:type="dxa"/>
          </w:tcPr>
          <w:p>
            <w:pPr>
              <w:spacing w:line="500" w:lineRule="exact"/>
              <w:rPr>
                <w:rFonts w:hint="eastAsia" w:ascii="方正仿宋_GBK" w:hAnsi="方正仿宋_GBK" w:eastAsia="方正仿宋_GBK" w:cs="方正仿宋_GBK"/>
                <w:sz w:val="24"/>
                <w:szCs w:val="28"/>
              </w:rPr>
            </w:pPr>
          </w:p>
        </w:tc>
        <w:tc>
          <w:tcPr>
            <w:tcW w:w="1947" w:type="dxa"/>
          </w:tcPr>
          <w:p>
            <w:pPr>
              <w:spacing w:line="500" w:lineRule="exact"/>
              <w:rPr>
                <w:rFonts w:hint="eastAsia" w:ascii="方正仿宋_GBK" w:hAnsi="方正仿宋_GBK" w:eastAsia="方正仿宋_GBK" w:cs="方正仿宋_GBK"/>
                <w:sz w:val="24"/>
                <w:szCs w:val="28"/>
              </w:rPr>
            </w:pPr>
          </w:p>
        </w:tc>
        <w:tc>
          <w:tcPr>
            <w:tcW w:w="1434" w:type="dxa"/>
          </w:tcPr>
          <w:p>
            <w:pPr>
              <w:spacing w:line="500" w:lineRule="exact"/>
              <w:rPr>
                <w:rFonts w:hint="eastAsia" w:ascii="方正仿宋_GBK" w:hAnsi="方正仿宋_GBK" w:eastAsia="方正仿宋_GBK" w:cs="方正仿宋_GBK"/>
                <w:sz w:val="24"/>
                <w:szCs w:val="28"/>
              </w:rPr>
            </w:pPr>
          </w:p>
        </w:tc>
        <w:tc>
          <w:tcPr>
            <w:tcW w:w="1422" w:type="dxa"/>
          </w:tcPr>
          <w:p>
            <w:pPr>
              <w:spacing w:line="500" w:lineRule="exact"/>
              <w:rPr>
                <w:rFonts w:hint="eastAsia" w:ascii="方正仿宋_GBK" w:hAnsi="方正仿宋_GBK" w:eastAsia="方正仿宋_GBK" w:cs="方正仿宋_GBK"/>
                <w:sz w:val="24"/>
                <w:szCs w:val="28"/>
              </w:rPr>
            </w:pPr>
          </w:p>
        </w:tc>
        <w:tc>
          <w:tcPr>
            <w:tcW w:w="2254" w:type="dxa"/>
          </w:tcPr>
          <w:p>
            <w:pPr>
              <w:spacing w:line="500" w:lineRule="exact"/>
              <w:rPr>
                <w:rFonts w:hint="eastAsia" w:ascii="方正仿宋_GBK" w:hAnsi="方正仿宋_GBK" w:eastAsia="方正仿宋_GBK" w:cs="方正仿宋_GBK"/>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 w:type="dxa"/>
          </w:tcPr>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3</w:t>
            </w:r>
          </w:p>
        </w:tc>
        <w:tc>
          <w:tcPr>
            <w:tcW w:w="1577" w:type="dxa"/>
          </w:tcPr>
          <w:p>
            <w:pPr>
              <w:spacing w:line="500" w:lineRule="exact"/>
              <w:rPr>
                <w:rFonts w:hint="eastAsia" w:ascii="方正仿宋_GBK" w:hAnsi="方正仿宋_GBK" w:eastAsia="方正仿宋_GBK" w:cs="方正仿宋_GBK"/>
                <w:sz w:val="24"/>
                <w:szCs w:val="28"/>
              </w:rPr>
            </w:pPr>
          </w:p>
        </w:tc>
        <w:tc>
          <w:tcPr>
            <w:tcW w:w="1947" w:type="dxa"/>
          </w:tcPr>
          <w:p>
            <w:pPr>
              <w:spacing w:line="500" w:lineRule="exact"/>
              <w:rPr>
                <w:rFonts w:hint="eastAsia" w:ascii="方正仿宋_GBK" w:hAnsi="方正仿宋_GBK" w:eastAsia="方正仿宋_GBK" w:cs="方正仿宋_GBK"/>
                <w:sz w:val="24"/>
                <w:szCs w:val="28"/>
              </w:rPr>
            </w:pPr>
          </w:p>
        </w:tc>
        <w:tc>
          <w:tcPr>
            <w:tcW w:w="1434" w:type="dxa"/>
          </w:tcPr>
          <w:p>
            <w:pPr>
              <w:spacing w:line="500" w:lineRule="exact"/>
              <w:rPr>
                <w:rFonts w:hint="eastAsia" w:ascii="方正仿宋_GBK" w:hAnsi="方正仿宋_GBK" w:eastAsia="方正仿宋_GBK" w:cs="方正仿宋_GBK"/>
                <w:sz w:val="24"/>
                <w:szCs w:val="28"/>
              </w:rPr>
            </w:pPr>
          </w:p>
        </w:tc>
        <w:tc>
          <w:tcPr>
            <w:tcW w:w="1422" w:type="dxa"/>
          </w:tcPr>
          <w:p>
            <w:pPr>
              <w:spacing w:line="500" w:lineRule="exact"/>
              <w:rPr>
                <w:rFonts w:hint="eastAsia" w:ascii="方正仿宋_GBK" w:hAnsi="方正仿宋_GBK" w:eastAsia="方正仿宋_GBK" w:cs="方正仿宋_GBK"/>
                <w:sz w:val="24"/>
                <w:szCs w:val="28"/>
              </w:rPr>
            </w:pPr>
          </w:p>
        </w:tc>
        <w:tc>
          <w:tcPr>
            <w:tcW w:w="2254" w:type="dxa"/>
          </w:tcPr>
          <w:p>
            <w:pPr>
              <w:spacing w:line="500" w:lineRule="exact"/>
              <w:rPr>
                <w:rFonts w:hint="eastAsia" w:ascii="方正仿宋_GBK" w:hAnsi="方正仿宋_GBK" w:eastAsia="方正仿宋_GBK" w:cs="方正仿宋_GBK"/>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 w:type="dxa"/>
          </w:tcPr>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4</w:t>
            </w:r>
          </w:p>
        </w:tc>
        <w:tc>
          <w:tcPr>
            <w:tcW w:w="1577" w:type="dxa"/>
          </w:tcPr>
          <w:p>
            <w:pPr>
              <w:spacing w:line="500" w:lineRule="exact"/>
              <w:rPr>
                <w:rFonts w:hint="eastAsia" w:ascii="方正仿宋_GBK" w:hAnsi="方正仿宋_GBK" w:eastAsia="方正仿宋_GBK" w:cs="方正仿宋_GBK"/>
                <w:sz w:val="24"/>
                <w:szCs w:val="28"/>
              </w:rPr>
            </w:pPr>
          </w:p>
        </w:tc>
        <w:tc>
          <w:tcPr>
            <w:tcW w:w="1947" w:type="dxa"/>
          </w:tcPr>
          <w:p>
            <w:pPr>
              <w:spacing w:line="500" w:lineRule="exact"/>
              <w:rPr>
                <w:rFonts w:hint="eastAsia" w:ascii="方正仿宋_GBK" w:hAnsi="方正仿宋_GBK" w:eastAsia="方正仿宋_GBK" w:cs="方正仿宋_GBK"/>
                <w:sz w:val="24"/>
                <w:szCs w:val="28"/>
              </w:rPr>
            </w:pPr>
          </w:p>
        </w:tc>
        <w:tc>
          <w:tcPr>
            <w:tcW w:w="1434" w:type="dxa"/>
          </w:tcPr>
          <w:p>
            <w:pPr>
              <w:spacing w:line="500" w:lineRule="exact"/>
              <w:rPr>
                <w:rFonts w:hint="eastAsia" w:ascii="方正仿宋_GBK" w:hAnsi="方正仿宋_GBK" w:eastAsia="方正仿宋_GBK" w:cs="方正仿宋_GBK"/>
                <w:sz w:val="24"/>
                <w:szCs w:val="28"/>
              </w:rPr>
            </w:pPr>
          </w:p>
        </w:tc>
        <w:tc>
          <w:tcPr>
            <w:tcW w:w="1422" w:type="dxa"/>
          </w:tcPr>
          <w:p>
            <w:pPr>
              <w:spacing w:line="500" w:lineRule="exact"/>
              <w:rPr>
                <w:rFonts w:hint="eastAsia" w:ascii="方正仿宋_GBK" w:hAnsi="方正仿宋_GBK" w:eastAsia="方正仿宋_GBK" w:cs="方正仿宋_GBK"/>
                <w:sz w:val="24"/>
                <w:szCs w:val="28"/>
              </w:rPr>
            </w:pPr>
          </w:p>
        </w:tc>
        <w:tc>
          <w:tcPr>
            <w:tcW w:w="2254" w:type="dxa"/>
          </w:tcPr>
          <w:p>
            <w:pPr>
              <w:spacing w:line="500" w:lineRule="exact"/>
              <w:rPr>
                <w:rFonts w:hint="eastAsia" w:ascii="方正仿宋_GBK" w:hAnsi="方正仿宋_GBK" w:eastAsia="方正仿宋_GBK" w:cs="方正仿宋_GBK"/>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4" w:type="dxa"/>
          </w:tcPr>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w:t>
            </w:r>
          </w:p>
        </w:tc>
        <w:tc>
          <w:tcPr>
            <w:tcW w:w="1577" w:type="dxa"/>
          </w:tcPr>
          <w:p>
            <w:pPr>
              <w:spacing w:line="500" w:lineRule="exact"/>
              <w:rPr>
                <w:rFonts w:hint="eastAsia" w:ascii="方正仿宋_GBK" w:hAnsi="方正仿宋_GBK" w:eastAsia="方正仿宋_GBK" w:cs="方正仿宋_GBK"/>
                <w:sz w:val="24"/>
                <w:szCs w:val="28"/>
              </w:rPr>
            </w:pPr>
          </w:p>
        </w:tc>
        <w:tc>
          <w:tcPr>
            <w:tcW w:w="1947" w:type="dxa"/>
          </w:tcPr>
          <w:p>
            <w:pPr>
              <w:spacing w:line="500" w:lineRule="exact"/>
              <w:rPr>
                <w:rFonts w:hint="eastAsia" w:ascii="方正仿宋_GBK" w:hAnsi="方正仿宋_GBK" w:eastAsia="方正仿宋_GBK" w:cs="方正仿宋_GBK"/>
                <w:sz w:val="24"/>
                <w:szCs w:val="28"/>
              </w:rPr>
            </w:pPr>
          </w:p>
        </w:tc>
        <w:tc>
          <w:tcPr>
            <w:tcW w:w="1434" w:type="dxa"/>
          </w:tcPr>
          <w:p>
            <w:pPr>
              <w:spacing w:line="500" w:lineRule="exact"/>
              <w:rPr>
                <w:rFonts w:hint="eastAsia" w:ascii="方正仿宋_GBK" w:hAnsi="方正仿宋_GBK" w:eastAsia="方正仿宋_GBK" w:cs="方正仿宋_GBK"/>
                <w:sz w:val="24"/>
                <w:szCs w:val="28"/>
              </w:rPr>
            </w:pPr>
          </w:p>
        </w:tc>
        <w:tc>
          <w:tcPr>
            <w:tcW w:w="1422" w:type="dxa"/>
          </w:tcPr>
          <w:p>
            <w:pPr>
              <w:spacing w:line="500" w:lineRule="exact"/>
              <w:rPr>
                <w:rFonts w:hint="eastAsia" w:ascii="方正仿宋_GBK" w:hAnsi="方正仿宋_GBK" w:eastAsia="方正仿宋_GBK" w:cs="方正仿宋_GBK"/>
                <w:sz w:val="24"/>
                <w:szCs w:val="28"/>
              </w:rPr>
            </w:pPr>
          </w:p>
        </w:tc>
        <w:tc>
          <w:tcPr>
            <w:tcW w:w="2254" w:type="dxa"/>
          </w:tcPr>
          <w:p>
            <w:pPr>
              <w:spacing w:line="500" w:lineRule="exact"/>
              <w:rPr>
                <w:rFonts w:hint="eastAsia" w:ascii="方正仿宋_GBK" w:hAnsi="方正仿宋_GBK" w:eastAsia="方正仿宋_GBK" w:cs="方正仿宋_GBK"/>
                <w:sz w:val="24"/>
                <w:szCs w:val="28"/>
              </w:rPr>
            </w:pPr>
          </w:p>
        </w:tc>
      </w:tr>
    </w:tbl>
    <w:p>
      <w:pPr>
        <w:spacing w:line="500" w:lineRule="exact"/>
        <w:rPr>
          <w:rFonts w:hint="eastAsia" w:ascii="方正仿宋_GBK" w:hAnsi="方正仿宋_GBK" w:eastAsia="方正仿宋_GBK" w:cs="方正仿宋_GBK"/>
          <w:sz w:val="24"/>
          <w:szCs w:val="28"/>
        </w:rPr>
      </w:pPr>
    </w:p>
    <w:p>
      <w:pPr>
        <w:spacing w:line="500" w:lineRule="exact"/>
        <w:rPr>
          <w:rFonts w:hint="eastAsia" w:ascii="方正仿宋_GBK" w:hAnsi="方正仿宋_GBK" w:eastAsia="方正仿宋_GBK" w:cs="方正仿宋_GBK"/>
          <w:sz w:val="24"/>
          <w:szCs w:val="28"/>
        </w:rPr>
      </w:pPr>
    </w:p>
    <w:p>
      <w:pPr>
        <w:spacing w:line="500" w:lineRule="exact"/>
        <w:ind w:firstLine="480" w:firstLineChars="200"/>
        <w:rPr>
          <w:rFonts w:hint="eastAsia" w:ascii="方正仿宋_GBK" w:hAnsi="方正仿宋_GBK" w:eastAsia="方正仿宋_GBK" w:cs="方正仿宋_GBK"/>
          <w:sz w:val="24"/>
          <w:szCs w:val="28"/>
        </w:rPr>
      </w:pPr>
    </w:p>
    <w:p>
      <w:pPr>
        <w:spacing w:line="500" w:lineRule="exact"/>
        <w:ind w:firstLine="600" w:firstLineChars="25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投标人：                           法定代表人或法定代表人授权代表：</w:t>
      </w:r>
    </w:p>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 xml:space="preserve">  （投标人公章）                               （签字或盖章）</w:t>
      </w:r>
    </w:p>
    <w:p>
      <w:pPr>
        <w:spacing w:line="500" w:lineRule="exact"/>
        <w:rPr>
          <w:rFonts w:hint="eastAsia" w:ascii="方正仿宋_GBK" w:hAnsi="方正仿宋_GBK" w:eastAsia="方正仿宋_GBK" w:cs="方正仿宋_GBK"/>
          <w:sz w:val="24"/>
          <w:szCs w:val="28"/>
        </w:rPr>
      </w:pPr>
    </w:p>
    <w:p>
      <w:pPr>
        <w:spacing w:line="500" w:lineRule="exact"/>
        <w:rPr>
          <w:rFonts w:hint="eastAsia" w:ascii="方正仿宋_GBK" w:hAnsi="方正仿宋_GBK" w:eastAsia="方正仿宋_GBK" w:cs="方正仿宋_GBK"/>
          <w:sz w:val="24"/>
          <w:szCs w:val="28"/>
        </w:rPr>
      </w:pPr>
    </w:p>
    <w:p>
      <w:pPr>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 xml:space="preserve">                                            年     月     日</w:t>
      </w:r>
    </w:p>
    <w:p>
      <w:pPr>
        <w:snapToGrid w:val="0"/>
        <w:spacing w:line="500" w:lineRule="exact"/>
        <w:ind w:firstLine="480" w:firstLineChars="200"/>
        <w:rPr>
          <w:rFonts w:hint="eastAsia" w:ascii="方正仿宋_GBK" w:hAnsi="方正仿宋_GBK" w:eastAsia="方正仿宋_GBK" w:cs="方正仿宋_GBK"/>
          <w:sz w:val="24"/>
          <w:szCs w:val="28"/>
        </w:rPr>
      </w:pPr>
    </w:p>
    <w:p>
      <w:pPr>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注：</w:t>
      </w:r>
    </w:p>
    <w:p>
      <w:pPr>
        <w:numPr>
          <w:ilvl w:val="0"/>
          <w:numId w:val="18"/>
        </w:numPr>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请投标人完整填写本表；</w:t>
      </w:r>
    </w:p>
    <w:p>
      <w:pPr>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2.该表可扩展，并逐页签字或盖章。</w:t>
      </w:r>
    </w:p>
    <w:p>
      <w:pPr>
        <w:pStyle w:val="5"/>
        <w:pageBreakBefore/>
        <w:spacing w:line="500" w:lineRule="exact"/>
        <w:rPr>
          <w:rFonts w:hint="eastAsia" w:ascii="方正仿宋_GBK" w:hAnsi="方正仿宋_GBK" w:eastAsia="方正仿宋_GBK" w:cs="方正仿宋_GBK"/>
          <w:b/>
          <w:sz w:val="24"/>
        </w:rPr>
      </w:pPr>
      <w:bookmarkStart w:id="77" w:name="_Toc493506320"/>
      <w:bookmarkStart w:id="78" w:name="_Toc4087"/>
      <w:r>
        <w:rPr>
          <w:rFonts w:hint="eastAsia" w:ascii="方正仿宋_GBK" w:hAnsi="方正仿宋_GBK" w:eastAsia="方正仿宋_GBK" w:cs="方正仿宋_GBK"/>
          <w:b/>
          <w:szCs w:val="28"/>
        </w:rPr>
        <w:t>二、技术文件</w:t>
      </w:r>
      <w:bookmarkEnd w:id="77"/>
      <w:bookmarkEnd w:id="78"/>
    </w:p>
    <w:p>
      <w:pPr>
        <w:snapToGrid w:val="0"/>
        <w:spacing w:line="44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（一）技术方案（可参照本招标文件“第二篇项目技术</w:t>
      </w:r>
      <w:r>
        <w:rPr>
          <w:rFonts w:hint="eastAsia" w:ascii="方正仿宋_GBK" w:hAnsi="方正仿宋_GBK" w:eastAsia="方正仿宋_GBK" w:cs="方正仿宋_GBK"/>
          <w:sz w:val="24"/>
          <w:szCs w:val="24"/>
          <w:lang w:val="zh-CN"/>
        </w:rPr>
        <w:t>规格、数量及质量要求</w:t>
      </w:r>
    </w:p>
    <w:p>
      <w:pPr>
        <w:snapToGrid w:val="0"/>
        <w:spacing w:line="44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”及评标办法各要点编制技术方案。）</w:t>
      </w:r>
    </w:p>
    <w:p>
      <w:pPr>
        <w:tabs>
          <w:tab w:val="left" w:pos="6300"/>
        </w:tabs>
        <w:snapToGrid w:val="0"/>
        <w:spacing w:line="500" w:lineRule="exact"/>
        <w:ind w:firstLine="570"/>
        <w:rPr>
          <w:rFonts w:hint="eastAsia" w:ascii="方正仿宋_GBK" w:hAnsi="方正仿宋_GBK" w:eastAsia="方正仿宋_GBK" w:cs="方正仿宋_GBK"/>
          <w:szCs w:val="24"/>
        </w:rPr>
      </w:pPr>
    </w:p>
    <w:p>
      <w:pPr>
        <w:tabs>
          <w:tab w:val="left" w:pos="6300"/>
        </w:tabs>
        <w:snapToGrid w:val="0"/>
        <w:spacing w:line="500" w:lineRule="exact"/>
        <w:ind w:firstLine="570"/>
        <w:rPr>
          <w:rFonts w:hint="eastAsia" w:ascii="方正仿宋_GBK" w:hAnsi="方正仿宋_GBK" w:eastAsia="方正仿宋_GBK" w:cs="方正仿宋_GBK"/>
          <w:szCs w:val="24"/>
        </w:rPr>
      </w:pPr>
      <w:r>
        <w:rPr>
          <w:rFonts w:hint="eastAsia" w:ascii="方正仿宋_GBK" w:hAnsi="方正仿宋_GBK" w:eastAsia="方正仿宋_GBK" w:cs="方正仿宋_GBK"/>
          <w:szCs w:val="24"/>
        </w:rPr>
        <w:br w:type="page"/>
      </w:r>
      <w:r>
        <w:rPr>
          <w:rFonts w:hint="eastAsia" w:ascii="方正仿宋_GBK" w:hAnsi="方正仿宋_GBK" w:eastAsia="方正仿宋_GBK" w:cs="方正仿宋_GBK"/>
          <w:szCs w:val="24"/>
        </w:rPr>
        <w:t>（二）技术条款差异表</w:t>
      </w:r>
    </w:p>
    <w:p>
      <w:pPr>
        <w:pStyle w:val="34"/>
        <w:tabs>
          <w:tab w:val="left" w:pos="6300"/>
        </w:tabs>
        <w:snapToGrid w:val="0"/>
        <w:spacing w:line="500" w:lineRule="exact"/>
        <w:ind w:firstLine="480" w:firstLineChars="200"/>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szCs w:val="28"/>
        </w:rPr>
        <w:t>招标项目名称</w:t>
      </w:r>
      <w:r>
        <w:rPr>
          <w:rFonts w:hint="eastAsia" w:ascii="方正仿宋_GBK" w:hAnsi="方正仿宋_GBK" w:eastAsia="方正仿宋_GBK" w:cs="方正仿宋_GBK"/>
          <w:sz w:val="24"/>
        </w:rPr>
        <w:t>：</w:t>
      </w:r>
    </w:p>
    <w:tbl>
      <w:tblPr>
        <w:tblStyle w:val="60"/>
        <w:tblW w:w="78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2428"/>
        <w:gridCol w:w="2520"/>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序号</w:t>
            </w: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招标要求</w:t>
            </w: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投标应答</w:t>
            </w: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bl>
    <w:p>
      <w:pPr>
        <w:spacing w:line="500" w:lineRule="exact"/>
        <w:ind w:firstLine="600" w:firstLineChars="25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投标人：                                  法定代表人或法定代表人授权代表：</w:t>
      </w:r>
    </w:p>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 xml:space="preserve">    </w:t>
      </w:r>
    </w:p>
    <w:p>
      <w:pPr>
        <w:spacing w:line="500" w:lineRule="exact"/>
        <w:ind w:firstLine="720" w:firstLineChars="3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（投标人公章）                               （签字或盖章）</w:t>
      </w: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szCs w:val="28"/>
        </w:rPr>
        <w:t xml:space="preserve">                                            年     月     日</w:t>
      </w: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注：</w:t>
      </w:r>
    </w:p>
    <w:p>
      <w:pPr>
        <w:tabs>
          <w:tab w:val="left" w:pos="6300"/>
        </w:tabs>
        <w:snapToGrid w:val="0"/>
        <w:spacing w:line="500" w:lineRule="exact"/>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1.本表即为对本项目“第二篇  项目技术规格、数量及质量要求”中所列技术要求进行比较和响应；</w:t>
      </w:r>
    </w:p>
    <w:p>
      <w:pPr>
        <w:tabs>
          <w:tab w:val="left" w:pos="6300"/>
        </w:tabs>
        <w:snapToGrid w:val="0"/>
        <w:spacing w:line="500" w:lineRule="exact"/>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2.该表必须按照招标文件要求逐条如实填写，根据投标情况在“差异说明”项填写正偏离或负偏离及原因，完全符合的填写“无差异”；</w:t>
      </w:r>
    </w:p>
    <w:p>
      <w:pPr>
        <w:tabs>
          <w:tab w:val="left" w:pos="6300"/>
        </w:tabs>
        <w:snapToGrid w:val="0"/>
        <w:spacing w:line="500" w:lineRule="exact"/>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3.该表可扩展；</w:t>
      </w:r>
    </w:p>
    <w:p>
      <w:pPr>
        <w:tabs>
          <w:tab w:val="left" w:pos="6300"/>
        </w:tabs>
        <w:snapToGrid w:val="0"/>
        <w:spacing w:line="500" w:lineRule="exact"/>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4.可附相关技术支撑材料。（格式自定）</w:t>
      </w:r>
    </w:p>
    <w:p>
      <w:pPr>
        <w:snapToGrid w:val="0"/>
        <w:spacing w:line="500" w:lineRule="exact"/>
        <w:ind w:firstLine="480" w:firstLineChars="200"/>
        <w:rPr>
          <w:rFonts w:hint="eastAsia" w:ascii="方正仿宋_GBK" w:hAnsi="方正仿宋_GBK" w:eastAsia="方正仿宋_GBK" w:cs="方正仿宋_GBK"/>
          <w:sz w:val="24"/>
          <w:szCs w:val="28"/>
        </w:rPr>
      </w:pPr>
    </w:p>
    <w:p>
      <w:pPr>
        <w:pStyle w:val="5"/>
        <w:pageBreakBefore/>
        <w:spacing w:line="500" w:lineRule="exact"/>
        <w:rPr>
          <w:rFonts w:hint="eastAsia" w:ascii="方正仿宋_GBK" w:hAnsi="方正仿宋_GBK" w:eastAsia="方正仿宋_GBK" w:cs="方正仿宋_GBK"/>
          <w:b/>
          <w:szCs w:val="28"/>
        </w:rPr>
      </w:pPr>
      <w:bookmarkStart w:id="79" w:name="_Toc493506321"/>
      <w:bookmarkStart w:id="80" w:name="_Toc16498"/>
      <w:bookmarkStart w:id="81" w:name="_Toc492721039"/>
      <w:r>
        <w:rPr>
          <w:rFonts w:hint="eastAsia" w:ascii="方正仿宋_GBK" w:hAnsi="方正仿宋_GBK" w:eastAsia="方正仿宋_GBK" w:cs="方正仿宋_GBK"/>
          <w:b/>
          <w:szCs w:val="28"/>
        </w:rPr>
        <w:t>三、商务文件</w:t>
      </w:r>
      <w:bookmarkEnd w:id="79"/>
      <w:bookmarkEnd w:id="80"/>
      <w:bookmarkEnd w:id="81"/>
    </w:p>
    <w:p>
      <w:pPr>
        <w:snapToGrid w:val="0"/>
        <w:spacing w:beforeLines="50" w:line="500" w:lineRule="exact"/>
        <w:jc w:val="center"/>
        <w:rPr>
          <w:rFonts w:hint="eastAsia" w:ascii="方正仿宋_GBK" w:hAnsi="方正仿宋_GBK" w:eastAsia="方正仿宋_GBK" w:cs="方正仿宋_GBK"/>
          <w:szCs w:val="28"/>
        </w:rPr>
      </w:pPr>
      <w:r>
        <w:rPr>
          <w:rFonts w:hint="eastAsia" w:ascii="方正仿宋_GBK" w:hAnsi="方正仿宋_GBK" w:eastAsia="方正仿宋_GBK" w:cs="方正仿宋_GBK"/>
          <w:szCs w:val="28"/>
        </w:rPr>
        <w:t>（一）投标函（格式）</w:t>
      </w:r>
    </w:p>
    <w:p>
      <w:pPr>
        <w:spacing w:line="500" w:lineRule="exact"/>
        <w:rPr>
          <w:rFonts w:hint="eastAsia" w:ascii="方正仿宋_GBK" w:hAnsi="方正仿宋_GBK" w:eastAsia="方正仿宋_GBK" w:cs="方正仿宋_GBK"/>
          <w:sz w:val="24"/>
          <w:szCs w:val="28"/>
        </w:rPr>
      </w:pPr>
    </w:p>
    <w:p>
      <w:pPr>
        <w:spacing w:line="500" w:lineRule="exact"/>
        <w:ind w:firstLine="480" w:firstLineChars="200"/>
        <w:rPr>
          <w:rFonts w:hint="eastAsia" w:ascii="方正仿宋_GBK" w:hAnsi="方正仿宋_GBK" w:eastAsia="方正仿宋_GBK" w:cs="方正仿宋_GBK"/>
          <w:sz w:val="24"/>
          <w:szCs w:val="28"/>
          <w:u w:val="single"/>
        </w:rPr>
      </w:pPr>
      <w:r>
        <w:rPr>
          <w:rFonts w:hint="eastAsia" w:ascii="方正仿宋_GBK" w:hAnsi="方正仿宋_GBK" w:eastAsia="方正仿宋_GBK" w:cs="方正仿宋_GBK"/>
          <w:sz w:val="24"/>
          <w:szCs w:val="28"/>
        </w:rPr>
        <w:t>招标项目名称：</w:t>
      </w:r>
      <w:r>
        <w:rPr>
          <w:rFonts w:hint="eastAsia" w:ascii="方正仿宋_GBK" w:hAnsi="方正仿宋_GBK" w:eastAsia="方正仿宋_GBK" w:cs="方正仿宋_GBK"/>
          <w:sz w:val="24"/>
          <w:szCs w:val="28"/>
          <w:u w:val="single"/>
        </w:rPr>
        <w:t xml:space="preserve">                                             </w:t>
      </w:r>
    </w:p>
    <w:p>
      <w:pPr>
        <w:spacing w:line="500" w:lineRule="exact"/>
        <w:rPr>
          <w:rFonts w:hint="eastAsia" w:ascii="方正仿宋_GBK" w:hAnsi="方正仿宋_GBK" w:eastAsia="方正仿宋_GBK" w:cs="方正仿宋_GBK"/>
          <w:sz w:val="24"/>
          <w:szCs w:val="28"/>
        </w:rPr>
      </w:pPr>
    </w:p>
    <w:p>
      <w:pPr>
        <w:tabs>
          <w:tab w:val="left" w:pos="6300"/>
        </w:tabs>
        <w:snapToGrid w:val="0"/>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致：</w:t>
      </w:r>
      <w:r>
        <w:rPr>
          <w:rFonts w:hint="eastAsia" w:ascii="方正仿宋_GBK" w:hAnsi="方正仿宋_GBK" w:eastAsia="方正仿宋_GBK" w:cs="方正仿宋_GBK"/>
          <w:sz w:val="24"/>
          <w:szCs w:val="28"/>
          <w:u w:val="single"/>
        </w:rPr>
        <w:t xml:space="preserve">                    </w:t>
      </w:r>
      <w:r>
        <w:rPr>
          <w:rFonts w:hint="eastAsia" w:ascii="方正仿宋_GBK" w:hAnsi="方正仿宋_GBK" w:eastAsia="方正仿宋_GBK" w:cs="方正仿宋_GBK"/>
          <w:sz w:val="24"/>
          <w:szCs w:val="28"/>
        </w:rPr>
        <w:t>（采购代理机构名称）：</w:t>
      </w:r>
    </w:p>
    <w:p>
      <w:pPr>
        <w:snapToGrid w:val="0"/>
        <w:spacing w:beforeLines="50"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u w:val="single"/>
        </w:rPr>
        <w:t xml:space="preserve">                        </w:t>
      </w:r>
      <w:r>
        <w:rPr>
          <w:rFonts w:hint="eastAsia" w:ascii="方正仿宋_GBK" w:hAnsi="方正仿宋_GBK" w:eastAsia="方正仿宋_GBK" w:cs="方正仿宋_GBK"/>
          <w:sz w:val="24"/>
          <w:szCs w:val="28"/>
        </w:rPr>
        <w:t>（投标人名称）系中华人民共和国合法企业，注册地址：</w:t>
      </w:r>
      <w:r>
        <w:rPr>
          <w:rFonts w:hint="eastAsia" w:ascii="方正仿宋_GBK" w:hAnsi="方正仿宋_GBK" w:eastAsia="方正仿宋_GBK" w:cs="方正仿宋_GBK"/>
          <w:sz w:val="24"/>
          <w:szCs w:val="28"/>
          <w:u w:val="single"/>
        </w:rPr>
        <w:t xml:space="preserve">                               </w:t>
      </w:r>
      <w:r>
        <w:rPr>
          <w:rFonts w:hint="eastAsia" w:ascii="方正仿宋_GBK" w:hAnsi="方正仿宋_GBK" w:eastAsia="方正仿宋_GBK" w:cs="方正仿宋_GBK"/>
          <w:sz w:val="24"/>
          <w:szCs w:val="28"/>
        </w:rPr>
        <w:t>。我方就参加本次投标有关事项郑重声明如下：</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一、我方完全理解并接受该项目招标文件所有要求。</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二、我方提交的所有投标文件、资料都是准确和真实的，如有虚假或隐瞒，我方愿意承担一切法律责任。</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三、我方承诺按照招标文件要求，提供招标项目的技术服务。</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四、我方按招标文件要求提交的投标文件为：投标文件正本1份，副本2份。</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五、我方承诺：本次投标的投标有效期为90天。</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六、我方投标报价为闭口价。即在投标有效期和合同有效期内，该报价固定不变。</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七、如果我方中标，我方将履行招标文件中规定的各项要求以及我方投标文件的各项承诺，按《政府采购法》、《合同法》及合同约定条款承担我方责任。</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八、我方未</w:t>
      </w:r>
      <w:r>
        <w:rPr>
          <w:rFonts w:hint="eastAsia" w:ascii="方正仿宋_GBK" w:hAnsi="方正仿宋_GBK" w:eastAsia="方正仿宋_GBK" w:cs="方正仿宋_GBK"/>
          <w:sz w:val="24"/>
          <w:szCs w:val="24"/>
        </w:rPr>
        <w:t>为采购项目提供整体设计、规范编制或者项目管理、监理、检测等服务。</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九、我方理解，最低报价不是中标的唯一条件。</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十、我方同意按有关规定及招标文件要求，缴纳足额投标保证金。</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十一、若我方中标，愿意按有关规定及招标文件要求缴纳招标代理服务费和交易服务费。</w:t>
      </w:r>
    </w:p>
    <w:p>
      <w:pPr>
        <w:tabs>
          <w:tab w:val="left" w:pos="6300"/>
        </w:tabs>
        <w:snapToGrid w:val="0"/>
        <w:spacing w:line="500" w:lineRule="exact"/>
        <w:ind w:firstLine="570"/>
        <w:rPr>
          <w:rFonts w:hint="eastAsia" w:ascii="方正仿宋_GBK" w:hAnsi="方正仿宋_GBK" w:eastAsia="方正仿宋_GBK" w:cs="方正仿宋_GBK"/>
          <w:sz w:val="24"/>
          <w:szCs w:val="28"/>
        </w:rPr>
      </w:pPr>
    </w:p>
    <w:p>
      <w:pPr>
        <w:tabs>
          <w:tab w:val="left" w:pos="6300"/>
        </w:tabs>
        <w:snapToGrid w:val="0"/>
        <w:spacing w:line="500" w:lineRule="exact"/>
        <w:ind w:firstLine="5460" w:firstLineChars="2275"/>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（投标人公章）</w:t>
      </w:r>
    </w:p>
    <w:p>
      <w:pPr>
        <w:tabs>
          <w:tab w:val="left" w:pos="6300"/>
        </w:tabs>
        <w:snapToGrid w:val="0"/>
        <w:spacing w:line="500" w:lineRule="exact"/>
        <w:ind w:firstLine="570"/>
        <w:rPr>
          <w:rFonts w:hint="eastAsia" w:ascii="方正仿宋_GBK" w:hAnsi="方正仿宋_GBK" w:eastAsia="方正仿宋_GBK" w:cs="方正仿宋_GBK"/>
          <w:sz w:val="24"/>
          <w:szCs w:val="28"/>
        </w:rPr>
      </w:pPr>
    </w:p>
    <w:p>
      <w:pPr>
        <w:tabs>
          <w:tab w:val="left" w:pos="6300"/>
        </w:tabs>
        <w:snapToGrid w:val="0"/>
        <w:spacing w:line="500" w:lineRule="exact"/>
        <w:ind w:firstLine="5760" w:firstLineChars="2400"/>
        <w:rPr>
          <w:rFonts w:hint="eastAsia" w:ascii="方正仿宋_GBK" w:hAnsi="方正仿宋_GBK" w:eastAsia="方正仿宋_GBK" w:cs="方正仿宋_GBK"/>
          <w:szCs w:val="28"/>
        </w:rPr>
      </w:pPr>
      <w:r>
        <w:rPr>
          <w:rFonts w:hint="eastAsia" w:ascii="方正仿宋_GBK" w:hAnsi="方正仿宋_GBK" w:eastAsia="方正仿宋_GBK" w:cs="方正仿宋_GBK"/>
          <w:sz w:val="24"/>
          <w:szCs w:val="28"/>
        </w:rPr>
        <w:t>年    月   日</w:t>
      </w:r>
    </w:p>
    <w:p>
      <w:pPr>
        <w:tabs>
          <w:tab w:val="left" w:pos="6300"/>
        </w:tabs>
        <w:snapToGrid w:val="0"/>
        <w:spacing w:line="500" w:lineRule="exact"/>
        <w:ind w:firstLine="560" w:firstLineChars="200"/>
        <w:outlineLvl w:val="0"/>
        <w:rPr>
          <w:rFonts w:hint="eastAsia" w:ascii="方正仿宋_GBK" w:hAnsi="方正仿宋_GBK" w:eastAsia="方正仿宋_GBK" w:cs="方正仿宋_GBK"/>
        </w:rPr>
      </w:pPr>
      <w:r>
        <w:rPr>
          <w:rFonts w:hint="eastAsia" w:ascii="方正仿宋_GBK" w:hAnsi="方正仿宋_GBK" w:eastAsia="方正仿宋_GBK" w:cs="方正仿宋_GBK"/>
          <w:szCs w:val="44"/>
        </w:rPr>
        <w:br w:type="page"/>
      </w:r>
      <w:r>
        <w:rPr>
          <w:rFonts w:hint="eastAsia" w:ascii="方正仿宋_GBK" w:hAnsi="方正仿宋_GBK" w:eastAsia="方正仿宋_GBK" w:cs="方正仿宋_GBK"/>
        </w:rPr>
        <w:t>（二）商务条款差异表</w:t>
      </w:r>
    </w:p>
    <w:p>
      <w:pPr>
        <w:pStyle w:val="34"/>
        <w:tabs>
          <w:tab w:val="left" w:pos="6300"/>
        </w:tabs>
        <w:snapToGrid w:val="0"/>
        <w:spacing w:line="500" w:lineRule="exact"/>
        <w:ind w:firstLine="480" w:firstLineChars="200"/>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szCs w:val="28"/>
        </w:rPr>
        <w:t>招标项目名称</w:t>
      </w:r>
      <w:r>
        <w:rPr>
          <w:rFonts w:hint="eastAsia" w:ascii="方正仿宋_GBK" w:hAnsi="方正仿宋_GBK" w:eastAsia="方正仿宋_GBK" w:cs="方正仿宋_GBK"/>
          <w:sz w:val="24"/>
        </w:rPr>
        <w:t>：</w:t>
      </w:r>
    </w:p>
    <w:tbl>
      <w:tblPr>
        <w:tblStyle w:val="60"/>
        <w:tblW w:w="78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2428"/>
        <w:gridCol w:w="2520"/>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序号</w:t>
            </w: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招标商务要求</w:t>
            </w: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投标商务应答</w:t>
            </w: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42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2520"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c>
          <w:tcPr>
            <w:tcW w:w="1888" w:type="dxa"/>
            <w:vAlign w:val="center"/>
          </w:tcPr>
          <w:p>
            <w:pPr>
              <w:tabs>
                <w:tab w:val="left" w:pos="6300"/>
              </w:tabs>
              <w:snapToGrid w:val="0"/>
              <w:spacing w:line="500" w:lineRule="exact"/>
              <w:jc w:val="center"/>
              <w:outlineLvl w:val="0"/>
              <w:rPr>
                <w:rFonts w:hint="eastAsia" w:ascii="方正仿宋_GBK" w:hAnsi="方正仿宋_GBK" w:eastAsia="方正仿宋_GBK" w:cs="方正仿宋_GBK"/>
                <w:sz w:val="21"/>
                <w:szCs w:val="21"/>
              </w:rPr>
            </w:pPr>
          </w:p>
        </w:tc>
      </w:tr>
    </w:tbl>
    <w:p>
      <w:pPr>
        <w:spacing w:line="500" w:lineRule="exact"/>
        <w:ind w:firstLine="600" w:firstLineChars="25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投标人：                            法定代表人或法定代表人授权代表：</w:t>
      </w:r>
    </w:p>
    <w:p>
      <w:pPr>
        <w:spacing w:line="500" w:lineRule="exact"/>
        <w:rPr>
          <w:rFonts w:hint="eastAsia" w:ascii="方正仿宋_GBK" w:hAnsi="方正仿宋_GBK" w:eastAsia="方正仿宋_GBK" w:cs="方正仿宋_GBK"/>
          <w:sz w:val="24"/>
          <w:szCs w:val="28"/>
        </w:rPr>
      </w:pPr>
    </w:p>
    <w:p>
      <w:pPr>
        <w:spacing w:line="500" w:lineRule="exact"/>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 xml:space="preserve">    （投标人公章）                               （签字或盖章）</w:t>
      </w: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szCs w:val="28"/>
        </w:rPr>
        <w:t xml:space="preserve">                                            年     月     日</w:t>
      </w: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注：</w:t>
      </w:r>
    </w:p>
    <w:p>
      <w:pPr>
        <w:tabs>
          <w:tab w:val="left" w:pos="6300"/>
        </w:tabs>
        <w:snapToGrid w:val="0"/>
        <w:spacing w:line="500" w:lineRule="exact"/>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1.本表即为对本项目“第三篇 项目商务要求”中所列商务条款进行比较和响应；</w:t>
      </w:r>
    </w:p>
    <w:p>
      <w:pPr>
        <w:tabs>
          <w:tab w:val="left" w:pos="6300"/>
        </w:tabs>
        <w:snapToGrid w:val="0"/>
        <w:spacing w:line="500" w:lineRule="exact"/>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2.该表必须按照招标文件要求逐条如实填写，根据投标情况在“差异说明”项填写正偏离或负偏离及原因，完全符合的填写“无差异”。</w:t>
      </w:r>
    </w:p>
    <w:p>
      <w:pPr>
        <w:tabs>
          <w:tab w:val="left" w:pos="6300"/>
        </w:tabs>
        <w:snapToGrid w:val="0"/>
        <w:spacing w:line="500" w:lineRule="exact"/>
        <w:ind w:firstLine="57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3.该表可扩展。</w:t>
      </w:r>
    </w:p>
    <w:p>
      <w:pPr>
        <w:tabs>
          <w:tab w:val="left" w:pos="6300"/>
        </w:tabs>
        <w:snapToGrid w:val="0"/>
        <w:spacing w:line="500" w:lineRule="exact"/>
        <w:ind w:firstLine="560" w:firstLineChars="200"/>
        <w:outlineLvl w:val="0"/>
        <w:rPr>
          <w:rFonts w:hint="eastAsia" w:ascii="方正仿宋_GBK" w:hAnsi="方正仿宋_GBK" w:eastAsia="方正仿宋_GBK" w:cs="方正仿宋_GBK"/>
        </w:rPr>
      </w:pPr>
      <w:r>
        <w:rPr>
          <w:rFonts w:hint="eastAsia" w:ascii="方正仿宋_GBK" w:hAnsi="方正仿宋_GBK" w:eastAsia="方正仿宋_GBK" w:cs="方正仿宋_GBK"/>
          <w:szCs w:val="28"/>
        </w:rPr>
        <w:br w:type="page"/>
      </w:r>
      <w:r>
        <w:rPr>
          <w:rFonts w:hint="eastAsia" w:ascii="方正仿宋_GBK" w:hAnsi="方正仿宋_GBK" w:eastAsia="方正仿宋_GBK" w:cs="方正仿宋_GBK"/>
        </w:rPr>
        <w:t>（三）商务承诺（包括但不限于）：</w:t>
      </w:r>
    </w:p>
    <w:p>
      <w:pPr>
        <w:tabs>
          <w:tab w:val="left" w:pos="6300"/>
        </w:tabs>
        <w:snapToGrid w:val="0"/>
        <w:spacing w:line="500" w:lineRule="exact"/>
        <w:ind w:firstLine="480" w:firstLineChars="200"/>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w:t>
      </w:r>
    </w:p>
    <w:p>
      <w:pPr>
        <w:tabs>
          <w:tab w:val="left" w:pos="6300"/>
        </w:tabs>
        <w:snapToGrid w:val="0"/>
        <w:spacing w:line="500" w:lineRule="exact"/>
        <w:ind w:firstLine="480" w:firstLineChars="200"/>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w:t>
      </w:r>
    </w:p>
    <w:p>
      <w:pPr>
        <w:tabs>
          <w:tab w:val="left" w:pos="6300"/>
        </w:tabs>
        <w:snapToGrid w:val="0"/>
        <w:spacing w:line="500" w:lineRule="exact"/>
        <w:ind w:firstLine="480" w:firstLineChars="200"/>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3.</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w:t>
      </w:r>
    </w:p>
    <w:p>
      <w:pPr>
        <w:tabs>
          <w:tab w:val="left" w:pos="6300"/>
        </w:tabs>
        <w:snapToGrid w:val="0"/>
        <w:spacing w:line="500" w:lineRule="exact"/>
        <w:ind w:firstLine="480" w:firstLineChars="200"/>
        <w:outlineLvl w:val="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rPr>
        <w:t>4.</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w:t>
      </w:r>
    </w:p>
    <w:p>
      <w:pPr>
        <w:tabs>
          <w:tab w:val="left" w:pos="6300"/>
        </w:tabs>
        <w:snapToGrid w:val="0"/>
        <w:spacing w:line="500" w:lineRule="exact"/>
        <w:ind w:firstLine="480" w:firstLineChars="200"/>
        <w:outlineLvl w:val="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w:t>
      </w: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480" w:firstLineChars="200"/>
        <w:jc w:val="left"/>
        <w:rPr>
          <w:rFonts w:hint="eastAsia" w:ascii="方正仿宋_GBK" w:hAnsi="方正仿宋_GBK" w:eastAsia="方正仿宋_GBK" w:cs="方正仿宋_GBK"/>
          <w:sz w:val="24"/>
          <w:szCs w:val="24"/>
        </w:rPr>
      </w:pPr>
    </w:p>
    <w:p>
      <w:pPr>
        <w:tabs>
          <w:tab w:val="left" w:pos="6300"/>
        </w:tabs>
        <w:snapToGrid w:val="0"/>
        <w:spacing w:line="500" w:lineRule="exact"/>
        <w:ind w:firstLine="560" w:firstLineChars="200"/>
        <w:outlineLvl w:val="0"/>
        <w:rPr>
          <w:rFonts w:hint="eastAsia" w:ascii="方正仿宋_GBK" w:hAnsi="方正仿宋_GBK" w:eastAsia="方正仿宋_GBK" w:cs="方正仿宋_GBK"/>
        </w:rPr>
      </w:pPr>
      <w:bookmarkStart w:id="82" w:name="_Toc429584888"/>
      <w:bookmarkStart w:id="83" w:name="_Toc493506322"/>
      <w:bookmarkStart w:id="84" w:name="_Toc492721041"/>
      <w:r>
        <w:rPr>
          <w:rFonts w:hint="eastAsia" w:ascii="方正仿宋_GBK" w:hAnsi="方正仿宋_GBK" w:eastAsia="方正仿宋_GBK" w:cs="方正仿宋_GBK"/>
        </w:rPr>
        <w:t>（四）</w:t>
      </w:r>
      <w:bookmarkEnd w:id="82"/>
      <w:bookmarkEnd w:id="83"/>
      <w:bookmarkEnd w:id="84"/>
      <w:r>
        <w:rPr>
          <w:rFonts w:hint="eastAsia" w:ascii="方正仿宋_GBK" w:hAnsi="方正仿宋_GBK" w:eastAsia="方正仿宋_GBK" w:cs="方正仿宋_GBK"/>
        </w:rPr>
        <w:t>中小微企业声明函、监狱企业证明文件、残疾人福利性单位声明函</w:t>
      </w:r>
    </w:p>
    <w:p>
      <w:pPr>
        <w:spacing w:line="360" w:lineRule="auto"/>
        <w:rPr>
          <w:rFonts w:hint="eastAsia" w:ascii="方正仿宋_GBK" w:hAnsi="方正仿宋_GBK" w:eastAsia="方正仿宋_GBK" w:cs="方正仿宋_GBK"/>
          <w:szCs w:val="28"/>
        </w:rPr>
      </w:pPr>
      <w:r>
        <w:rPr>
          <w:rFonts w:hint="eastAsia" w:ascii="方正仿宋_GBK" w:hAnsi="方正仿宋_GBK" w:eastAsia="方正仿宋_GBK" w:cs="方正仿宋_GBK"/>
          <w:szCs w:val="22"/>
        </w:rPr>
        <w:t>1、</w:t>
      </w:r>
      <w:r>
        <w:rPr>
          <w:rFonts w:hint="eastAsia" w:ascii="方正仿宋_GBK" w:hAnsi="方正仿宋_GBK" w:eastAsia="方正仿宋_GBK" w:cs="方正仿宋_GBK"/>
          <w:szCs w:val="28"/>
        </w:rPr>
        <w:t>中小微企业声明函</w:t>
      </w:r>
    </w:p>
    <w:p>
      <w:pPr>
        <w:spacing w:line="360" w:lineRule="auto"/>
        <w:ind w:firstLine="3640" w:firstLineChars="1300"/>
        <w:rPr>
          <w:rFonts w:hint="eastAsia" w:ascii="方正仿宋_GBK" w:hAnsi="方正仿宋_GBK" w:eastAsia="方正仿宋_GBK" w:cs="方正仿宋_GBK"/>
          <w:szCs w:val="28"/>
        </w:rPr>
      </w:pPr>
      <w:r>
        <w:rPr>
          <w:rFonts w:hint="eastAsia" w:ascii="方正仿宋_GBK" w:hAnsi="方正仿宋_GBK" w:eastAsia="方正仿宋_GBK" w:cs="方正仿宋_GBK"/>
          <w:szCs w:val="28"/>
        </w:rPr>
        <w:t>中小微企业声明函</w:t>
      </w:r>
    </w:p>
    <w:p>
      <w:pPr>
        <w:spacing w:line="360" w:lineRule="auto"/>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项目名称：                        </w:t>
      </w:r>
    </w:p>
    <w:p>
      <w:pPr>
        <w:spacing w:line="360" w:lineRule="auto"/>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致：</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（采购人名称）：</w:t>
      </w:r>
    </w:p>
    <w:p>
      <w:pPr>
        <w:spacing w:line="360" w:lineRule="auto"/>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本公司郑重声明，根据《政府采购促进中小企业发展暂行办法》（财库〔2011〕181号）的规定。本公司为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（请填写：中型、小型、微型）企业。即，本企业同时满足以下条件：</w:t>
      </w:r>
    </w:p>
    <w:p>
      <w:pPr>
        <w:spacing w:line="360" w:lineRule="auto"/>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1.根据《工业和信息化部、国家统计局、国家发展和改革委员会、财政部关于印发中小企业划型标准规定的通知》（工信部联企业〔2011〕300号）规定的划分标准，本企业为</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行业（行业类别）的</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（请填写：中型、小型、微型）企业。</w:t>
      </w:r>
    </w:p>
    <w:p>
      <w:pPr>
        <w:spacing w:line="360" w:lineRule="auto"/>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2.本公司参加本项目提供本企业制造的货物、承担的工程或者服务，或者提供其它小微企业制造的货物。本项目采购的货物、工程或者服务</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（请填写：“全部由我公司提供”、“部分由我公司提供”、或“全部不是我公司提供”）。本条所称货物不包括使用大中型企业注册商标的货物。</w:t>
      </w:r>
    </w:p>
    <w:p>
      <w:pPr>
        <w:tabs>
          <w:tab w:val="left" w:pos="6300"/>
        </w:tabs>
        <w:snapToGrid w:val="0"/>
        <w:spacing w:line="500" w:lineRule="exact"/>
        <w:ind w:firstLine="480" w:firstLineChars="200"/>
        <w:jc w:val="center"/>
        <w:rPr>
          <w:rFonts w:hint="eastAsia"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企业基本情况表</w:t>
      </w:r>
    </w:p>
    <w:tbl>
      <w:tblPr>
        <w:tblStyle w:val="60"/>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409"/>
        <w:gridCol w:w="1843"/>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2235" w:type="dxa"/>
            <w:vAlign w:val="center"/>
          </w:tcPr>
          <w:p>
            <w:pPr>
              <w:tabs>
                <w:tab w:val="left" w:pos="6300"/>
              </w:tabs>
              <w:snapToGrid w:val="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行业类别</w:t>
            </w:r>
          </w:p>
        </w:tc>
        <w:tc>
          <w:tcPr>
            <w:tcW w:w="2409" w:type="dxa"/>
            <w:vAlign w:val="center"/>
          </w:tcPr>
          <w:p>
            <w:pPr>
              <w:tabs>
                <w:tab w:val="left" w:pos="6300"/>
              </w:tabs>
              <w:snapToGrid w:val="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营业收入（万元）</w:t>
            </w:r>
          </w:p>
        </w:tc>
        <w:tc>
          <w:tcPr>
            <w:tcW w:w="1843" w:type="dxa"/>
            <w:vAlign w:val="center"/>
          </w:tcPr>
          <w:p>
            <w:pPr>
              <w:tabs>
                <w:tab w:val="left" w:pos="6300"/>
              </w:tabs>
              <w:snapToGrid w:val="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从业人员（人）</w:t>
            </w:r>
          </w:p>
        </w:tc>
        <w:tc>
          <w:tcPr>
            <w:tcW w:w="2559" w:type="dxa"/>
            <w:vAlign w:val="center"/>
          </w:tcPr>
          <w:p>
            <w:pPr>
              <w:tabs>
                <w:tab w:val="left" w:pos="6300"/>
              </w:tabs>
              <w:snapToGrid w:val="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资产总额（万元）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trPr>
        <w:tc>
          <w:tcPr>
            <w:tcW w:w="2235" w:type="dxa"/>
            <w:vAlign w:val="center"/>
          </w:tcPr>
          <w:p>
            <w:pPr>
              <w:tabs>
                <w:tab w:val="left" w:pos="6300"/>
              </w:tabs>
              <w:snapToGrid w:val="0"/>
              <w:jc w:val="center"/>
              <w:rPr>
                <w:rFonts w:hint="eastAsia" w:ascii="方正仿宋_GBK" w:hAnsi="方正仿宋_GBK" w:eastAsia="方正仿宋_GBK" w:cs="方正仿宋_GBK"/>
                <w:sz w:val="24"/>
              </w:rPr>
            </w:pPr>
          </w:p>
        </w:tc>
        <w:tc>
          <w:tcPr>
            <w:tcW w:w="2409" w:type="dxa"/>
            <w:vAlign w:val="center"/>
          </w:tcPr>
          <w:p>
            <w:pPr>
              <w:tabs>
                <w:tab w:val="left" w:pos="6300"/>
              </w:tabs>
              <w:snapToGrid w:val="0"/>
              <w:jc w:val="center"/>
              <w:rPr>
                <w:rFonts w:hint="eastAsia" w:ascii="方正仿宋_GBK" w:hAnsi="方正仿宋_GBK" w:eastAsia="方正仿宋_GBK" w:cs="方正仿宋_GBK"/>
                <w:sz w:val="24"/>
              </w:rPr>
            </w:pPr>
          </w:p>
        </w:tc>
        <w:tc>
          <w:tcPr>
            <w:tcW w:w="1843" w:type="dxa"/>
            <w:vAlign w:val="center"/>
          </w:tcPr>
          <w:p>
            <w:pPr>
              <w:tabs>
                <w:tab w:val="left" w:pos="6300"/>
              </w:tabs>
              <w:snapToGrid w:val="0"/>
              <w:jc w:val="center"/>
              <w:rPr>
                <w:rFonts w:hint="eastAsia" w:ascii="方正仿宋_GBK" w:hAnsi="方正仿宋_GBK" w:eastAsia="方正仿宋_GBK" w:cs="方正仿宋_GBK"/>
                <w:sz w:val="24"/>
              </w:rPr>
            </w:pPr>
          </w:p>
        </w:tc>
        <w:tc>
          <w:tcPr>
            <w:tcW w:w="2559" w:type="dxa"/>
            <w:vAlign w:val="center"/>
          </w:tcPr>
          <w:p>
            <w:pPr>
              <w:tabs>
                <w:tab w:val="left" w:pos="6300"/>
              </w:tabs>
              <w:snapToGrid w:val="0"/>
              <w:jc w:val="center"/>
              <w:rPr>
                <w:rFonts w:hint="eastAsia" w:ascii="方正仿宋_GBK" w:hAnsi="方正仿宋_GBK" w:eastAsia="方正仿宋_GBK" w:cs="方正仿宋_GBK"/>
                <w:sz w:val="24"/>
              </w:rPr>
            </w:pPr>
          </w:p>
        </w:tc>
      </w:tr>
    </w:tbl>
    <w:p>
      <w:pPr>
        <w:spacing w:line="360" w:lineRule="auto"/>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ab/>
      </w:r>
      <w:r>
        <w:rPr>
          <w:rFonts w:hint="eastAsia" w:ascii="方正仿宋_GBK" w:hAnsi="方正仿宋_GBK" w:eastAsia="方正仿宋_GBK" w:cs="方正仿宋_GBK"/>
          <w:sz w:val="24"/>
        </w:rPr>
        <w:tab/>
      </w:r>
      <w:r>
        <w:rPr>
          <w:rFonts w:hint="eastAsia" w:ascii="方正仿宋_GBK" w:hAnsi="方正仿宋_GBK" w:eastAsia="方正仿宋_GBK" w:cs="方正仿宋_GBK"/>
          <w:sz w:val="24"/>
        </w:rPr>
        <w:t>本公司对上述声明的真实性负责。如有虚假，将依法承担相应责任。</w:t>
      </w:r>
    </w:p>
    <w:p>
      <w:pPr>
        <w:spacing w:line="360" w:lineRule="auto"/>
        <w:ind w:firstLine="5760" w:firstLineChars="24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投标人名称（公章）：</w:t>
      </w:r>
    </w:p>
    <w:p>
      <w:pPr>
        <w:spacing w:line="360" w:lineRule="auto"/>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年  月  日</w:t>
      </w:r>
    </w:p>
    <w:p>
      <w:pPr>
        <w:spacing w:line="360" w:lineRule="auto"/>
        <w:ind w:firstLine="360" w:firstLineChars="200"/>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填写《企业基本情况表》时，应注意以下事项：</w:t>
      </w:r>
    </w:p>
    <w:p>
      <w:pPr>
        <w:spacing w:line="360" w:lineRule="auto"/>
        <w:ind w:firstLine="360" w:firstLineChars="200"/>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1.除建筑业、房地产开发经营、租赁和商务服务业等三个行业外，其余行业无需填写资产总额项；</w:t>
      </w:r>
    </w:p>
    <w:p>
      <w:pPr>
        <w:spacing w:line="360" w:lineRule="auto"/>
        <w:ind w:firstLine="360" w:firstLineChars="200"/>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2.农、林、牧、渔业无需填写从业人员和资产总额项。</w:t>
      </w:r>
    </w:p>
    <w:p>
      <w:pPr>
        <w:spacing w:line="360" w:lineRule="auto"/>
        <w:ind w:firstLine="360" w:firstLineChars="200"/>
        <w:rPr>
          <w:rFonts w:hint="eastAsia" w:ascii="方正仿宋_GBK" w:hAnsi="方正仿宋_GBK" w:eastAsia="方正仿宋_GBK" w:cs="方正仿宋_GBK"/>
          <w:sz w:val="18"/>
          <w:szCs w:val="18"/>
        </w:rPr>
      </w:pPr>
      <w:r>
        <w:rPr>
          <w:rFonts w:hint="eastAsia" w:ascii="方正仿宋_GBK" w:hAnsi="方正仿宋_GBK" w:eastAsia="方正仿宋_GBK" w:cs="方正仿宋_GBK"/>
          <w:sz w:val="18"/>
          <w:szCs w:val="18"/>
        </w:rPr>
        <w:t>3.投标人填写本函第2条若是填写“部分由我公司制造”或“全部不是我公司制造”的，还需提供所涉及的其它企业的《中小微企业声明函》，否是视为投标人提供非小微企业的货物、工程或服务。所涉及的其它企业填写《中小微企业声明函》时可不填写第2条。</w:t>
      </w:r>
    </w:p>
    <w:p>
      <w:pPr>
        <w:tabs>
          <w:tab w:val="left" w:pos="6300"/>
        </w:tabs>
        <w:snapToGrid w:val="0"/>
        <w:spacing w:line="500" w:lineRule="exact"/>
        <w:outlineLvl w:val="0"/>
        <w:rPr>
          <w:rFonts w:hint="eastAsia" w:ascii="方正仿宋_GBK" w:hAnsi="方正仿宋_GBK" w:eastAsia="方正仿宋_GBK" w:cs="方正仿宋_GBK"/>
        </w:rPr>
      </w:pPr>
    </w:p>
    <w:p>
      <w:pPr>
        <w:tabs>
          <w:tab w:val="left" w:pos="6300"/>
        </w:tabs>
        <w:snapToGrid w:val="0"/>
        <w:spacing w:line="500" w:lineRule="exact"/>
        <w:outlineLvl w:val="0"/>
        <w:rPr>
          <w:rFonts w:hint="eastAsia" w:ascii="方正仿宋_GBK" w:hAnsi="方正仿宋_GBK" w:eastAsia="方正仿宋_GBK" w:cs="方正仿宋_GBK"/>
        </w:rPr>
      </w:pPr>
      <w:r>
        <w:rPr>
          <w:rFonts w:hint="eastAsia" w:ascii="方正仿宋_GBK" w:hAnsi="方正仿宋_GBK" w:eastAsia="方正仿宋_GBK" w:cs="方正仿宋_GBK"/>
        </w:rPr>
        <w:t>2、</w:t>
      </w:r>
      <w:r>
        <w:rPr>
          <w:rFonts w:hint="eastAsia" w:ascii="方正仿宋_GBK" w:hAnsi="方正仿宋_GBK" w:eastAsia="方正仿宋_GBK" w:cs="方正仿宋_GBK"/>
          <w:color w:val="000000"/>
          <w:sz w:val="29"/>
          <w:szCs w:val="29"/>
        </w:rPr>
        <w:t>监狱企业证明文件</w:t>
      </w:r>
    </w:p>
    <w:p>
      <w:pPr>
        <w:tabs>
          <w:tab w:val="left" w:pos="6300"/>
        </w:tabs>
        <w:snapToGrid w:val="0"/>
        <w:spacing w:line="500" w:lineRule="exact"/>
        <w:ind w:firstLine="580" w:firstLineChars="200"/>
        <w:outlineLvl w:val="0"/>
        <w:rPr>
          <w:rFonts w:hint="eastAsia" w:ascii="方正仿宋_GBK" w:hAnsi="方正仿宋_GBK" w:eastAsia="方正仿宋_GBK" w:cs="方正仿宋_GBK"/>
        </w:rPr>
      </w:pPr>
      <w:r>
        <w:rPr>
          <w:rFonts w:hint="eastAsia" w:ascii="方正仿宋_GBK" w:hAnsi="方正仿宋_GBK" w:eastAsia="方正仿宋_GBK" w:cs="方正仿宋_GBK"/>
          <w:color w:val="000000"/>
          <w:sz w:val="29"/>
          <w:szCs w:val="29"/>
        </w:rPr>
        <w:t>以省级以上监狱管理局、戒毒管理局（含新疆生产建设兵团）出具的属于监狱企业的证明文件为准。</w:t>
      </w:r>
      <w:r>
        <w:rPr>
          <w:rFonts w:hint="eastAsia" w:ascii="方正仿宋_GBK" w:hAnsi="方正仿宋_GBK" w:eastAsia="方正仿宋_GBK" w:cs="方正仿宋_GBK"/>
        </w:rPr>
        <w:br w:type="page"/>
      </w:r>
      <w:r>
        <w:rPr>
          <w:rFonts w:hint="eastAsia" w:ascii="方正仿宋_GBK" w:hAnsi="方正仿宋_GBK" w:eastAsia="方正仿宋_GBK" w:cs="方正仿宋_GBK"/>
        </w:rPr>
        <w:t>3、残疾人福利性单位声明函</w:t>
      </w:r>
    </w:p>
    <w:p>
      <w:pPr>
        <w:tabs>
          <w:tab w:val="left" w:pos="6300"/>
        </w:tabs>
        <w:snapToGrid w:val="0"/>
        <w:spacing w:line="500" w:lineRule="exact"/>
        <w:ind w:firstLine="560" w:firstLineChars="200"/>
        <w:jc w:val="center"/>
        <w:outlineLvl w:val="0"/>
        <w:rPr>
          <w:rFonts w:hint="eastAsia" w:ascii="方正仿宋_GBK" w:hAnsi="方正仿宋_GBK" w:eastAsia="方正仿宋_GBK" w:cs="方正仿宋_GBK"/>
        </w:rPr>
      </w:pPr>
      <w:r>
        <w:rPr>
          <w:rFonts w:hint="eastAsia" w:ascii="方正仿宋_GBK" w:hAnsi="方正仿宋_GBK" w:eastAsia="方正仿宋_GBK" w:cs="方正仿宋_GBK"/>
        </w:rPr>
        <w:t>残疾人福利性单位声明函</w:t>
      </w:r>
    </w:p>
    <w:p>
      <w:pPr>
        <w:tabs>
          <w:tab w:val="left" w:pos="6300"/>
        </w:tabs>
        <w:snapToGrid w:val="0"/>
        <w:spacing w:line="5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方正仿宋_GBK" w:eastAsia="方正仿宋_GBK" w:cs="方正仿宋_GBK"/>
          <w:sz w:val="24"/>
        </w:rPr>
      </w:pPr>
    </w:p>
    <w:p>
      <w:pPr>
        <w:tabs>
          <w:tab w:val="left" w:pos="6300"/>
        </w:tabs>
        <w:snapToGrid w:val="0"/>
        <w:spacing w:line="500" w:lineRule="exact"/>
        <w:ind w:firstLine="480" w:firstLineChars="200"/>
        <w:rPr>
          <w:rFonts w:hint="eastAsia" w:ascii="方正仿宋_GBK" w:hAnsi="方正仿宋_GBK" w:eastAsia="方正仿宋_GBK" w:cs="方正仿宋_GBK"/>
          <w:sz w:val="24"/>
        </w:rPr>
      </w:pPr>
    </w:p>
    <w:p>
      <w:pPr>
        <w:tabs>
          <w:tab w:val="left" w:pos="6300"/>
        </w:tabs>
        <w:snapToGrid w:val="0"/>
        <w:spacing w:line="5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投标人名称（盖章）：</w:t>
      </w:r>
    </w:p>
    <w:p>
      <w:pPr>
        <w:tabs>
          <w:tab w:val="left" w:pos="6300"/>
        </w:tabs>
        <w:snapToGrid w:val="0"/>
        <w:spacing w:line="500" w:lineRule="exact"/>
        <w:ind w:firstLine="570"/>
        <w:jc w:val="left"/>
        <w:rPr>
          <w:rFonts w:hint="eastAsia" w:ascii="方正仿宋_GBK" w:hAnsi="方正仿宋_GBK" w:eastAsia="方正仿宋_GBK" w:cs="方正仿宋_GBK"/>
        </w:rPr>
      </w:pPr>
      <w:r>
        <w:rPr>
          <w:rFonts w:hint="eastAsia" w:ascii="方正仿宋_GBK" w:hAnsi="方正仿宋_GBK" w:eastAsia="方正仿宋_GBK" w:cs="方正仿宋_GBK"/>
          <w:sz w:val="24"/>
        </w:rPr>
        <w:t xml:space="preserve">                                                  日  期：</w:t>
      </w:r>
    </w:p>
    <w:p>
      <w:pPr>
        <w:tabs>
          <w:tab w:val="left" w:pos="6300"/>
        </w:tabs>
        <w:snapToGrid w:val="0"/>
        <w:spacing w:line="500" w:lineRule="exact"/>
        <w:ind w:firstLine="570"/>
        <w:jc w:val="left"/>
        <w:rPr>
          <w:rFonts w:hint="eastAsia" w:ascii="方正仿宋_GBK" w:hAnsi="方正仿宋_GBK" w:eastAsia="方正仿宋_GBK" w:cs="方正仿宋_GBK"/>
        </w:rPr>
      </w:pPr>
      <w:r>
        <w:rPr>
          <w:rFonts w:hint="eastAsia" w:ascii="方正仿宋_GBK" w:hAnsi="方正仿宋_GBK" w:eastAsia="方正仿宋_GBK" w:cs="方正仿宋_GBK"/>
        </w:rPr>
        <w:br w:type="page"/>
      </w:r>
      <w:r>
        <w:rPr>
          <w:rFonts w:hint="eastAsia" w:ascii="方正仿宋_GBK" w:hAnsi="方正仿宋_GBK" w:eastAsia="方正仿宋_GBK" w:cs="方正仿宋_GBK"/>
        </w:rPr>
        <w:t>（五）其他与项目有关的资料（自附）</w:t>
      </w:r>
    </w:p>
    <w:p>
      <w:pPr>
        <w:pStyle w:val="5"/>
        <w:pageBreakBefore/>
        <w:spacing w:line="500" w:lineRule="exact"/>
        <w:rPr>
          <w:rFonts w:hint="eastAsia" w:ascii="方正仿宋_GBK" w:hAnsi="方正仿宋_GBK" w:eastAsia="方正仿宋_GBK" w:cs="方正仿宋_GBK"/>
          <w:b/>
          <w:szCs w:val="28"/>
        </w:rPr>
      </w:pPr>
      <w:bookmarkStart w:id="85" w:name="_Toc493506323"/>
      <w:bookmarkStart w:id="86" w:name="_Toc492721038"/>
      <w:r>
        <w:rPr>
          <w:rFonts w:hint="eastAsia" w:ascii="方正仿宋_GBK" w:hAnsi="方正仿宋_GBK" w:eastAsia="方正仿宋_GBK" w:cs="方正仿宋_GBK"/>
          <w:b/>
          <w:szCs w:val="28"/>
        </w:rPr>
        <w:t>四、资格文件</w:t>
      </w:r>
      <w:bookmarkEnd w:id="85"/>
      <w:bookmarkEnd w:id="86"/>
    </w:p>
    <w:p>
      <w:pPr>
        <w:tabs>
          <w:tab w:val="left" w:pos="6300"/>
        </w:tabs>
        <w:snapToGrid w:val="0"/>
        <w:spacing w:line="500" w:lineRule="exact"/>
        <w:ind w:firstLine="570"/>
        <w:rPr>
          <w:rFonts w:hint="eastAsia" w:ascii="方正仿宋_GBK" w:hAnsi="方正仿宋_GBK" w:eastAsia="方正仿宋_GBK" w:cs="方正仿宋_GBK"/>
        </w:rPr>
      </w:pPr>
      <w:r>
        <w:rPr>
          <w:rFonts w:hint="eastAsia" w:ascii="方正仿宋_GBK" w:hAnsi="方正仿宋_GBK" w:eastAsia="方正仿宋_GBK" w:cs="方正仿宋_GBK"/>
        </w:rPr>
        <w:t>（一）营业执照（副本）</w:t>
      </w:r>
      <w:r>
        <w:rPr>
          <w:rFonts w:hint="eastAsia" w:ascii="方正仿宋_GBK" w:hAnsi="方正仿宋_GBK" w:eastAsia="方正仿宋_GBK" w:cs="方正仿宋_GBK"/>
          <w:szCs w:val="28"/>
        </w:rPr>
        <w:t>或事业单位法人证书（副本）</w:t>
      </w:r>
      <w:r>
        <w:rPr>
          <w:rFonts w:hint="eastAsia" w:ascii="方正仿宋_GBK" w:hAnsi="方正仿宋_GBK" w:eastAsia="方正仿宋_GBK" w:cs="方正仿宋_GBK"/>
        </w:rPr>
        <w:t>复印件</w:t>
      </w:r>
    </w:p>
    <w:p>
      <w:pPr>
        <w:tabs>
          <w:tab w:val="left" w:pos="6300"/>
        </w:tabs>
        <w:snapToGrid w:val="0"/>
        <w:spacing w:line="500" w:lineRule="exact"/>
        <w:ind w:firstLine="570"/>
        <w:rPr>
          <w:rFonts w:hint="eastAsia" w:ascii="方正仿宋_GBK" w:hAnsi="方正仿宋_GBK" w:eastAsia="方正仿宋_GBK" w:cs="方正仿宋_GBK"/>
        </w:rPr>
      </w:pPr>
    </w:p>
    <w:p>
      <w:pPr>
        <w:tabs>
          <w:tab w:val="left" w:pos="6300"/>
        </w:tabs>
        <w:snapToGrid w:val="0"/>
        <w:spacing w:line="500" w:lineRule="exact"/>
        <w:ind w:firstLine="570"/>
        <w:rPr>
          <w:rFonts w:hint="eastAsia" w:ascii="方正仿宋_GBK" w:hAnsi="方正仿宋_GBK" w:eastAsia="方正仿宋_GBK" w:cs="方正仿宋_GBK"/>
        </w:rPr>
      </w:pPr>
    </w:p>
    <w:p>
      <w:pPr>
        <w:tabs>
          <w:tab w:val="left" w:pos="6300"/>
        </w:tabs>
        <w:snapToGrid w:val="0"/>
        <w:spacing w:line="500" w:lineRule="exact"/>
        <w:ind w:firstLine="570"/>
        <w:rPr>
          <w:rFonts w:hint="eastAsia" w:ascii="方正仿宋_GBK" w:hAnsi="方正仿宋_GBK" w:eastAsia="方正仿宋_GBK" w:cs="方正仿宋_GBK"/>
        </w:rPr>
      </w:pPr>
    </w:p>
    <w:p>
      <w:pPr>
        <w:tabs>
          <w:tab w:val="left" w:pos="6300"/>
        </w:tabs>
        <w:snapToGrid w:val="0"/>
        <w:spacing w:line="500" w:lineRule="exact"/>
        <w:ind w:firstLine="570"/>
        <w:rPr>
          <w:rFonts w:hint="eastAsia" w:ascii="方正仿宋_GBK" w:hAnsi="方正仿宋_GBK" w:eastAsia="方正仿宋_GBK" w:cs="方正仿宋_GBK"/>
        </w:rPr>
      </w:pPr>
    </w:p>
    <w:p>
      <w:pPr>
        <w:tabs>
          <w:tab w:val="left" w:pos="6300"/>
        </w:tabs>
        <w:snapToGrid w:val="0"/>
        <w:spacing w:line="500" w:lineRule="exact"/>
        <w:ind w:firstLine="570"/>
        <w:rPr>
          <w:rFonts w:hint="eastAsia" w:ascii="宋体" w:hAnsi="宋体" w:cs="宋体"/>
        </w:rPr>
      </w:pPr>
      <w:r>
        <w:rPr>
          <w:rFonts w:hint="eastAsia" w:ascii="方正仿宋_GBK" w:hAnsi="方正仿宋_GBK" w:eastAsia="方正仿宋_GBK" w:cs="方正仿宋_GBK"/>
        </w:rPr>
        <w:br w:type="page"/>
      </w:r>
    </w:p>
    <w:p>
      <w:pPr>
        <w:widowControl/>
        <w:ind w:firstLine="560" w:firstLineChars="200"/>
        <w:jc w:val="left"/>
        <w:rPr>
          <w:rFonts w:hint="eastAsia" w:ascii="方正仿宋_GBK" w:hAnsi="方正仿宋_GBK" w:eastAsia="方正仿宋_GBK" w:cs="方正仿宋_GBK"/>
        </w:rPr>
      </w:pPr>
      <w:r>
        <w:rPr>
          <w:rFonts w:hint="eastAsia" w:ascii="方正仿宋_GBK" w:hAnsi="方正仿宋_GBK" w:eastAsia="方正仿宋_GBK" w:cs="方正仿宋_GBK"/>
        </w:rPr>
        <w:t>（二）法定代表人身份证明书（格式）</w:t>
      </w: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招标项目名称：</w:t>
      </w:r>
      <w:r>
        <w:rPr>
          <w:rFonts w:hint="eastAsia" w:ascii="方正仿宋_GBK" w:hAnsi="方正仿宋_GBK" w:eastAsia="方正仿宋_GBK" w:cs="方正仿宋_GBK"/>
          <w:sz w:val="24"/>
          <w:u w:val="single"/>
        </w:rPr>
        <w:t xml:space="preserve">                                                </w:t>
      </w: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致：</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（采购代理机构名称）：</w:t>
      </w: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（法定代表人姓名）在</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（投标人名称）任</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（职务名称）职务，是（投标人名称）</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的法定代表人。</w:t>
      </w: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特此证明。</w:t>
      </w: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（投标人公章）</w:t>
      </w: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年   月   日</w:t>
      </w:r>
    </w:p>
    <w:p>
      <w:pPr>
        <w:tabs>
          <w:tab w:val="left" w:pos="6300"/>
        </w:tabs>
        <w:snapToGrid w:val="0"/>
        <w:spacing w:line="500" w:lineRule="exact"/>
        <w:ind w:firstLine="570"/>
        <w:rPr>
          <w:rFonts w:hint="eastAsia" w:ascii="宋体" w:hAnsi="宋体" w:cs="宋体"/>
          <w:sz w:val="24"/>
        </w:rPr>
      </w:pP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（附：法定代表人身份证正反面复印件）</w:t>
      </w:r>
    </w:p>
    <w:p>
      <w:pPr>
        <w:tabs>
          <w:tab w:val="left" w:pos="6300"/>
        </w:tabs>
        <w:snapToGrid w:val="0"/>
        <w:spacing w:line="500" w:lineRule="exact"/>
        <w:ind w:firstLine="570"/>
        <w:rPr>
          <w:rFonts w:hint="eastAsia" w:ascii="宋体" w:hAnsi="宋体" w:cs="宋体"/>
          <w:sz w:val="24"/>
        </w:rPr>
      </w:pPr>
    </w:p>
    <w:p>
      <w:pPr>
        <w:tabs>
          <w:tab w:val="left" w:pos="6300"/>
        </w:tabs>
        <w:snapToGrid w:val="0"/>
        <w:spacing w:line="500" w:lineRule="exact"/>
        <w:ind w:firstLine="570"/>
        <w:rPr>
          <w:rFonts w:hint="eastAsia" w:ascii="宋体" w:hAnsi="宋体" w:cs="宋体"/>
          <w:sz w:val="24"/>
        </w:rPr>
      </w:pPr>
    </w:p>
    <w:p>
      <w:pPr>
        <w:tabs>
          <w:tab w:val="left" w:pos="6300"/>
        </w:tabs>
        <w:snapToGrid w:val="0"/>
        <w:spacing w:line="500" w:lineRule="exact"/>
        <w:ind w:firstLine="570"/>
        <w:rPr>
          <w:rFonts w:hint="eastAsia" w:ascii="宋体" w:hAnsi="宋体" w:cs="宋体"/>
          <w:sz w:val="24"/>
        </w:rPr>
      </w:pPr>
    </w:p>
    <w:p>
      <w:pPr>
        <w:tabs>
          <w:tab w:val="left" w:pos="6300"/>
        </w:tabs>
        <w:snapToGrid w:val="0"/>
        <w:spacing w:line="500" w:lineRule="exact"/>
        <w:ind w:firstLine="570"/>
        <w:rPr>
          <w:rFonts w:hint="eastAsia" w:ascii="宋体" w:hAnsi="宋体" w:cs="宋体"/>
          <w:sz w:val="24"/>
        </w:rPr>
      </w:pPr>
    </w:p>
    <w:p>
      <w:pPr>
        <w:tabs>
          <w:tab w:val="left" w:pos="6300"/>
        </w:tabs>
        <w:snapToGrid w:val="0"/>
        <w:spacing w:line="500" w:lineRule="exact"/>
        <w:ind w:firstLine="570"/>
        <w:rPr>
          <w:rFonts w:hint="eastAsia" w:ascii="宋体" w:hAnsi="宋体" w:cs="宋体"/>
          <w:sz w:val="24"/>
        </w:rPr>
      </w:pPr>
    </w:p>
    <w:p>
      <w:pPr>
        <w:tabs>
          <w:tab w:val="left" w:pos="6300"/>
        </w:tabs>
        <w:snapToGrid w:val="0"/>
        <w:spacing w:line="500" w:lineRule="exact"/>
        <w:ind w:firstLine="570"/>
        <w:rPr>
          <w:rFonts w:hint="eastAsia" w:ascii="宋体" w:hAnsi="宋体" w:cs="宋体"/>
          <w:sz w:val="24"/>
        </w:rPr>
      </w:pPr>
    </w:p>
    <w:p>
      <w:pPr>
        <w:tabs>
          <w:tab w:val="left" w:pos="6300"/>
        </w:tabs>
        <w:snapToGrid w:val="0"/>
        <w:spacing w:line="500" w:lineRule="exact"/>
        <w:rPr>
          <w:rFonts w:hint="eastAsia" w:ascii="方正仿宋_GBK" w:hAnsi="方正仿宋_GBK" w:eastAsia="方正仿宋_GBK" w:cs="方正仿宋_GBK"/>
        </w:rPr>
      </w:pPr>
    </w:p>
    <w:p>
      <w:pPr>
        <w:tabs>
          <w:tab w:val="left" w:pos="6300"/>
        </w:tabs>
        <w:snapToGrid w:val="0"/>
        <w:spacing w:line="500" w:lineRule="exact"/>
        <w:rPr>
          <w:rFonts w:hint="eastAsia" w:ascii="方正仿宋_GBK" w:hAnsi="方正仿宋_GBK" w:eastAsia="方正仿宋_GBK" w:cs="方正仿宋_GBK"/>
        </w:rPr>
      </w:pPr>
    </w:p>
    <w:p>
      <w:pPr>
        <w:tabs>
          <w:tab w:val="left" w:pos="6300"/>
        </w:tabs>
        <w:snapToGrid w:val="0"/>
        <w:spacing w:line="500" w:lineRule="exact"/>
        <w:rPr>
          <w:rFonts w:hint="eastAsia" w:ascii="方正仿宋_GBK" w:hAnsi="方正仿宋_GBK" w:eastAsia="方正仿宋_GBK" w:cs="方正仿宋_GBK"/>
        </w:rPr>
      </w:pPr>
    </w:p>
    <w:p>
      <w:pPr>
        <w:tabs>
          <w:tab w:val="left" w:pos="6300"/>
        </w:tabs>
        <w:snapToGrid w:val="0"/>
        <w:spacing w:line="500" w:lineRule="exact"/>
        <w:rPr>
          <w:rFonts w:hint="eastAsia" w:ascii="方正仿宋_GBK" w:hAnsi="方正仿宋_GBK" w:eastAsia="方正仿宋_GBK" w:cs="方正仿宋_GBK"/>
        </w:rPr>
      </w:pPr>
    </w:p>
    <w:p>
      <w:pPr>
        <w:tabs>
          <w:tab w:val="left" w:pos="6300"/>
        </w:tabs>
        <w:snapToGrid w:val="0"/>
        <w:spacing w:line="500" w:lineRule="exact"/>
        <w:ind w:firstLine="560" w:firstLineChars="200"/>
        <w:rPr>
          <w:rFonts w:hint="eastAsia" w:ascii="方正仿宋_GBK" w:hAnsi="方正仿宋_GBK" w:eastAsia="方正仿宋_GBK" w:cs="方正仿宋_GBK"/>
        </w:rPr>
      </w:pPr>
      <w:r>
        <w:rPr>
          <w:rFonts w:hint="eastAsia" w:ascii="方正仿宋_GBK" w:hAnsi="方正仿宋_GBK" w:eastAsia="方正仿宋_GBK" w:cs="方正仿宋_GBK"/>
        </w:rPr>
        <w:t>（三）法定代表人授权委托书（格式）</w:t>
      </w: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w:t>
      </w:r>
    </w:p>
    <w:p>
      <w:pPr>
        <w:tabs>
          <w:tab w:val="left" w:pos="6300"/>
        </w:tabs>
        <w:snapToGrid w:val="0"/>
        <w:spacing w:line="5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szCs w:val="28"/>
        </w:rPr>
        <w:t>招标项目名称</w:t>
      </w:r>
      <w:r>
        <w:rPr>
          <w:rFonts w:hint="eastAsia" w:ascii="方正仿宋_GBK" w:hAnsi="方正仿宋_GBK" w:eastAsia="方正仿宋_GBK" w:cs="方正仿宋_GBK"/>
          <w:sz w:val="24"/>
        </w:rPr>
        <w:t>：</w:t>
      </w:r>
      <w:r>
        <w:rPr>
          <w:rFonts w:hint="eastAsia" w:ascii="方正仿宋_GBK" w:hAnsi="方正仿宋_GBK" w:eastAsia="方正仿宋_GBK" w:cs="方正仿宋_GBK"/>
          <w:sz w:val="24"/>
          <w:u w:val="single"/>
        </w:rPr>
        <w:t xml:space="preserve">                                                </w:t>
      </w: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致：</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（采购代理机构名称）：</w:t>
      </w:r>
    </w:p>
    <w:p>
      <w:pPr>
        <w:tabs>
          <w:tab w:val="left" w:pos="6300"/>
        </w:tabs>
        <w:snapToGrid w:val="0"/>
        <w:spacing w:line="5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（投标人法定代表人名称）是</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（投标人名称）的法定代表人，特授权</w:t>
      </w:r>
      <w:r>
        <w:rPr>
          <w:rFonts w:hint="eastAsia" w:ascii="方正仿宋_GBK" w:hAnsi="方正仿宋_GBK" w:eastAsia="方正仿宋_GBK" w:cs="方正仿宋_GBK"/>
          <w:sz w:val="24"/>
          <w:u w:val="single"/>
        </w:rPr>
        <w:t xml:space="preserve">          </w:t>
      </w:r>
      <w:r>
        <w:rPr>
          <w:rFonts w:hint="eastAsia" w:ascii="方正仿宋_GBK" w:hAnsi="方正仿宋_GBK" w:eastAsia="方正仿宋_GBK" w:cs="方正仿宋_GBK"/>
          <w:sz w:val="24"/>
        </w:rPr>
        <w:t>（被授权人姓名及身份证代码）代表我单位全权办理上述项目的投标、谈判、签约等具体工作，并签署全部有关文件、协议及合同。</w:t>
      </w:r>
    </w:p>
    <w:p>
      <w:pPr>
        <w:tabs>
          <w:tab w:val="left" w:pos="6300"/>
        </w:tabs>
        <w:snapToGrid w:val="0"/>
        <w:spacing w:line="5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我单位对被授权人的签字负全部责任。</w:t>
      </w:r>
    </w:p>
    <w:p>
      <w:pPr>
        <w:tabs>
          <w:tab w:val="left" w:pos="6300"/>
        </w:tabs>
        <w:snapToGrid w:val="0"/>
        <w:spacing w:line="500" w:lineRule="exact"/>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被授权人：                                 投标人法定代表人：</w:t>
      </w:r>
    </w:p>
    <w:p>
      <w:pPr>
        <w:tabs>
          <w:tab w:val="left" w:pos="6300"/>
        </w:tabs>
        <w:snapToGrid w:val="0"/>
        <w:spacing w:line="500" w:lineRule="exact"/>
        <w:ind w:firstLine="570"/>
        <w:rPr>
          <w:rFonts w:hint="eastAsia" w:ascii="方正仿宋_GBK" w:hAnsi="方正仿宋_GBK" w:eastAsia="方正仿宋_GBK" w:cs="方正仿宋_GBK"/>
          <w:sz w:val="24"/>
          <w:szCs w:val="28"/>
        </w:rPr>
      </w:pPr>
      <w:r>
        <w:rPr>
          <w:rFonts w:hint="eastAsia" w:ascii="方正仿宋_GBK" w:hAnsi="方正仿宋_GBK" w:eastAsia="方正仿宋_GBK" w:cs="方正仿宋_GBK"/>
          <w:sz w:val="24"/>
          <w:szCs w:val="28"/>
        </w:rPr>
        <w:t>（签字或盖章）                                （签字或盖章）</w:t>
      </w:r>
    </w:p>
    <w:p>
      <w:pPr>
        <w:tabs>
          <w:tab w:val="left" w:pos="6300"/>
        </w:tabs>
        <w:snapToGrid w:val="0"/>
        <w:spacing w:line="500" w:lineRule="exact"/>
        <w:ind w:firstLine="570"/>
        <w:rPr>
          <w:rFonts w:hint="eastAsia" w:ascii="方正仿宋_GBK" w:hAnsi="方正仿宋_GBK" w:eastAsia="方正仿宋_GBK" w:cs="方正仿宋_GBK"/>
          <w:sz w:val="24"/>
          <w:szCs w:val="28"/>
        </w:rPr>
      </w:pP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（附：被授权人身份证正反面复印件）</w:t>
      </w:r>
    </w:p>
    <w:p>
      <w:pPr>
        <w:tabs>
          <w:tab w:val="left" w:pos="6300"/>
        </w:tabs>
        <w:snapToGrid w:val="0"/>
        <w:spacing w:line="500" w:lineRule="exact"/>
        <w:ind w:firstLine="57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 xml:space="preserve">                                          </w:t>
      </w: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firstLine="570"/>
        <w:rPr>
          <w:rFonts w:hint="eastAsia" w:ascii="方正仿宋_GBK" w:hAnsi="方正仿宋_GBK" w:eastAsia="方正仿宋_GBK" w:cs="方正仿宋_GBK"/>
          <w:sz w:val="24"/>
        </w:rPr>
      </w:pPr>
    </w:p>
    <w:p>
      <w:pPr>
        <w:tabs>
          <w:tab w:val="left" w:pos="6300"/>
        </w:tabs>
        <w:snapToGrid w:val="0"/>
        <w:spacing w:line="500" w:lineRule="exact"/>
        <w:ind w:right="480" w:firstLine="570"/>
        <w:jc w:val="righ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（投标人公章）</w:t>
      </w:r>
    </w:p>
    <w:p>
      <w:pPr>
        <w:tabs>
          <w:tab w:val="left" w:pos="6300"/>
        </w:tabs>
        <w:snapToGrid w:val="0"/>
        <w:spacing w:line="500" w:lineRule="exact"/>
        <w:ind w:right="480" w:firstLine="570"/>
        <w:jc w:val="righ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年   月   日</w:t>
      </w:r>
    </w:p>
    <w:p>
      <w:pPr>
        <w:tabs>
          <w:tab w:val="left" w:pos="6300"/>
        </w:tabs>
        <w:snapToGrid w:val="0"/>
        <w:spacing w:line="500" w:lineRule="exact"/>
        <w:ind w:right="480" w:firstLine="570"/>
        <w:jc w:val="right"/>
        <w:rPr>
          <w:rFonts w:hint="eastAsia" w:ascii="方正仿宋_GBK" w:hAnsi="方正仿宋_GBK" w:eastAsia="方正仿宋_GBK" w:cs="方正仿宋_GBK"/>
          <w:sz w:val="24"/>
        </w:rPr>
      </w:pPr>
    </w:p>
    <w:p>
      <w:pPr>
        <w:tabs>
          <w:tab w:val="left" w:pos="6300"/>
        </w:tabs>
        <w:snapToGrid w:val="0"/>
        <w:spacing w:line="500" w:lineRule="exact"/>
        <w:ind w:right="480" w:firstLine="570"/>
        <w:jc w:val="lef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注：</w:t>
      </w:r>
    </w:p>
    <w:p>
      <w:pPr>
        <w:tabs>
          <w:tab w:val="left" w:pos="6300"/>
        </w:tabs>
        <w:snapToGrid w:val="0"/>
        <w:spacing w:line="500" w:lineRule="exact"/>
        <w:ind w:right="480" w:firstLine="570"/>
        <w:jc w:val="lef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1.若为法定代表人办理并签署投标文件的，不提供此文件。</w:t>
      </w:r>
    </w:p>
    <w:p>
      <w:pPr>
        <w:tabs>
          <w:tab w:val="left" w:pos="6300"/>
        </w:tabs>
        <w:snapToGrid w:val="0"/>
        <w:spacing w:line="500" w:lineRule="exact"/>
        <w:ind w:right="480" w:firstLine="570"/>
        <w:jc w:val="left"/>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2.若为联合体投标的，法定代表人授权委托书由联合体主办方</w:t>
      </w:r>
      <w:r>
        <w:rPr>
          <w:rFonts w:hint="eastAsia" w:ascii="方正仿宋_GBK" w:hAnsi="方正仿宋_GBK" w:eastAsia="方正仿宋_GBK" w:cs="方正仿宋_GBK"/>
          <w:kern w:val="0"/>
          <w:sz w:val="24"/>
          <w:szCs w:val="24"/>
        </w:rPr>
        <w:t>（主体）</w:t>
      </w:r>
      <w:r>
        <w:rPr>
          <w:rFonts w:hint="eastAsia" w:ascii="方正仿宋_GBK" w:hAnsi="方正仿宋_GBK" w:eastAsia="方正仿宋_GBK" w:cs="方正仿宋_GBK"/>
          <w:sz w:val="24"/>
        </w:rPr>
        <w:t>出具。</w:t>
      </w:r>
    </w:p>
    <w:p>
      <w:pPr>
        <w:tabs>
          <w:tab w:val="left" w:pos="6300"/>
        </w:tabs>
        <w:snapToGrid w:val="0"/>
        <w:spacing w:line="500" w:lineRule="exact"/>
        <w:ind w:firstLine="570"/>
        <w:rPr>
          <w:rFonts w:hint="eastAsia" w:ascii="宋体" w:hAnsi="宋体" w:cs="宋体"/>
        </w:rPr>
      </w:pPr>
      <w:r>
        <w:rPr>
          <w:rFonts w:hint="eastAsia" w:ascii="方正仿宋_GBK" w:hAnsi="方正仿宋_GBK" w:eastAsia="方正仿宋_GBK" w:cs="方正仿宋_GBK"/>
        </w:rPr>
        <w:br w:type="column"/>
      </w:r>
      <w:r>
        <w:rPr>
          <w:rFonts w:hint="eastAsia" w:ascii="方正仿宋_GBK" w:hAnsi="方正仿宋_GBK" w:eastAsia="方正仿宋_GBK" w:cs="方正仿宋_GBK"/>
        </w:rPr>
        <w:t>（四）</w:t>
      </w:r>
      <w:r>
        <w:rPr>
          <w:rFonts w:hint="eastAsia" w:ascii="方正仿宋_GBK" w:hAnsi="方正仿宋_GBK" w:eastAsia="方正仿宋_GBK" w:cs="方正仿宋_GBK"/>
          <w:u w:val="single"/>
        </w:rPr>
        <w:t>2019</w:t>
      </w:r>
      <w:r>
        <w:rPr>
          <w:rFonts w:hint="eastAsia" w:ascii="方正仿宋_GBK" w:hAnsi="方正仿宋_GBK" w:eastAsia="方正仿宋_GBK" w:cs="方正仿宋_GBK"/>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hint="eastAsia" w:ascii="方正仿宋_GBK" w:hAnsi="方正仿宋_GBK" w:eastAsia="方正仿宋_GBK" w:cs="方正仿宋_GBK"/>
          <w:szCs w:val="22"/>
        </w:rPr>
      </w:pPr>
      <w:r>
        <w:rPr>
          <w:rFonts w:hint="eastAsia" w:ascii="宋体" w:hAnsi="宋体" w:cs="宋体"/>
        </w:rPr>
        <w:br w:type="page"/>
      </w:r>
      <w:r>
        <w:rPr>
          <w:rFonts w:hint="eastAsia" w:ascii="宋体" w:hAnsi="宋体" w:cs="宋体"/>
        </w:rPr>
        <w:t xml:space="preserve">                  </w:t>
      </w:r>
      <w:r>
        <w:rPr>
          <w:rFonts w:hint="eastAsia" w:ascii="方正仿宋_GBK" w:hAnsi="方正仿宋_GBK" w:eastAsia="方正仿宋_GBK" w:cs="方正仿宋_GBK"/>
          <w:szCs w:val="22"/>
        </w:rPr>
        <w:t>（五）书面声明</w:t>
      </w:r>
    </w:p>
    <w:p>
      <w:pPr>
        <w:tabs>
          <w:tab w:val="left" w:pos="6300"/>
        </w:tabs>
        <w:snapToGrid w:val="0"/>
        <w:spacing w:line="500" w:lineRule="exact"/>
        <w:ind w:firstLine="570"/>
        <w:rPr>
          <w:rFonts w:hint="eastAsia" w:ascii="方正仿宋_GBK" w:hAnsi="方正仿宋_GBK" w:eastAsia="方正仿宋_GBK" w:cs="方正仿宋_GBK"/>
          <w:szCs w:val="22"/>
        </w:rPr>
      </w:pPr>
    </w:p>
    <w:p>
      <w:pPr>
        <w:tabs>
          <w:tab w:val="left" w:pos="6300"/>
        </w:tabs>
        <w:snapToGrid w:val="0"/>
        <w:spacing w:line="500" w:lineRule="exact"/>
        <w:ind w:firstLine="570"/>
        <w:rPr>
          <w:rFonts w:hint="eastAsia" w:ascii="方正仿宋_GBK" w:hAnsi="方正仿宋_GBK" w:eastAsia="方正仿宋_GBK" w:cs="方正仿宋_GBK"/>
          <w:szCs w:val="22"/>
        </w:rPr>
      </w:pPr>
      <w:r>
        <w:rPr>
          <w:rFonts w:hint="eastAsia" w:ascii="方正仿宋_GBK" w:hAnsi="方正仿宋_GBK" w:eastAsia="方正仿宋_GBK" w:cs="方正仿宋_GBK"/>
          <w:szCs w:val="22"/>
        </w:rPr>
        <w:t xml:space="preserve">招标项目名称：                                                </w:t>
      </w:r>
    </w:p>
    <w:p>
      <w:pPr>
        <w:tabs>
          <w:tab w:val="left" w:pos="6300"/>
        </w:tabs>
        <w:snapToGrid w:val="0"/>
        <w:spacing w:line="500" w:lineRule="exact"/>
        <w:ind w:firstLine="570"/>
        <w:rPr>
          <w:rFonts w:hint="eastAsia" w:ascii="方正仿宋_GBK" w:hAnsi="方正仿宋_GBK" w:eastAsia="方正仿宋_GBK" w:cs="方正仿宋_GBK"/>
          <w:szCs w:val="22"/>
        </w:rPr>
      </w:pPr>
    </w:p>
    <w:p>
      <w:pPr>
        <w:tabs>
          <w:tab w:val="left" w:pos="6300"/>
        </w:tabs>
        <w:snapToGrid w:val="0"/>
        <w:spacing w:line="500" w:lineRule="exact"/>
        <w:ind w:firstLine="570"/>
        <w:rPr>
          <w:rFonts w:hint="eastAsia" w:ascii="方正仿宋_GBK" w:hAnsi="方正仿宋_GBK" w:eastAsia="方正仿宋_GBK" w:cs="方正仿宋_GBK"/>
          <w:szCs w:val="22"/>
        </w:rPr>
      </w:pPr>
      <w:r>
        <w:rPr>
          <w:rFonts w:hint="eastAsia" w:ascii="方正仿宋_GBK" w:hAnsi="方正仿宋_GBK" w:eastAsia="方正仿宋_GBK" w:cs="方正仿宋_GBK"/>
          <w:szCs w:val="22"/>
        </w:rPr>
        <w:t>致：                   （采购代理机构名称）：</w:t>
      </w:r>
    </w:p>
    <w:p>
      <w:pPr>
        <w:tabs>
          <w:tab w:val="left" w:pos="6300"/>
        </w:tabs>
        <w:snapToGrid w:val="0"/>
        <w:spacing w:line="500" w:lineRule="exact"/>
        <w:ind w:firstLine="570"/>
        <w:rPr>
          <w:rFonts w:hint="eastAsia" w:ascii="方正仿宋_GBK" w:hAnsi="方正仿宋_GBK" w:eastAsia="方正仿宋_GBK" w:cs="方正仿宋_GBK"/>
          <w:szCs w:val="22"/>
        </w:rPr>
      </w:pPr>
      <w:r>
        <w:rPr>
          <w:rFonts w:hint="eastAsia" w:ascii="方正仿宋_GBK" w:hAnsi="方正仿宋_GBK" w:eastAsia="方正仿宋_GBK" w:cs="方正仿宋_GBK"/>
          <w:szCs w:val="22"/>
        </w:rPr>
        <w:t xml:space="preserve">                      （投标人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投标人资格条件。我方对以上声明负全部法律责任。</w:t>
      </w:r>
    </w:p>
    <w:p>
      <w:pPr>
        <w:tabs>
          <w:tab w:val="left" w:pos="6300"/>
        </w:tabs>
        <w:snapToGrid w:val="0"/>
        <w:spacing w:line="500" w:lineRule="exact"/>
        <w:ind w:firstLine="570"/>
        <w:rPr>
          <w:rFonts w:hint="eastAsia" w:ascii="方正仿宋_GBK" w:hAnsi="方正仿宋_GBK" w:eastAsia="方正仿宋_GBK" w:cs="方正仿宋_GBK"/>
          <w:szCs w:val="22"/>
        </w:rPr>
      </w:pPr>
    </w:p>
    <w:p>
      <w:pPr>
        <w:tabs>
          <w:tab w:val="left" w:pos="6300"/>
        </w:tabs>
        <w:snapToGrid w:val="0"/>
        <w:spacing w:line="500" w:lineRule="exact"/>
        <w:ind w:firstLine="570"/>
        <w:rPr>
          <w:rFonts w:hint="eastAsia" w:ascii="方正仿宋_GBK" w:hAnsi="方正仿宋_GBK" w:eastAsia="方正仿宋_GBK" w:cs="方正仿宋_GBK"/>
          <w:szCs w:val="22"/>
        </w:rPr>
      </w:pPr>
      <w:r>
        <w:rPr>
          <w:rFonts w:hint="eastAsia" w:ascii="方正仿宋_GBK" w:hAnsi="方正仿宋_GBK" w:eastAsia="方正仿宋_GBK" w:cs="方正仿宋_GBK"/>
          <w:szCs w:val="22"/>
        </w:rPr>
        <w:t>特此声明。</w:t>
      </w:r>
    </w:p>
    <w:p>
      <w:pPr>
        <w:tabs>
          <w:tab w:val="left" w:pos="6300"/>
        </w:tabs>
        <w:snapToGrid w:val="0"/>
        <w:spacing w:line="500" w:lineRule="exact"/>
        <w:ind w:firstLine="570"/>
        <w:rPr>
          <w:rFonts w:hint="eastAsia" w:ascii="方正仿宋_GBK" w:hAnsi="方正仿宋_GBK" w:eastAsia="方正仿宋_GBK" w:cs="方正仿宋_GBK"/>
          <w:szCs w:val="22"/>
        </w:rPr>
      </w:pPr>
    </w:p>
    <w:p>
      <w:pPr>
        <w:tabs>
          <w:tab w:val="left" w:pos="6300"/>
        </w:tabs>
        <w:snapToGrid w:val="0"/>
        <w:spacing w:line="500" w:lineRule="exact"/>
        <w:ind w:firstLine="570"/>
        <w:rPr>
          <w:rFonts w:hint="eastAsia" w:ascii="方正仿宋_GBK" w:hAnsi="方正仿宋_GBK" w:eastAsia="方正仿宋_GBK" w:cs="方正仿宋_GBK"/>
          <w:szCs w:val="22"/>
        </w:rPr>
      </w:pPr>
    </w:p>
    <w:p>
      <w:pPr>
        <w:tabs>
          <w:tab w:val="left" w:pos="6300"/>
        </w:tabs>
        <w:snapToGrid w:val="0"/>
        <w:spacing w:line="500" w:lineRule="exact"/>
        <w:ind w:firstLine="570"/>
        <w:rPr>
          <w:rFonts w:hint="eastAsia" w:ascii="方正仿宋_GBK" w:hAnsi="方正仿宋_GBK" w:eastAsia="方正仿宋_GBK" w:cs="方正仿宋_GBK"/>
          <w:szCs w:val="22"/>
        </w:rPr>
      </w:pPr>
    </w:p>
    <w:p>
      <w:pPr>
        <w:tabs>
          <w:tab w:val="left" w:pos="6300"/>
        </w:tabs>
        <w:snapToGrid w:val="0"/>
        <w:spacing w:line="500" w:lineRule="exact"/>
        <w:ind w:firstLine="6722" w:firstLineChars="2401"/>
        <w:rPr>
          <w:rFonts w:hint="eastAsia" w:ascii="方正仿宋_GBK" w:hAnsi="方正仿宋_GBK" w:eastAsia="方正仿宋_GBK" w:cs="方正仿宋_GBK"/>
          <w:szCs w:val="22"/>
        </w:rPr>
      </w:pPr>
      <w:r>
        <w:rPr>
          <w:rFonts w:hint="eastAsia" w:ascii="方正仿宋_GBK" w:hAnsi="方正仿宋_GBK" w:eastAsia="方正仿宋_GBK" w:cs="方正仿宋_GBK"/>
          <w:szCs w:val="22"/>
        </w:rPr>
        <w:t>（投标人公章）</w:t>
      </w:r>
    </w:p>
    <w:p>
      <w:pPr>
        <w:tabs>
          <w:tab w:val="left" w:pos="520"/>
        </w:tabs>
        <w:snapToGrid w:val="0"/>
        <w:spacing w:line="500" w:lineRule="exact"/>
        <w:ind w:firstLine="570"/>
        <w:rPr>
          <w:rFonts w:hint="eastAsia" w:ascii="方正仿宋_GBK" w:hAnsi="方正仿宋_GBK" w:eastAsia="方正仿宋_GBK" w:cs="方正仿宋_GBK"/>
          <w:szCs w:val="22"/>
        </w:rPr>
      </w:pPr>
      <w:r>
        <w:rPr>
          <w:rFonts w:hint="eastAsia" w:ascii="方正仿宋_GBK" w:hAnsi="方正仿宋_GBK" w:eastAsia="方正仿宋_GBK" w:cs="方正仿宋_GBK"/>
          <w:szCs w:val="22"/>
        </w:rPr>
        <w:tab/>
      </w:r>
      <w:r>
        <w:rPr>
          <w:rFonts w:hint="eastAsia" w:ascii="方正仿宋_GBK" w:hAnsi="方正仿宋_GBK" w:eastAsia="方正仿宋_GBK" w:cs="方正仿宋_GBK"/>
          <w:szCs w:val="22"/>
        </w:rPr>
        <w:t xml:space="preserve">                                          年   月   日</w:t>
      </w:r>
    </w:p>
    <w:p>
      <w:pPr>
        <w:snapToGrid w:val="0"/>
        <w:spacing w:line="440" w:lineRule="exact"/>
        <w:ind w:firstLine="480" w:firstLineChars="200"/>
        <w:rPr>
          <w:rFonts w:hint="eastAsia" w:ascii="宋体" w:hAnsi="宋体" w:cs="宋体"/>
          <w:sz w:val="24"/>
          <w:szCs w:val="24"/>
        </w:rPr>
      </w:pPr>
    </w:p>
    <w:p>
      <w:pPr>
        <w:tabs>
          <w:tab w:val="left" w:pos="6300"/>
        </w:tabs>
        <w:snapToGrid w:val="0"/>
        <w:spacing w:line="500" w:lineRule="exact"/>
        <w:ind w:firstLine="570"/>
        <w:rPr>
          <w:rFonts w:hint="eastAsia" w:ascii="方正仿宋_GBK" w:hAnsi="方正仿宋_GBK" w:eastAsia="方正仿宋_GBK" w:cs="方正仿宋_GBK"/>
        </w:rPr>
      </w:pPr>
      <w:r>
        <w:rPr>
          <w:rFonts w:hint="eastAsia" w:ascii="宋体" w:hAnsi="宋体" w:cs="宋体"/>
        </w:rPr>
        <w:br w:type="page"/>
      </w:r>
      <w:r>
        <w:rPr>
          <w:rFonts w:hint="eastAsia" w:ascii="方正仿宋_GBK" w:hAnsi="方正仿宋_GBK" w:eastAsia="方正仿宋_GBK" w:cs="方正仿宋_GBK"/>
        </w:rPr>
        <w:t>（六）</w:t>
      </w:r>
      <w:r>
        <w:rPr>
          <w:rFonts w:hint="eastAsia" w:ascii="方正仿宋_GBK" w:hAnsi="方正仿宋_GBK" w:eastAsia="方正仿宋_GBK" w:cs="方正仿宋_GBK"/>
          <w:szCs w:val="22"/>
        </w:rPr>
        <w:t>开标日前三个月缴纳税收的证明材料复印件</w:t>
      </w:r>
    </w:p>
    <w:p>
      <w:pPr>
        <w:tabs>
          <w:tab w:val="left" w:pos="6300"/>
        </w:tabs>
        <w:snapToGrid w:val="0"/>
        <w:spacing w:line="500" w:lineRule="exact"/>
        <w:ind w:firstLine="560"/>
        <w:rPr>
          <w:rFonts w:hint="eastAsia" w:ascii="方正仿宋_GBK" w:hAnsi="方正仿宋_GBK" w:eastAsia="方正仿宋_GBK" w:cs="方正仿宋_GBK"/>
        </w:rPr>
      </w:pPr>
      <w:r>
        <w:rPr>
          <w:rFonts w:hint="eastAsia" w:ascii="方正仿宋_GBK" w:hAnsi="方正仿宋_GBK" w:eastAsia="方正仿宋_GBK" w:cs="方正仿宋_GBK"/>
          <w:sz w:val="24"/>
          <w:szCs w:val="24"/>
        </w:rPr>
        <w:t>缴纳税收的证明材料指：缴纳税收的凭据。依法免税的投标人，应提供相应文件证明其依法免税。</w:t>
      </w:r>
    </w:p>
    <w:p>
      <w:pPr>
        <w:tabs>
          <w:tab w:val="left" w:pos="6300"/>
        </w:tabs>
        <w:snapToGrid w:val="0"/>
        <w:spacing w:line="500" w:lineRule="exact"/>
        <w:ind w:firstLine="560"/>
        <w:rPr>
          <w:rFonts w:hint="eastAsia" w:ascii="方正仿宋_GBK" w:hAnsi="方正仿宋_GBK" w:eastAsia="方正仿宋_GBK" w:cs="方正仿宋_GBK"/>
        </w:rPr>
      </w:pPr>
      <w:r>
        <w:rPr>
          <w:rFonts w:hint="eastAsia" w:ascii="方正仿宋_GBK" w:hAnsi="方正仿宋_GBK" w:eastAsia="方正仿宋_GBK" w:cs="方正仿宋_GBK"/>
        </w:rPr>
        <w:t>（七）</w:t>
      </w:r>
      <w:r>
        <w:rPr>
          <w:rFonts w:hint="eastAsia" w:ascii="方正仿宋_GBK" w:hAnsi="方正仿宋_GBK" w:eastAsia="方正仿宋_GBK" w:cs="方正仿宋_GBK"/>
          <w:szCs w:val="22"/>
        </w:rPr>
        <w:t>开标日前三个月</w:t>
      </w:r>
      <w:r>
        <w:rPr>
          <w:rFonts w:hint="eastAsia" w:ascii="方正仿宋_GBK" w:hAnsi="方正仿宋_GBK" w:eastAsia="方正仿宋_GBK" w:cs="方正仿宋_GBK"/>
        </w:rPr>
        <w:t>缴纳社会保障金的证明材料复印件</w:t>
      </w:r>
    </w:p>
    <w:p>
      <w:pPr>
        <w:tabs>
          <w:tab w:val="left" w:pos="6300"/>
        </w:tabs>
        <w:snapToGrid w:val="0"/>
        <w:spacing w:line="5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缴纳社会保障金的证明材料指：社会保险登记证或缴纳社会保险的凭据（专用收据或社会保险缴纳清单）。依法不需要缴纳社会保障资金的投标人，应提供相应文件证明其依法不需要缴纳社会保障资金。</w:t>
      </w:r>
    </w:p>
    <w:p>
      <w:pPr>
        <w:tabs>
          <w:tab w:val="left" w:pos="6300"/>
        </w:tabs>
        <w:snapToGrid w:val="0"/>
        <w:spacing w:line="500" w:lineRule="exact"/>
        <w:ind w:firstLine="480" w:firstLineChars="200"/>
        <w:rPr>
          <w:rFonts w:hint="eastAsia" w:ascii="宋体" w:hAnsi="宋体" w:cs="宋体"/>
          <w:sz w:val="24"/>
          <w:szCs w:val="24"/>
        </w:rPr>
      </w:pPr>
    </w:p>
    <w:p>
      <w:pPr>
        <w:tabs>
          <w:tab w:val="left" w:pos="6300"/>
        </w:tabs>
        <w:snapToGrid w:val="0"/>
        <w:spacing w:line="500" w:lineRule="exact"/>
        <w:ind w:firstLine="480" w:firstLineChars="200"/>
        <w:rPr>
          <w:rFonts w:hint="eastAsia" w:ascii="宋体" w:hAnsi="宋体" w:cs="宋体"/>
          <w:sz w:val="24"/>
          <w:szCs w:val="24"/>
        </w:rPr>
      </w:pPr>
    </w:p>
    <w:p>
      <w:pPr>
        <w:tabs>
          <w:tab w:val="left" w:pos="6300"/>
        </w:tabs>
        <w:snapToGrid w:val="0"/>
        <w:spacing w:line="500" w:lineRule="exact"/>
        <w:ind w:firstLine="480" w:firstLineChars="200"/>
        <w:rPr>
          <w:rFonts w:hint="eastAsia" w:ascii="宋体" w:hAnsi="宋体" w:cs="宋体"/>
          <w:sz w:val="24"/>
          <w:szCs w:val="24"/>
        </w:rPr>
      </w:pPr>
    </w:p>
    <w:p>
      <w:pPr>
        <w:tabs>
          <w:tab w:val="left" w:pos="6300"/>
        </w:tabs>
        <w:snapToGrid w:val="0"/>
        <w:spacing w:line="500" w:lineRule="exact"/>
        <w:ind w:firstLine="480" w:firstLineChars="200"/>
        <w:rPr>
          <w:rFonts w:hint="eastAsia" w:ascii="宋体" w:hAnsi="宋体" w:cs="宋体"/>
          <w:sz w:val="24"/>
          <w:szCs w:val="24"/>
        </w:rPr>
      </w:pPr>
    </w:p>
    <w:p>
      <w:pPr>
        <w:tabs>
          <w:tab w:val="left" w:pos="6300"/>
        </w:tabs>
        <w:snapToGrid w:val="0"/>
        <w:spacing w:line="500" w:lineRule="exact"/>
        <w:ind w:firstLine="570"/>
        <w:rPr>
          <w:rFonts w:hint="eastAsia" w:ascii="宋体" w:hAnsi="宋体" w:cs="宋体"/>
        </w:rPr>
      </w:pPr>
      <w:r>
        <w:rPr>
          <w:rFonts w:hint="eastAsia" w:ascii="宋体" w:hAnsi="宋体" w:cs="宋体"/>
          <w:sz w:val="24"/>
          <w:szCs w:val="24"/>
        </w:rPr>
        <w:br w:type="page"/>
      </w:r>
      <w:r>
        <w:rPr>
          <w:rFonts w:hint="eastAsia" w:ascii="方正仿宋_GBK" w:hAnsi="方正仿宋_GBK" w:eastAsia="方正仿宋_GBK" w:cs="方正仿宋_GBK"/>
        </w:rPr>
        <w:t>（八）特定资格条件证书或证明文件</w:t>
      </w: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ind w:firstLine="570"/>
        <w:jc w:val="left"/>
        <w:rPr>
          <w:rFonts w:hint="eastAsia" w:ascii="宋体" w:hAnsi="宋体" w:cs="宋体"/>
          <w:sz w:val="24"/>
        </w:rPr>
      </w:pPr>
    </w:p>
    <w:p>
      <w:pPr>
        <w:tabs>
          <w:tab w:val="left" w:pos="6300"/>
        </w:tabs>
        <w:snapToGrid w:val="0"/>
        <w:spacing w:line="500" w:lineRule="exact"/>
        <w:jc w:val="center"/>
        <w:rPr>
          <w:rFonts w:hint="eastAsia" w:ascii="宋体" w:hAnsi="宋体" w:cs="宋体"/>
        </w:rPr>
      </w:pPr>
      <w:r>
        <w:rPr>
          <w:rFonts w:hint="eastAsia" w:ascii="宋体" w:hAnsi="宋体" w:cs="宋体"/>
        </w:rPr>
        <w:t>（结束）</w:t>
      </w:r>
    </w:p>
    <w:p>
      <w:pPr>
        <w:jc w:val="left"/>
        <w:rPr>
          <w:rFonts w:hint="eastAsia" w:ascii="宋体" w:hAnsi="宋体" w:cs="宋体"/>
          <w:sz w:val="24"/>
        </w:rPr>
      </w:pPr>
    </w:p>
    <w:p>
      <w:pPr>
        <w:rPr>
          <w:rFonts w:hint="eastAsia" w:ascii="宋体" w:hAnsi="宋体" w:cs="宋体"/>
        </w:rPr>
      </w:pPr>
    </w:p>
    <w:p>
      <w:pPr>
        <w:tabs>
          <w:tab w:val="left" w:pos="6300"/>
        </w:tabs>
        <w:snapToGrid w:val="0"/>
        <w:spacing w:line="500" w:lineRule="exact"/>
        <w:jc w:val="center"/>
        <w:rPr>
          <w:rFonts w:hint="eastAsia" w:ascii="宋体" w:hAnsi="宋体" w:cs="宋体"/>
        </w:rPr>
      </w:pPr>
    </w:p>
    <w:sectPr>
      <w:headerReference r:id="rId9" w:type="default"/>
      <w:footerReference r:id="rId10" w:type="default"/>
      <w:type w:val="nextColumn"/>
      <w:pgSz w:w="11907" w:h="16840"/>
      <w:pgMar w:top="1134" w:right="1191" w:bottom="1134" w:left="1304" w:header="964"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文鼎粗黑">
    <w:altName w:val="黑体"/>
    <w:panose1 w:val="00000000000000000000"/>
    <w:charset w:val="86"/>
    <w:family w:val="modern"/>
    <w:pitch w:val="default"/>
    <w:sig w:usb0="00000000" w:usb1="00000000" w:usb2="00000010" w:usb3="00000000" w:csb0="00040000" w:csb1="00000000"/>
  </w:font>
  <w:font w:name="方正黑体简体">
    <w:altName w:val="Arial Unicode MS"/>
    <w:panose1 w:val="00000000000000000000"/>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rFonts w:hint="eastAsia"/>
        <w:sz w:val="24"/>
      </w:rPr>
    </w:pPr>
    <w:r>
      <w:rPr>
        <w:sz w:val="24"/>
      </w:rPr>
      <w:fldChar w:fldCharType="begin"/>
    </w:r>
    <w:r>
      <w:rPr>
        <w:rStyle w:val="64"/>
        <w:sz w:val="24"/>
      </w:rPr>
      <w:instrText xml:space="preserve"> PAGE </w:instrText>
    </w:r>
    <w:r>
      <w:rPr>
        <w:sz w:val="24"/>
      </w:rPr>
      <w:fldChar w:fldCharType="separate"/>
    </w:r>
    <w:r>
      <w:rPr>
        <w:rStyle w:val="64"/>
        <w:sz w:val="24"/>
      </w:rPr>
      <w:t>- 1 -</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center" w:y="1"/>
      <w:rPr>
        <w:rStyle w:val="64"/>
      </w:rPr>
    </w:pPr>
    <w:r>
      <w:fldChar w:fldCharType="begin"/>
    </w:r>
    <w:r>
      <w:rPr>
        <w:rStyle w:val="64"/>
      </w:rPr>
      <w:instrText xml:space="preserve">PAGE  </w:instrText>
    </w:r>
    <w:r>
      <w:fldChar w:fldCharType="separate"/>
    </w:r>
    <w:r>
      <w:fldChar w:fldCharType="end"/>
    </w:r>
  </w:p>
  <w:p>
    <w:pPr>
      <w:pStyle w:val="3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rPr>
        <w:sz w:val="24"/>
      </w:rPr>
    </w:pPr>
    <w:r>
      <w:rPr>
        <w:sz w:val="24"/>
      </w:rPr>
      <w:fldChar w:fldCharType="begin"/>
    </w:r>
    <w:r>
      <w:rPr>
        <w:rStyle w:val="64"/>
        <w:sz w:val="24"/>
      </w:rPr>
      <w:instrText xml:space="preserve"> PAGE </w:instrText>
    </w:r>
    <w:r>
      <w:rPr>
        <w:sz w:val="24"/>
      </w:rPr>
      <w:fldChar w:fldCharType="separate"/>
    </w:r>
    <w:r>
      <w:rPr>
        <w:rStyle w:val="64"/>
        <w:sz w:val="24"/>
      </w:rPr>
      <w:t>- 47 -</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single" w:color="auto" w:sz="4" w:space="1"/>
      </w:pBdr>
      <w:jc w:val="both"/>
      <w:rPr>
        <w:rFonts w:hint="eastAsia" w:ascii="方正仿宋_GBK" w:eastAsia="方正仿宋_GBK"/>
        <w:sz w:val="21"/>
        <w:szCs w:val="24"/>
      </w:rPr>
    </w:pPr>
    <w:r>
      <w:rPr>
        <w:rFonts w:hint="eastAsia" w:ascii="方正仿宋_GBK" w:eastAsia="方正仿宋_GBK"/>
        <w:sz w:val="21"/>
        <w:szCs w:val="24"/>
      </w:rPr>
      <w:t>重庆市合川区公共资源交易中心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jc w:val="both"/>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both"/>
      <w:rPr>
        <w:rFonts w:hint="eastAsia" w:ascii="方正仿宋_GBK" w:eastAsia="方正仿宋_GBK"/>
        <w:sz w:val="21"/>
        <w:szCs w:val="24"/>
      </w:rPr>
    </w:pPr>
    <w:r>
      <w:rPr>
        <w:rFonts w:hint="eastAsia" w:ascii="方正仿宋_GBK" w:eastAsia="方正仿宋_GBK"/>
        <w:sz w:val="21"/>
        <w:szCs w:val="24"/>
      </w:rPr>
      <w:t>重庆市合川区公共资源交易中心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7AA6A2"/>
    <w:multiLevelType w:val="singleLevel"/>
    <w:tmpl w:val="E37AA6A2"/>
    <w:lvl w:ilvl="0" w:tentative="0">
      <w:start w:val="6"/>
      <w:numFmt w:val="chineseCounting"/>
      <w:suff w:val="space"/>
      <w:lvlText w:val="第%1篇"/>
      <w:lvlJc w:val="left"/>
      <w:pPr>
        <w:ind w:left="2761"/>
      </w:pPr>
      <w:rPr>
        <w:rFonts w:hint="eastAsia"/>
      </w:rPr>
    </w:lvl>
  </w:abstractNum>
  <w:abstractNum w:abstractNumId="1">
    <w:nsid w:val="00000003"/>
    <w:multiLevelType w:val="singleLevel"/>
    <w:tmpl w:val="00000003"/>
    <w:lvl w:ilvl="0" w:tentative="0">
      <w:start w:val="1"/>
      <w:numFmt w:val="decimal"/>
      <w:pStyle w:val="15"/>
      <w:lvlText w:val="%1."/>
      <w:lvlJc w:val="left"/>
      <w:pPr>
        <w:tabs>
          <w:tab w:val="left" w:pos="780"/>
        </w:tabs>
        <w:ind w:left="780" w:hanging="360"/>
      </w:pPr>
    </w:lvl>
  </w:abstractNum>
  <w:abstractNum w:abstractNumId="2">
    <w:nsid w:val="00000005"/>
    <w:multiLevelType w:val="multilevel"/>
    <w:tmpl w:val="00000005"/>
    <w:lvl w:ilvl="0" w:tentative="0">
      <w:start w:val="1"/>
      <w:numFmt w:val="bullet"/>
      <w:pStyle w:val="186"/>
      <w:lvlText w:val=""/>
      <w:lvlJc w:val="left"/>
      <w:pPr>
        <w:tabs>
          <w:tab w:val="left" w:pos="980"/>
        </w:tabs>
        <w:ind w:left="980" w:hanging="36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3">
    <w:nsid w:val="00000006"/>
    <w:multiLevelType w:val="singleLevel"/>
    <w:tmpl w:val="00000006"/>
    <w:lvl w:ilvl="0" w:tentative="0">
      <w:start w:val="1"/>
      <w:numFmt w:val="bullet"/>
      <w:pStyle w:val="16"/>
      <w:lvlText w:val=""/>
      <w:lvlJc w:val="left"/>
      <w:pPr>
        <w:tabs>
          <w:tab w:val="left" w:pos="1620"/>
        </w:tabs>
        <w:ind w:left="1620" w:hanging="360"/>
      </w:pPr>
      <w:rPr>
        <w:rFonts w:hint="default" w:ascii="Wingdings" w:hAnsi="Wingdings"/>
      </w:rPr>
    </w:lvl>
  </w:abstractNum>
  <w:abstractNum w:abstractNumId="4">
    <w:nsid w:val="00000007"/>
    <w:multiLevelType w:val="multilevel"/>
    <w:tmpl w:val="00000007"/>
    <w:lvl w:ilvl="0" w:tentative="0">
      <w:start w:val="1"/>
      <w:numFmt w:val="bullet"/>
      <w:pStyle w:val="21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8"/>
    <w:multiLevelType w:val="multilevel"/>
    <w:tmpl w:val="00000008"/>
    <w:lvl w:ilvl="0" w:tentative="0">
      <w:start w:val="1"/>
      <w:numFmt w:val="chineseCountingThousand"/>
      <w:pStyle w:val="7"/>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09"/>
    <w:multiLevelType w:val="multilevel"/>
    <w:tmpl w:val="00000009"/>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188"/>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0000000A"/>
    <w:multiLevelType w:val="multilevel"/>
    <w:tmpl w:val="0000000A"/>
    <w:lvl w:ilvl="0" w:tentative="0">
      <w:start w:val="8"/>
      <w:numFmt w:val="decimal"/>
      <w:pStyle w:val="122"/>
      <w:lvlText w:val="%1."/>
      <w:lvlJc w:val="left"/>
      <w:pPr>
        <w:tabs>
          <w:tab w:val="left" w:pos="425"/>
        </w:tabs>
        <w:ind w:left="425" w:hanging="425"/>
      </w:pPr>
      <w:rPr>
        <w:rFonts w:hint="eastAsia"/>
      </w:rPr>
    </w:lvl>
    <w:lvl w:ilvl="1" w:tentative="0">
      <w:start w:val="1"/>
      <w:numFmt w:val="decimal"/>
      <w:lvlText w:val="%1.%2."/>
      <w:lvlJc w:val="left"/>
      <w:pPr>
        <w:tabs>
          <w:tab w:val="left" w:pos="747"/>
        </w:tabs>
        <w:ind w:left="747" w:hanging="567"/>
      </w:pPr>
      <w:rPr>
        <w:rFonts w:hint="eastAsia"/>
      </w:rPr>
    </w:lvl>
    <w:lvl w:ilvl="2" w:tentative="0">
      <w:start w:val="1"/>
      <w:numFmt w:val="decimal"/>
      <w:pStyle w:val="178"/>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00000012"/>
    <w:multiLevelType w:val="singleLevel"/>
    <w:tmpl w:val="00000012"/>
    <w:lvl w:ilvl="0" w:tentative="0">
      <w:start w:val="1"/>
      <w:numFmt w:val="bullet"/>
      <w:pStyle w:val="29"/>
      <w:lvlText w:val=""/>
      <w:lvlJc w:val="left"/>
      <w:pPr>
        <w:tabs>
          <w:tab w:val="left" w:pos="780"/>
        </w:tabs>
        <w:ind w:left="780" w:hanging="360"/>
      </w:pPr>
      <w:rPr>
        <w:rFonts w:hint="default" w:ascii="Wingdings" w:hAnsi="Wingdings"/>
      </w:rPr>
    </w:lvl>
  </w:abstractNum>
  <w:abstractNum w:abstractNumId="9">
    <w:nsid w:val="00000013"/>
    <w:multiLevelType w:val="multilevel"/>
    <w:tmpl w:val="00000013"/>
    <w:lvl w:ilvl="0" w:tentative="0">
      <w:start w:val="1"/>
      <w:numFmt w:val="bullet"/>
      <w:pStyle w:val="123"/>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5"/>
    <w:multiLevelType w:val="multilevel"/>
    <w:tmpl w:val="00000015"/>
    <w:lvl w:ilvl="0" w:tentative="0">
      <w:start w:val="1"/>
      <w:numFmt w:val="decimal"/>
      <w:pStyle w:val="139"/>
      <w:lvlText w:val="(%1)"/>
      <w:lvlJc w:val="left"/>
      <w:pPr>
        <w:tabs>
          <w:tab w:val="left" w:pos="397"/>
        </w:tabs>
        <w:ind w:left="397" w:hanging="397"/>
      </w:pPr>
      <w:rPr>
        <w:rFonts w:hint="default" w:ascii="Arial" w:hAnsi="Arial" w:eastAsia="宋体"/>
        <w:b w:val="0"/>
        <w:i w:val="0"/>
        <w:color w:val="auto"/>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16"/>
    <w:multiLevelType w:val="singleLevel"/>
    <w:tmpl w:val="00000016"/>
    <w:lvl w:ilvl="0" w:tentative="0">
      <w:start w:val="1"/>
      <w:numFmt w:val="bullet"/>
      <w:pStyle w:val="167"/>
      <w:lvlText w:val=""/>
      <w:lvlJc w:val="left"/>
      <w:pPr>
        <w:tabs>
          <w:tab w:val="left" w:pos="360"/>
        </w:tabs>
        <w:ind w:left="360" w:hanging="360"/>
      </w:pPr>
      <w:rPr>
        <w:rFonts w:hint="default" w:ascii="Wingdings" w:hAnsi="Wingdings"/>
      </w:rPr>
    </w:lvl>
  </w:abstractNum>
  <w:abstractNum w:abstractNumId="12">
    <w:nsid w:val="00000017"/>
    <w:multiLevelType w:val="singleLevel"/>
    <w:tmpl w:val="00000017"/>
    <w:lvl w:ilvl="0" w:tentative="0">
      <w:start w:val="1"/>
      <w:numFmt w:val="bullet"/>
      <w:pStyle w:val="23"/>
      <w:lvlText w:val=""/>
      <w:lvlJc w:val="left"/>
      <w:pPr>
        <w:tabs>
          <w:tab w:val="left" w:pos="1200"/>
        </w:tabs>
        <w:ind w:left="1200" w:hanging="360"/>
      </w:pPr>
      <w:rPr>
        <w:rFonts w:hint="default" w:ascii="Wingdings" w:hAnsi="Wingdings"/>
      </w:rPr>
    </w:lvl>
  </w:abstractNum>
  <w:abstractNum w:abstractNumId="13">
    <w:nsid w:val="00000019"/>
    <w:multiLevelType w:val="singleLevel"/>
    <w:tmpl w:val="00000019"/>
    <w:lvl w:ilvl="0" w:tentative="0">
      <w:start w:val="1"/>
      <w:numFmt w:val="decimal"/>
      <w:pStyle w:val="170"/>
      <w:lvlText w:val="%1)"/>
      <w:lvlJc w:val="left"/>
      <w:pPr>
        <w:tabs>
          <w:tab w:val="left" w:pos="425"/>
        </w:tabs>
        <w:ind w:left="425" w:hanging="425"/>
      </w:pPr>
      <w:rPr>
        <w:rFonts w:hint="eastAsia"/>
      </w:rPr>
    </w:lvl>
  </w:abstractNum>
  <w:abstractNum w:abstractNumId="14">
    <w:nsid w:val="0000001A"/>
    <w:multiLevelType w:val="multilevel"/>
    <w:tmpl w:val="0000001A"/>
    <w:lvl w:ilvl="0" w:tentative="0">
      <w:start w:val="1"/>
      <w:numFmt w:val="decimal"/>
      <w:pStyle w:val="124"/>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1D"/>
    <w:multiLevelType w:val="multilevel"/>
    <w:tmpl w:val="0000001D"/>
    <w:lvl w:ilvl="0" w:tentative="0">
      <w:start w:val="1"/>
      <w:numFmt w:val="chineseCountingThousand"/>
      <w:pStyle w:val="118"/>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49EB6EBE"/>
    <w:multiLevelType w:val="multilevel"/>
    <w:tmpl w:val="49EB6EBE"/>
    <w:lvl w:ilvl="0" w:tentative="0">
      <w:start w:val="1"/>
      <w:numFmt w:val="decimal"/>
      <w:lvlText w:val="%1、"/>
      <w:lvlJc w:val="left"/>
      <w:pPr>
        <w:ind w:left="1280" w:hanging="720"/>
      </w:pPr>
      <w:rPr>
        <w:rFonts w:hint="default"/>
        <w:u w:val="none"/>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68DAB185"/>
    <w:multiLevelType w:val="singleLevel"/>
    <w:tmpl w:val="68DAB185"/>
    <w:lvl w:ilvl="0" w:tentative="0">
      <w:start w:val="1"/>
      <w:numFmt w:val="decimal"/>
      <w:lvlText w:val="%1."/>
      <w:lvlJc w:val="left"/>
      <w:pPr>
        <w:tabs>
          <w:tab w:val="left" w:pos="312"/>
        </w:tabs>
      </w:pPr>
    </w:lvl>
  </w:abstractNum>
  <w:num w:numId="1">
    <w:abstractNumId w:val="5"/>
  </w:num>
  <w:num w:numId="2">
    <w:abstractNumId w:val="1"/>
  </w:num>
  <w:num w:numId="3">
    <w:abstractNumId w:val="3"/>
  </w:num>
  <w:num w:numId="4">
    <w:abstractNumId w:val="12"/>
  </w:num>
  <w:num w:numId="5">
    <w:abstractNumId w:val="8"/>
  </w:num>
  <w:num w:numId="6">
    <w:abstractNumId w:val="15"/>
  </w:num>
  <w:num w:numId="7">
    <w:abstractNumId w:val="7"/>
  </w:num>
  <w:num w:numId="8">
    <w:abstractNumId w:val="9"/>
  </w:num>
  <w:num w:numId="9">
    <w:abstractNumId w:val="14"/>
  </w:num>
  <w:num w:numId="10">
    <w:abstractNumId w:val="10"/>
  </w:num>
  <w:num w:numId="11">
    <w:abstractNumId w:val="11"/>
  </w:num>
  <w:num w:numId="12">
    <w:abstractNumId w:val="13"/>
  </w:num>
  <w:num w:numId="13">
    <w:abstractNumId w:val="2"/>
  </w:num>
  <w:num w:numId="14">
    <w:abstractNumId w:val="6"/>
  </w:num>
  <w:num w:numId="15">
    <w:abstractNumId w:val="4"/>
  </w:num>
  <w:num w:numId="16">
    <w:abstractNumId w:val="0"/>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280"/>
  <w:drawingGridHorizontalSpacing w:val="140"/>
  <w:drawingGridVerticalSpacing w:val="381"/>
  <w:noPunctuationKerning w:val="1"/>
  <w:characterSpacingControl w:val="compressPunctuation"/>
  <w:doNotValidateAgainstSchema/>
  <w:doNotDemarcateInvalidXml/>
  <w:compat>
    <w:spaceForUL/>
    <w:balanceSingleByteDoubleByteWidth/>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EA"/>
    <w:rsid w:val="00003C21"/>
    <w:rsid w:val="0000492E"/>
    <w:rsid w:val="000072F0"/>
    <w:rsid w:val="00010C03"/>
    <w:rsid w:val="00011485"/>
    <w:rsid w:val="00011AF1"/>
    <w:rsid w:val="00011CBD"/>
    <w:rsid w:val="000140DF"/>
    <w:rsid w:val="00021946"/>
    <w:rsid w:val="00022780"/>
    <w:rsid w:val="000266A1"/>
    <w:rsid w:val="00034A67"/>
    <w:rsid w:val="00034EE2"/>
    <w:rsid w:val="0003767C"/>
    <w:rsid w:val="000376BA"/>
    <w:rsid w:val="00042250"/>
    <w:rsid w:val="00043311"/>
    <w:rsid w:val="00047EC0"/>
    <w:rsid w:val="00056058"/>
    <w:rsid w:val="00060807"/>
    <w:rsid w:val="00063ABE"/>
    <w:rsid w:val="0006572E"/>
    <w:rsid w:val="000674BF"/>
    <w:rsid w:val="00067E27"/>
    <w:rsid w:val="0007289F"/>
    <w:rsid w:val="00075520"/>
    <w:rsid w:val="00076C42"/>
    <w:rsid w:val="000919FD"/>
    <w:rsid w:val="000946BD"/>
    <w:rsid w:val="00094D91"/>
    <w:rsid w:val="00097896"/>
    <w:rsid w:val="000A1F65"/>
    <w:rsid w:val="000A5589"/>
    <w:rsid w:val="000B2716"/>
    <w:rsid w:val="000C2017"/>
    <w:rsid w:val="000C2725"/>
    <w:rsid w:val="000C3040"/>
    <w:rsid w:val="000D0483"/>
    <w:rsid w:val="000D072E"/>
    <w:rsid w:val="000D18DF"/>
    <w:rsid w:val="000E374D"/>
    <w:rsid w:val="000E43DC"/>
    <w:rsid w:val="000E4F02"/>
    <w:rsid w:val="000E60F7"/>
    <w:rsid w:val="000F16AA"/>
    <w:rsid w:val="000F176A"/>
    <w:rsid w:val="000F4359"/>
    <w:rsid w:val="000F4C4D"/>
    <w:rsid w:val="001103D7"/>
    <w:rsid w:val="00110AA3"/>
    <w:rsid w:val="0011194D"/>
    <w:rsid w:val="001301FD"/>
    <w:rsid w:val="00130901"/>
    <w:rsid w:val="00131925"/>
    <w:rsid w:val="00132D93"/>
    <w:rsid w:val="00135250"/>
    <w:rsid w:val="00137A61"/>
    <w:rsid w:val="00137FF2"/>
    <w:rsid w:val="001407F6"/>
    <w:rsid w:val="001413B5"/>
    <w:rsid w:val="001528E5"/>
    <w:rsid w:val="00161645"/>
    <w:rsid w:val="00164D8A"/>
    <w:rsid w:val="00167AA3"/>
    <w:rsid w:val="0017038C"/>
    <w:rsid w:val="00173C76"/>
    <w:rsid w:val="001767A8"/>
    <w:rsid w:val="00180E4F"/>
    <w:rsid w:val="001832F1"/>
    <w:rsid w:val="00184BC3"/>
    <w:rsid w:val="001864B0"/>
    <w:rsid w:val="00194910"/>
    <w:rsid w:val="001A0940"/>
    <w:rsid w:val="001A5E34"/>
    <w:rsid w:val="001B7C8C"/>
    <w:rsid w:val="001C24D4"/>
    <w:rsid w:val="001C2AC9"/>
    <w:rsid w:val="001C4781"/>
    <w:rsid w:val="001D3A07"/>
    <w:rsid w:val="001D3B7E"/>
    <w:rsid w:val="001E0AC9"/>
    <w:rsid w:val="001E13AD"/>
    <w:rsid w:val="001E2993"/>
    <w:rsid w:val="001E38A8"/>
    <w:rsid w:val="001E4F32"/>
    <w:rsid w:val="001F2F2D"/>
    <w:rsid w:val="001F3FA6"/>
    <w:rsid w:val="001F4D0E"/>
    <w:rsid w:val="001F4E23"/>
    <w:rsid w:val="00200FB5"/>
    <w:rsid w:val="00212B9A"/>
    <w:rsid w:val="0021334F"/>
    <w:rsid w:val="002148EC"/>
    <w:rsid w:val="00217C0F"/>
    <w:rsid w:val="00223B03"/>
    <w:rsid w:val="0022711C"/>
    <w:rsid w:val="00233AFE"/>
    <w:rsid w:val="00234507"/>
    <w:rsid w:val="00236379"/>
    <w:rsid w:val="002378E8"/>
    <w:rsid w:val="002435D0"/>
    <w:rsid w:val="00243F8F"/>
    <w:rsid w:val="00247927"/>
    <w:rsid w:val="00250990"/>
    <w:rsid w:val="00252999"/>
    <w:rsid w:val="0025308A"/>
    <w:rsid w:val="00255B09"/>
    <w:rsid w:val="0025601D"/>
    <w:rsid w:val="00257FF1"/>
    <w:rsid w:val="00262267"/>
    <w:rsid w:val="002630FC"/>
    <w:rsid w:val="00263F00"/>
    <w:rsid w:val="00264A68"/>
    <w:rsid w:val="002704A3"/>
    <w:rsid w:val="00271307"/>
    <w:rsid w:val="00274C2A"/>
    <w:rsid w:val="0027725B"/>
    <w:rsid w:val="00277B85"/>
    <w:rsid w:val="0028066C"/>
    <w:rsid w:val="002833CF"/>
    <w:rsid w:val="0029022C"/>
    <w:rsid w:val="00290A01"/>
    <w:rsid w:val="00291336"/>
    <w:rsid w:val="002937D0"/>
    <w:rsid w:val="002938A5"/>
    <w:rsid w:val="002A0576"/>
    <w:rsid w:val="002A30FF"/>
    <w:rsid w:val="002A6DE9"/>
    <w:rsid w:val="002B0DAA"/>
    <w:rsid w:val="002B26F0"/>
    <w:rsid w:val="002B391D"/>
    <w:rsid w:val="002B4A3B"/>
    <w:rsid w:val="002B69D0"/>
    <w:rsid w:val="002B797F"/>
    <w:rsid w:val="002C2978"/>
    <w:rsid w:val="002C6836"/>
    <w:rsid w:val="002C7F2B"/>
    <w:rsid w:val="002D2F75"/>
    <w:rsid w:val="002D7B30"/>
    <w:rsid w:val="002E0FB6"/>
    <w:rsid w:val="002E1597"/>
    <w:rsid w:val="002E2816"/>
    <w:rsid w:val="002E3E94"/>
    <w:rsid w:val="002E41DF"/>
    <w:rsid w:val="002E63FE"/>
    <w:rsid w:val="002E6DFA"/>
    <w:rsid w:val="002F0059"/>
    <w:rsid w:val="002F1086"/>
    <w:rsid w:val="002F584D"/>
    <w:rsid w:val="002F5EEF"/>
    <w:rsid w:val="00305ECC"/>
    <w:rsid w:val="00307F68"/>
    <w:rsid w:val="0031085E"/>
    <w:rsid w:val="0031109C"/>
    <w:rsid w:val="00312400"/>
    <w:rsid w:val="00314F17"/>
    <w:rsid w:val="00315166"/>
    <w:rsid w:val="003231A8"/>
    <w:rsid w:val="00326B6B"/>
    <w:rsid w:val="00327E35"/>
    <w:rsid w:val="00331597"/>
    <w:rsid w:val="0033541F"/>
    <w:rsid w:val="00335B5F"/>
    <w:rsid w:val="003415A1"/>
    <w:rsid w:val="00344FF3"/>
    <w:rsid w:val="003454AF"/>
    <w:rsid w:val="00346438"/>
    <w:rsid w:val="0035522F"/>
    <w:rsid w:val="00360E84"/>
    <w:rsid w:val="00361DB7"/>
    <w:rsid w:val="00363BE6"/>
    <w:rsid w:val="00367C9C"/>
    <w:rsid w:val="00370BF4"/>
    <w:rsid w:val="0037169E"/>
    <w:rsid w:val="00383C9F"/>
    <w:rsid w:val="0038635F"/>
    <w:rsid w:val="003902F6"/>
    <w:rsid w:val="00391D4F"/>
    <w:rsid w:val="00395C5E"/>
    <w:rsid w:val="003A0D6F"/>
    <w:rsid w:val="003A4636"/>
    <w:rsid w:val="003A5F38"/>
    <w:rsid w:val="003B739B"/>
    <w:rsid w:val="003C3995"/>
    <w:rsid w:val="003D019B"/>
    <w:rsid w:val="003D0992"/>
    <w:rsid w:val="003D1F45"/>
    <w:rsid w:val="003D5111"/>
    <w:rsid w:val="003E48A2"/>
    <w:rsid w:val="003E5E95"/>
    <w:rsid w:val="003E699F"/>
    <w:rsid w:val="003F0973"/>
    <w:rsid w:val="003F1FCF"/>
    <w:rsid w:val="003F262A"/>
    <w:rsid w:val="003F2BA3"/>
    <w:rsid w:val="003F2CFF"/>
    <w:rsid w:val="003F407F"/>
    <w:rsid w:val="003F577B"/>
    <w:rsid w:val="003F5BC7"/>
    <w:rsid w:val="004004FB"/>
    <w:rsid w:val="00400967"/>
    <w:rsid w:val="00401061"/>
    <w:rsid w:val="0040154D"/>
    <w:rsid w:val="004033A8"/>
    <w:rsid w:val="0040799A"/>
    <w:rsid w:val="00410D92"/>
    <w:rsid w:val="00411C41"/>
    <w:rsid w:val="004157DD"/>
    <w:rsid w:val="00415899"/>
    <w:rsid w:val="00422860"/>
    <w:rsid w:val="00425B08"/>
    <w:rsid w:val="004269D3"/>
    <w:rsid w:val="00427F21"/>
    <w:rsid w:val="00430470"/>
    <w:rsid w:val="00432503"/>
    <w:rsid w:val="0044102F"/>
    <w:rsid w:val="00442474"/>
    <w:rsid w:val="0044361E"/>
    <w:rsid w:val="0045181E"/>
    <w:rsid w:val="00454511"/>
    <w:rsid w:val="0045590E"/>
    <w:rsid w:val="00465094"/>
    <w:rsid w:val="00467B58"/>
    <w:rsid w:val="00471298"/>
    <w:rsid w:val="00475385"/>
    <w:rsid w:val="0047562B"/>
    <w:rsid w:val="004759DD"/>
    <w:rsid w:val="00477E8A"/>
    <w:rsid w:val="0048126A"/>
    <w:rsid w:val="00483347"/>
    <w:rsid w:val="0048396B"/>
    <w:rsid w:val="00484FDF"/>
    <w:rsid w:val="00485174"/>
    <w:rsid w:val="00487CDA"/>
    <w:rsid w:val="00491677"/>
    <w:rsid w:val="004946D1"/>
    <w:rsid w:val="00494A22"/>
    <w:rsid w:val="004978F0"/>
    <w:rsid w:val="004A0052"/>
    <w:rsid w:val="004A263F"/>
    <w:rsid w:val="004A28CC"/>
    <w:rsid w:val="004B1497"/>
    <w:rsid w:val="004B412E"/>
    <w:rsid w:val="004B4F0E"/>
    <w:rsid w:val="004B6CA6"/>
    <w:rsid w:val="004B7FE0"/>
    <w:rsid w:val="004C1FC5"/>
    <w:rsid w:val="004C2A6E"/>
    <w:rsid w:val="004C3C28"/>
    <w:rsid w:val="004C6147"/>
    <w:rsid w:val="004C684A"/>
    <w:rsid w:val="004D009E"/>
    <w:rsid w:val="004D3DC8"/>
    <w:rsid w:val="004D4D6A"/>
    <w:rsid w:val="004D5C41"/>
    <w:rsid w:val="004E1000"/>
    <w:rsid w:val="004E257E"/>
    <w:rsid w:val="004E55CD"/>
    <w:rsid w:val="004E681B"/>
    <w:rsid w:val="004F3F0D"/>
    <w:rsid w:val="004F40A7"/>
    <w:rsid w:val="004F60EF"/>
    <w:rsid w:val="0050014C"/>
    <w:rsid w:val="00500498"/>
    <w:rsid w:val="0050159B"/>
    <w:rsid w:val="005016D9"/>
    <w:rsid w:val="00501D80"/>
    <w:rsid w:val="00502629"/>
    <w:rsid w:val="00504B82"/>
    <w:rsid w:val="00510DFE"/>
    <w:rsid w:val="00512E9A"/>
    <w:rsid w:val="00513A31"/>
    <w:rsid w:val="00513CBD"/>
    <w:rsid w:val="00516188"/>
    <w:rsid w:val="00520A96"/>
    <w:rsid w:val="0052254F"/>
    <w:rsid w:val="00525E4A"/>
    <w:rsid w:val="00530C00"/>
    <w:rsid w:val="00531EB2"/>
    <w:rsid w:val="00534A81"/>
    <w:rsid w:val="005363ED"/>
    <w:rsid w:val="00537C42"/>
    <w:rsid w:val="005405DB"/>
    <w:rsid w:val="00541231"/>
    <w:rsid w:val="00546055"/>
    <w:rsid w:val="00546C36"/>
    <w:rsid w:val="0055311C"/>
    <w:rsid w:val="00555B89"/>
    <w:rsid w:val="005608FB"/>
    <w:rsid w:val="005645D3"/>
    <w:rsid w:val="00566CBB"/>
    <w:rsid w:val="00567434"/>
    <w:rsid w:val="00571D8C"/>
    <w:rsid w:val="005777DE"/>
    <w:rsid w:val="00580E98"/>
    <w:rsid w:val="0058164D"/>
    <w:rsid w:val="005844C3"/>
    <w:rsid w:val="00586FDF"/>
    <w:rsid w:val="00587496"/>
    <w:rsid w:val="00592129"/>
    <w:rsid w:val="00594EBB"/>
    <w:rsid w:val="005A0467"/>
    <w:rsid w:val="005A18A4"/>
    <w:rsid w:val="005A35E6"/>
    <w:rsid w:val="005A6846"/>
    <w:rsid w:val="005A7047"/>
    <w:rsid w:val="005B1105"/>
    <w:rsid w:val="005B1829"/>
    <w:rsid w:val="005B5D00"/>
    <w:rsid w:val="005C1751"/>
    <w:rsid w:val="005C2ABF"/>
    <w:rsid w:val="005C4345"/>
    <w:rsid w:val="005C5E1D"/>
    <w:rsid w:val="005D2F52"/>
    <w:rsid w:val="005D5FCE"/>
    <w:rsid w:val="005E04C2"/>
    <w:rsid w:val="005E0DDE"/>
    <w:rsid w:val="005E117E"/>
    <w:rsid w:val="005E12B4"/>
    <w:rsid w:val="005E7B12"/>
    <w:rsid w:val="005F246F"/>
    <w:rsid w:val="005F5262"/>
    <w:rsid w:val="005F65A7"/>
    <w:rsid w:val="00600DF2"/>
    <w:rsid w:val="00601283"/>
    <w:rsid w:val="006016E0"/>
    <w:rsid w:val="0060469C"/>
    <w:rsid w:val="00605FF6"/>
    <w:rsid w:val="006061D4"/>
    <w:rsid w:val="00607E0C"/>
    <w:rsid w:val="00616EC6"/>
    <w:rsid w:val="006171E2"/>
    <w:rsid w:val="00621BAE"/>
    <w:rsid w:val="00627AB8"/>
    <w:rsid w:val="00630702"/>
    <w:rsid w:val="00630A4F"/>
    <w:rsid w:val="006341BD"/>
    <w:rsid w:val="00636C1F"/>
    <w:rsid w:val="00641B25"/>
    <w:rsid w:val="00642CAA"/>
    <w:rsid w:val="006437D3"/>
    <w:rsid w:val="00643C81"/>
    <w:rsid w:val="006456C7"/>
    <w:rsid w:val="006519C1"/>
    <w:rsid w:val="00653FC4"/>
    <w:rsid w:val="006558D7"/>
    <w:rsid w:val="00655CB3"/>
    <w:rsid w:val="006564BC"/>
    <w:rsid w:val="00656BDD"/>
    <w:rsid w:val="00657FE5"/>
    <w:rsid w:val="006646B7"/>
    <w:rsid w:val="006660C7"/>
    <w:rsid w:val="006660F3"/>
    <w:rsid w:val="006661A4"/>
    <w:rsid w:val="0066764A"/>
    <w:rsid w:val="006725A5"/>
    <w:rsid w:val="00674063"/>
    <w:rsid w:val="00675735"/>
    <w:rsid w:val="00675E52"/>
    <w:rsid w:val="006800A2"/>
    <w:rsid w:val="00680CC4"/>
    <w:rsid w:val="00680EEC"/>
    <w:rsid w:val="0068367F"/>
    <w:rsid w:val="00685E98"/>
    <w:rsid w:val="00687999"/>
    <w:rsid w:val="00690386"/>
    <w:rsid w:val="00692295"/>
    <w:rsid w:val="0069502A"/>
    <w:rsid w:val="00696EEA"/>
    <w:rsid w:val="006A0B45"/>
    <w:rsid w:val="006A3106"/>
    <w:rsid w:val="006A3DC1"/>
    <w:rsid w:val="006A5644"/>
    <w:rsid w:val="006A71EB"/>
    <w:rsid w:val="006A7FBD"/>
    <w:rsid w:val="006B2CBF"/>
    <w:rsid w:val="006B41B7"/>
    <w:rsid w:val="006B61A4"/>
    <w:rsid w:val="006C236F"/>
    <w:rsid w:val="006C2A20"/>
    <w:rsid w:val="006C32BC"/>
    <w:rsid w:val="006C4663"/>
    <w:rsid w:val="006D04E1"/>
    <w:rsid w:val="006D7125"/>
    <w:rsid w:val="006E016E"/>
    <w:rsid w:val="006E1FE1"/>
    <w:rsid w:val="006E2F2B"/>
    <w:rsid w:val="006E6FE7"/>
    <w:rsid w:val="006F1A60"/>
    <w:rsid w:val="006F3D44"/>
    <w:rsid w:val="006F5A38"/>
    <w:rsid w:val="006F6F0F"/>
    <w:rsid w:val="006F7B0F"/>
    <w:rsid w:val="00701E8B"/>
    <w:rsid w:val="0070514A"/>
    <w:rsid w:val="007070E3"/>
    <w:rsid w:val="007101F0"/>
    <w:rsid w:val="007133E0"/>
    <w:rsid w:val="00723B56"/>
    <w:rsid w:val="00724B73"/>
    <w:rsid w:val="00726A01"/>
    <w:rsid w:val="00726B29"/>
    <w:rsid w:val="007337B2"/>
    <w:rsid w:val="00741740"/>
    <w:rsid w:val="007440E6"/>
    <w:rsid w:val="007445DB"/>
    <w:rsid w:val="007515F2"/>
    <w:rsid w:val="00751BD7"/>
    <w:rsid w:val="00757139"/>
    <w:rsid w:val="007613AA"/>
    <w:rsid w:val="007615A8"/>
    <w:rsid w:val="00761C88"/>
    <w:rsid w:val="00761D3B"/>
    <w:rsid w:val="00761E7F"/>
    <w:rsid w:val="007629D1"/>
    <w:rsid w:val="007641FC"/>
    <w:rsid w:val="00773791"/>
    <w:rsid w:val="0077586D"/>
    <w:rsid w:val="00777605"/>
    <w:rsid w:val="00781B69"/>
    <w:rsid w:val="00781E90"/>
    <w:rsid w:val="007843B7"/>
    <w:rsid w:val="007856A9"/>
    <w:rsid w:val="00785969"/>
    <w:rsid w:val="00790FE4"/>
    <w:rsid w:val="007977A7"/>
    <w:rsid w:val="007A1958"/>
    <w:rsid w:val="007A1D16"/>
    <w:rsid w:val="007A2C4E"/>
    <w:rsid w:val="007A3B17"/>
    <w:rsid w:val="007A4D8F"/>
    <w:rsid w:val="007A5641"/>
    <w:rsid w:val="007A5DD0"/>
    <w:rsid w:val="007B08DC"/>
    <w:rsid w:val="007B564B"/>
    <w:rsid w:val="007B6542"/>
    <w:rsid w:val="007B716E"/>
    <w:rsid w:val="007D5328"/>
    <w:rsid w:val="007D6C9F"/>
    <w:rsid w:val="007D7FDD"/>
    <w:rsid w:val="007E0849"/>
    <w:rsid w:val="007E0FF7"/>
    <w:rsid w:val="007E6ED4"/>
    <w:rsid w:val="007E7604"/>
    <w:rsid w:val="007F054A"/>
    <w:rsid w:val="007F13DC"/>
    <w:rsid w:val="007F396F"/>
    <w:rsid w:val="007F39D5"/>
    <w:rsid w:val="007F3ED7"/>
    <w:rsid w:val="007F741A"/>
    <w:rsid w:val="00804FF3"/>
    <w:rsid w:val="00813DCB"/>
    <w:rsid w:val="00820974"/>
    <w:rsid w:val="00823323"/>
    <w:rsid w:val="00832D0C"/>
    <w:rsid w:val="00834ED7"/>
    <w:rsid w:val="00836907"/>
    <w:rsid w:val="0084437E"/>
    <w:rsid w:val="00846038"/>
    <w:rsid w:val="00850495"/>
    <w:rsid w:val="008550EB"/>
    <w:rsid w:val="0086007F"/>
    <w:rsid w:val="00860FA0"/>
    <w:rsid w:val="00861E2D"/>
    <w:rsid w:val="00866D62"/>
    <w:rsid w:val="00867787"/>
    <w:rsid w:val="00870C91"/>
    <w:rsid w:val="00872470"/>
    <w:rsid w:val="0087273F"/>
    <w:rsid w:val="00872CE0"/>
    <w:rsid w:val="0087422B"/>
    <w:rsid w:val="00875131"/>
    <w:rsid w:val="00875C9A"/>
    <w:rsid w:val="008805E7"/>
    <w:rsid w:val="00881E12"/>
    <w:rsid w:val="00883ADD"/>
    <w:rsid w:val="008856D2"/>
    <w:rsid w:val="00885CBF"/>
    <w:rsid w:val="00887F44"/>
    <w:rsid w:val="00895A97"/>
    <w:rsid w:val="008A09D3"/>
    <w:rsid w:val="008A0CEB"/>
    <w:rsid w:val="008A50C8"/>
    <w:rsid w:val="008A6DB1"/>
    <w:rsid w:val="008B114E"/>
    <w:rsid w:val="008B6ED2"/>
    <w:rsid w:val="008C0317"/>
    <w:rsid w:val="008C064A"/>
    <w:rsid w:val="008C4238"/>
    <w:rsid w:val="008C54D0"/>
    <w:rsid w:val="008C5917"/>
    <w:rsid w:val="008D17D2"/>
    <w:rsid w:val="008D2134"/>
    <w:rsid w:val="008D2FB6"/>
    <w:rsid w:val="008D4085"/>
    <w:rsid w:val="008D5D99"/>
    <w:rsid w:val="008D64F4"/>
    <w:rsid w:val="008E1844"/>
    <w:rsid w:val="008E19F1"/>
    <w:rsid w:val="008E4A4A"/>
    <w:rsid w:val="008E6807"/>
    <w:rsid w:val="008E7E18"/>
    <w:rsid w:val="008F0CB3"/>
    <w:rsid w:val="008F6B0B"/>
    <w:rsid w:val="008F7FC7"/>
    <w:rsid w:val="009001AD"/>
    <w:rsid w:val="0090436D"/>
    <w:rsid w:val="00906572"/>
    <w:rsid w:val="00906CF9"/>
    <w:rsid w:val="00907B0A"/>
    <w:rsid w:val="00907D95"/>
    <w:rsid w:val="00907DEE"/>
    <w:rsid w:val="009111F7"/>
    <w:rsid w:val="00914325"/>
    <w:rsid w:val="00916ADD"/>
    <w:rsid w:val="00923C4C"/>
    <w:rsid w:val="00925E44"/>
    <w:rsid w:val="0092759C"/>
    <w:rsid w:val="00932299"/>
    <w:rsid w:val="00936712"/>
    <w:rsid w:val="009410D7"/>
    <w:rsid w:val="00942D13"/>
    <w:rsid w:val="009431CE"/>
    <w:rsid w:val="0094771A"/>
    <w:rsid w:val="00951E26"/>
    <w:rsid w:val="00952A37"/>
    <w:rsid w:val="00952BB5"/>
    <w:rsid w:val="00953489"/>
    <w:rsid w:val="0095360A"/>
    <w:rsid w:val="00957161"/>
    <w:rsid w:val="00964078"/>
    <w:rsid w:val="00965D3C"/>
    <w:rsid w:val="009704E8"/>
    <w:rsid w:val="00971635"/>
    <w:rsid w:val="00977EA2"/>
    <w:rsid w:val="009815D1"/>
    <w:rsid w:val="009847F2"/>
    <w:rsid w:val="00986872"/>
    <w:rsid w:val="0098710D"/>
    <w:rsid w:val="009931BD"/>
    <w:rsid w:val="00993E75"/>
    <w:rsid w:val="009954A6"/>
    <w:rsid w:val="009961AF"/>
    <w:rsid w:val="009967BA"/>
    <w:rsid w:val="00997ED7"/>
    <w:rsid w:val="009A100A"/>
    <w:rsid w:val="009A1B99"/>
    <w:rsid w:val="009A2F0C"/>
    <w:rsid w:val="009A559F"/>
    <w:rsid w:val="009A6DC8"/>
    <w:rsid w:val="009B2172"/>
    <w:rsid w:val="009B2175"/>
    <w:rsid w:val="009B6322"/>
    <w:rsid w:val="009B7144"/>
    <w:rsid w:val="009B7BBE"/>
    <w:rsid w:val="009C33FD"/>
    <w:rsid w:val="009C6566"/>
    <w:rsid w:val="009D15AC"/>
    <w:rsid w:val="009D1E60"/>
    <w:rsid w:val="009D3468"/>
    <w:rsid w:val="009D3AA6"/>
    <w:rsid w:val="009D3B7C"/>
    <w:rsid w:val="009D5D9B"/>
    <w:rsid w:val="009E218D"/>
    <w:rsid w:val="009E6755"/>
    <w:rsid w:val="009E7274"/>
    <w:rsid w:val="009F3F85"/>
    <w:rsid w:val="009F7729"/>
    <w:rsid w:val="00A02154"/>
    <w:rsid w:val="00A04879"/>
    <w:rsid w:val="00A05776"/>
    <w:rsid w:val="00A0652A"/>
    <w:rsid w:val="00A13360"/>
    <w:rsid w:val="00A140E2"/>
    <w:rsid w:val="00A17155"/>
    <w:rsid w:val="00A216BD"/>
    <w:rsid w:val="00A259A7"/>
    <w:rsid w:val="00A31EAF"/>
    <w:rsid w:val="00A33DAC"/>
    <w:rsid w:val="00A348D5"/>
    <w:rsid w:val="00A36EAF"/>
    <w:rsid w:val="00A37F9D"/>
    <w:rsid w:val="00A43B02"/>
    <w:rsid w:val="00A43BFA"/>
    <w:rsid w:val="00A52466"/>
    <w:rsid w:val="00A52CB3"/>
    <w:rsid w:val="00A568C9"/>
    <w:rsid w:val="00A601AB"/>
    <w:rsid w:val="00A63131"/>
    <w:rsid w:val="00A70CFF"/>
    <w:rsid w:val="00A7165A"/>
    <w:rsid w:val="00A80F1E"/>
    <w:rsid w:val="00A84CC4"/>
    <w:rsid w:val="00A85534"/>
    <w:rsid w:val="00A85AFE"/>
    <w:rsid w:val="00A87965"/>
    <w:rsid w:val="00A91866"/>
    <w:rsid w:val="00A92A5D"/>
    <w:rsid w:val="00A94558"/>
    <w:rsid w:val="00A96FAC"/>
    <w:rsid w:val="00AA178F"/>
    <w:rsid w:val="00AA29D5"/>
    <w:rsid w:val="00AA345D"/>
    <w:rsid w:val="00AA3559"/>
    <w:rsid w:val="00AA3A39"/>
    <w:rsid w:val="00AA3DB5"/>
    <w:rsid w:val="00AA3EA9"/>
    <w:rsid w:val="00AA48B7"/>
    <w:rsid w:val="00AA5B79"/>
    <w:rsid w:val="00AA5FAE"/>
    <w:rsid w:val="00AA64EE"/>
    <w:rsid w:val="00AB2BB3"/>
    <w:rsid w:val="00AB65A4"/>
    <w:rsid w:val="00AB77E1"/>
    <w:rsid w:val="00AC0D4B"/>
    <w:rsid w:val="00AC34CB"/>
    <w:rsid w:val="00AC7E13"/>
    <w:rsid w:val="00AD1920"/>
    <w:rsid w:val="00AD4A08"/>
    <w:rsid w:val="00AD7D27"/>
    <w:rsid w:val="00AE0302"/>
    <w:rsid w:val="00AE6D6B"/>
    <w:rsid w:val="00AE6E1E"/>
    <w:rsid w:val="00AE7B9D"/>
    <w:rsid w:val="00AF0D6A"/>
    <w:rsid w:val="00AF2EB7"/>
    <w:rsid w:val="00AF7CD7"/>
    <w:rsid w:val="00B00AB0"/>
    <w:rsid w:val="00B00B11"/>
    <w:rsid w:val="00B03427"/>
    <w:rsid w:val="00B03F86"/>
    <w:rsid w:val="00B0505A"/>
    <w:rsid w:val="00B06B87"/>
    <w:rsid w:val="00B10447"/>
    <w:rsid w:val="00B118AD"/>
    <w:rsid w:val="00B121C6"/>
    <w:rsid w:val="00B17D20"/>
    <w:rsid w:val="00B20DE3"/>
    <w:rsid w:val="00B228C8"/>
    <w:rsid w:val="00B22B74"/>
    <w:rsid w:val="00B271EC"/>
    <w:rsid w:val="00B332F8"/>
    <w:rsid w:val="00B35196"/>
    <w:rsid w:val="00B35C13"/>
    <w:rsid w:val="00B35CB4"/>
    <w:rsid w:val="00B37125"/>
    <w:rsid w:val="00B40E48"/>
    <w:rsid w:val="00B46AE5"/>
    <w:rsid w:val="00B47211"/>
    <w:rsid w:val="00B47710"/>
    <w:rsid w:val="00B477F3"/>
    <w:rsid w:val="00B479A2"/>
    <w:rsid w:val="00B54C95"/>
    <w:rsid w:val="00B61D5E"/>
    <w:rsid w:val="00B63967"/>
    <w:rsid w:val="00B66F07"/>
    <w:rsid w:val="00B744BA"/>
    <w:rsid w:val="00B74E30"/>
    <w:rsid w:val="00B754BB"/>
    <w:rsid w:val="00B76FC8"/>
    <w:rsid w:val="00B82369"/>
    <w:rsid w:val="00B82429"/>
    <w:rsid w:val="00B82C14"/>
    <w:rsid w:val="00B83E7A"/>
    <w:rsid w:val="00B84F5A"/>
    <w:rsid w:val="00B91EF8"/>
    <w:rsid w:val="00B9347F"/>
    <w:rsid w:val="00B94DDB"/>
    <w:rsid w:val="00B95CC7"/>
    <w:rsid w:val="00B964E1"/>
    <w:rsid w:val="00BA0493"/>
    <w:rsid w:val="00BA33A9"/>
    <w:rsid w:val="00BA4C26"/>
    <w:rsid w:val="00BA6A67"/>
    <w:rsid w:val="00BB1892"/>
    <w:rsid w:val="00BB6DA9"/>
    <w:rsid w:val="00BC1F99"/>
    <w:rsid w:val="00BC4871"/>
    <w:rsid w:val="00BC4D5D"/>
    <w:rsid w:val="00BC5E45"/>
    <w:rsid w:val="00BC66A5"/>
    <w:rsid w:val="00BC7CD5"/>
    <w:rsid w:val="00BD02EF"/>
    <w:rsid w:val="00BD46DF"/>
    <w:rsid w:val="00BD6D76"/>
    <w:rsid w:val="00BE200A"/>
    <w:rsid w:val="00BE310F"/>
    <w:rsid w:val="00BE3549"/>
    <w:rsid w:val="00BE543F"/>
    <w:rsid w:val="00BE6891"/>
    <w:rsid w:val="00BF4212"/>
    <w:rsid w:val="00C10D2E"/>
    <w:rsid w:val="00C11DF3"/>
    <w:rsid w:val="00C1307E"/>
    <w:rsid w:val="00C16C2C"/>
    <w:rsid w:val="00C220C6"/>
    <w:rsid w:val="00C22FB5"/>
    <w:rsid w:val="00C23C59"/>
    <w:rsid w:val="00C2750C"/>
    <w:rsid w:val="00C33133"/>
    <w:rsid w:val="00C33B44"/>
    <w:rsid w:val="00C35F43"/>
    <w:rsid w:val="00C35F9D"/>
    <w:rsid w:val="00C3773D"/>
    <w:rsid w:val="00C400C5"/>
    <w:rsid w:val="00C423BA"/>
    <w:rsid w:val="00C42FC8"/>
    <w:rsid w:val="00C45ACD"/>
    <w:rsid w:val="00C46B79"/>
    <w:rsid w:val="00C478F1"/>
    <w:rsid w:val="00C53432"/>
    <w:rsid w:val="00C558E6"/>
    <w:rsid w:val="00C62A1C"/>
    <w:rsid w:val="00C63D81"/>
    <w:rsid w:val="00C71166"/>
    <w:rsid w:val="00C71788"/>
    <w:rsid w:val="00C74BE1"/>
    <w:rsid w:val="00C74D4A"/>
    <w:rsid w:val="00C76B57"/>
    <w:rsid w:val="00C778A3"/>
    <w:rsid w:val="00C7796A"/>
    <w:rsid w:val="00C80446"/>
    <w:rsid w:val="00C80544"/>
    <w:rsid w:val="00C815BF"/>
    <w:rsid w:val="00C8289A"/>
    <w:rsid w:val="00C83095"/>
    <w:rsid w:val="00C83219"/>
    <w:rsid w:val="00C86B0C"/>
    <w:rsid w:val="00C87150"/>
    <w:rsid w:val="00C874EE"/>
    <w:rsid w:val="00C92D68"/>
    <w:rsid w:val="00C95622"/>
    <w:rsid w:val="00C967BD"/>
    <w:rsid w:val="00CA00D0"/>
    <w:rsid w:val="00CA35F2"/>
    <w:rsid w:val="00CA4768"/>
    <w:rsid w:val="00CB1B17"/>
    <w:rsid w:val="00CB779B"/>
    <w:rsid w:val="00CC60A8"/>
    <w:rsid w:val="00CC658E"/>
    <w:rsid w:val="00CC7BB6"/>
    <w:rsid w:val="00CD07B0"/>
    <w:rsid w:val="00CD14DC"/>
    <w:rsid w:val="00CD7752"/>
    <w:rsid w:val="00CD793C"/>
    <w:rsid w:val="00CE2AE7"/>
    <w:rsid w:val="00CE423B"/>
    <w:rsid w:val="00CE69EB"/>
    <w:rsid w:val="00CE6A29"/>
    <w:rsid w:val="00CF17F3"/>
    <w:rsid w:val="00CF2447"/>
    <w:rsid w:val="00CF7D09"/>
    <w:rsid w:val="00D00074"/>
    <w:rsid w:val="00D004DE"/>
    <w:rsid w:val="00D02C2E"/>
    <w:rsid w:val="00D077EA"/>
    <w:rsid w:val="00D175E6"/>
    <w:rsid w:val="00D22D07"/>
    <w:rsid w:val="00D2387A"/>
    <w:rsid w:val="00D23D6D"/>
    <w:rsid w:val="00D264B2"/>
    <w:rsid w:val="00D26827"/>
    <w:rsid w:val="00D32E09"/>
    <w:rsid w:val="00D33903"/>
    <w:rsid w:val="00D3494F"/>
    <w:rsid w:val="00D35810"/>
    <w:rsid w:val="00D40ED4"/>
    <w:rsid w:val="00D418BA"/>
    <w:rsid w:val="00D518E7"/>
    <w:rsid w:val="00D53F6A"/>
    <w:rsid w:val="00D5598F"/>
    <w:rsid w:val="00D56691"/>
    <w:rsid w:val="00D629C4"/>
    <w:rsid w:val="00D65E3F"/>
    <w:rsid w:val="00D70362"/>
    <w:rsid w:val="00D70F97"/>
    <w:rsid w:val="00D722CF"/>
    <w:rsid w:val="00D72A76"/>
    <w:rsid w:val="00D75028"/>
    <w:rsid w:val="00D771DD"/>
    <w:rsid w:val="00D817B2"/>
    <w:rsid w:val="00D85ACA"/>
    <w:rsid w:val="00D9168D"/>
    <w:rsid w:val="00D93E8A"/>
    <w:rsid w:val="00D95EF5"/>
    <w:rsid w:val="00D96D4D"/>
    <w:rsid w:val="00DA2D28"/>
    <w:rsid w:val="00DA3209"/>
    <w:rsid w:val="00DA46EA"/>
    <w:rsid w:val="00DA473D"/>
    <w:rsid w:val="00DA5311"/>
    <w:rsid w:val="00DA556C"/>
    <w:rsid w:val="00DA649A"/>
    <w:rsid w:val="00DB1DD6"/>
    <w:rsid w:val="00DB361F"/>
    <w:rsid w:val="00DB4665"/>
    <w:rsid w:val="00DB54D4"/>
    <w:rsid w:val="00DB556A"/>
    <w:rsid w:val="00DB6338"/>
    <w:rsid w:val="00DB7DF8"/>
    <w:rsid w:val="00DC1093"/>
    <w:rsid w:val="00DC16CA"/>
    <w:rsid w:val="00DC1D65"/>
    <w:rsid w:val="00DC2F69"/>
    <w:rsid w:val="00DC61BA"/>
    <w:rsid w:val="00DC663A"/>
    <w:rsid w:val="00DC70DD"/>
    <w:rsid w:val="00DD0496"/>
    <w:rsid w:val="00DD16EF"/>
    <w:rsid w:val="00DD1C31"/>
    <w:rsid w:val="00DD2889"/>
    <w:rsid w:val="00DD40E6"/>
    <w:rsid w:val="00DD502D"/>
    <w:rsid w:val="00DE0239"/>
    <w:rsid w:val="00DE4E0A"/>
    <w:rsid w:val="00DE581A"/>
    <w:rsid w:val="00DE5FE5"/>
    <w:rsid w:val="00DE63D8"/>
    <w:rsid w:val="00DF264F"/>
    <w:rsid w:val="00DF461B"/>
    <w:rsid w:val="00E01051"/>
    <w:rsid w:val="00E0374D"/>
    <w:rsid w:val="00E03A0F"/>
    <w:rsid w:val="00E15AE5"/>
    <w:rsid w:val="00E24142"/>
    <w:rsid w:val="00E30B66"/>
    <w:rsid w:val="00E31BE7"/>
    <w:rsid w:val="00E327A4"/>
    <w:rsid w:val="00E332D1"/>
    <w:rsid w:val="00E34C5C"/>
    <w:rsid w:val="00E40D07"/>
    <w:rsid w:val="00E419AA"/>
    <w:rsid w:val="00E447EB"/>
    <w:rsid w:val="00E47CA6"/>
    <w:rsid w:val="00E5056D"/>
    <w:rsid w:val="00E51462"/>
    <w:rsid w:val="00E538A6"/>
    <w:rsid w:val="00E60B6E"/>
    <w:rsid w:val="00E62DCC"/>
    <w:rsid w:val="00E672AD"/>
    <w:rsid w:val="00E716BE"/>
    <w:rsid w:val="00E71B6C"/>
    <w:rsid w:val="00E75622"/>
    <w:rsid w:val="00E76FB5"/>
    <w:rsid w:val="00E77B74"/>
    <w:rsid w:val="00E93790"/>
    <w:rsid w:val="00EA09A7"/>
    <w:rsid w:val="00EA229F"/>
    <w:rsid w:val="00EA3920"/>
    <w:rsid w:val="00EA5253"/>
    <w:rsid w:val="00EB0E2F"/>
    <w:rsid w:val="00EB30B3"/>
    <w:rsid w:val="00EC3E64"/>
    <w:rsid w:val="00EC53CC"/>
    <w:rsid w:val="00ED2120"/>
    <w:rsid w:val="00ED379F"/>
    <w:rsid w:val="00ED51FD"/>
    <w:rsid w:val="00EE4397"/>
    <w:rsid w:val="00EE4B26"/>
    <w:rsid w:val="00EE50D3"/>
    <w:rsid w:val="00EE6FB0"/>
    <w:rsid w:val="00EE719A"/>
    <w:rsid w:val="00EF0CF7"/>
    <w:rsid w:val="00EF7979"/>
    <w:rsid w:val="00EF7D65"/>
    <w:rsid w:val="00F00817"/>
    <w:rsid w:val="00F028F2"/>
    <w:rsid w:val="00F0329F"/>
    <w:rsid w:val="00F03376"/>
    <w:rsid w:val="00F04F7E"/>
    <w:rsid w:val="00F06FCC"/>
    <w:rsid w:val="00F11682"/>
    <w:rsid w:val="00F1212C"/>
    <w:rsid w:val="00F17939"/>
    <w:rsid w:val="00F204F6"/>
    <w:rsid w:val="00F20CEE"/>
    <w:rsid w:val="00F25F0F"/>
    <w:rsid w:val="00F26781"/>
    <w:rsid w:val="00F30836"/>
    <w:rsid w:val="00F328B0"/>
    <w:rsid w:val="00F41873"/>
    <w:rsid w:val="00F43F38"/>
    <w:rsid w:val="00F445C9"/>
    <w:rsid w:val="00F500AB"/>
    <w:rsid w:val="00F5045C"/>
    <w:rsid w:val="00F57D6F"/>
    <w:rsid w:val="00F632F4"/>
    <w:rsid w:val="00F6341B"/>
    <w:rsid w:val="00F63B1A"/>
    <w:rsid w:val="00F65F78"/>
    <w:rsid w:val="00F664D2"/>
    <w:rsid w:val="00F753A8"/>
    <w:rsid w:val="00F75B64"/>
    <w:rsid w:val="00F7735B"/>
    <w:rsid w:val="00F80353"/>
    <w:rsid w:val="00F830A4"/>
    <w:rsid w:val="00F84FF3"/>
    <w:rsid w:val="00F866CF"/>
    <w:rsid w:val="00F9621A"/>
    <w:rsid w:val="00F9739D"/>
    <w:rsid w:val="00FA00EF"/>
    <w:rsid w:val="00FA422E"/>
    <w:rsid w:val="00FA4634"/>
    <w:rsid w:val="00FA65AC"/>
    <w:rsid w:val="00FA72B1"/>
    <w:rsid w:val="00FB2157"/>
    <w:rsid w:val="00FB26B3"/>
    <w:rsid w:val="00FB6602"/>
    <w:rsid w:val="00FB7965"/>
    <w:rsid w:val="00FC059C"/>
    <w:rsid w:val="00FC10F7"/>
    <w:rsid w:val="00FC27A9"/>
    <w:rsid w:val="00FC3C29"/>
    <w:rsid w:val="00FC47DC"/>
    <w:rsid w:val="00FC6A7B"/>
    <w:rsid w:val="00FD5C43"/>
    <w:rsid w:val="00FE2DEA"/>
    <w:rsid w:val="00FE2F16"/>
    <w:rsid w:val="00FE32E1"/>
    <w:rsid w:val="00FE51E1"/>
    <w:rsid w:val="00FF2D68"/>
    <w:rsid w:val="00FF7EB1"/>
    <w:rsid w:val="00FF7FA4"/>
    <w:rsid w:val="01347D0E"/>
    <w:rsid w:val="01B70781"/>
    <w:rsid w:val="01D6435E"/>
    <w:rsid w:val="02570A98"/>
    <w:rsid w:val="02E16A2A"/>
    <w:rsid w:val="03E32774"/>
    <w:rsid w:val="03F35047"/>
    <w:rsid w:val="03FB602B"/>
    <w:rsid w:val="04041D90"/>
    <w:rsid w:val="048D47A0"/>
    <w:rsid w:val="049B224E"/>
    <w:rsid w:val="04FD441B"/>
    <w:rsid w:val="05445C5D"/>
    <w:rsid w:val="05492CBC"/>
    <w:rsid w:val="05961F38"/>
    <w:rsid w:val="05E368F5"/>
    <w:rsid w:val="06B04642"/>
    <w:rsid w:val="06CC4EC3"/>
    <w:rsid w:val="072115B0"/>
    <w:rsid w:val="073162E1"/>
    <w:rsid w:val="075332AA"/>
    <w:rsid w:val="078C39B9"/>
    <w:rsid w:val="07AD60CB"/>
    <w:rsid w:val="085A6FA2"/>
    <w:rsid w:val="089D25F8"/>
    <w:rsid w:val="08AE04EF"/>
    <w:rsid w:val="08E8144C"/>
    <w:rsid w:val="09345662"/>
    <w:rsid w:val="09567C65"/>
    <w:rsid w:val="09773954"/>
    <w:rsid w:val="09833159"/>
    <w:rsid w:val="0ADE30B9"/>
    <w:rsid w:val="0B0565F1"/>
    <w:rsid w:val="0B68255C"/>
    <w:rsid w:val="0B9E1033"/>
    <w:rsid w:val="0C5C51E0"/>
    <w:rsid w:val="0C910F57"/>
    <w:rsid w:val="0CB50D4C"/>
    <w:rsid w:val="0CC10BBC"/>
    <w:rsid w:val="0D0E527D"/>
    <w:rsid w:val="0DF34EAD"/>
    <w:rsid w:val="0EA0191C"/>
    <w:rsid w:val="0EBC749F"/>
    <w:rsid w:val="0F041F1A"/>
    <w:rsid w:val="10640E2E"/>
    <w:rsid w:val="10A377D5"/>
    <w:rsid w:val="10FF6AA5"/>
    <w:rsid w:val="11805283"/>
    <w:rsid w:val="11F116CA"/>
    <w:rsid w:val="1221188F"/>
    <w:rsid w:val="123414A5"/>
    <w:rsid w:val="12DE1CFB"/>
    <w:rsid w:val="12EC75E1"/>
    <w:rsid w:val="132A7E3C"/>
    <w:rsid w:val="13A01757"/>
    <w:rsid w:val="13C92003"/>
    <w:rsid w:val="13FC55CE"/>
    <w:rsid w:val="14794683"/>
    <w:rsid w:val="160B4BB4"/>
    <w:rsid w:val="16362AEA"/>
    <w:rsid w:val="1749010B"/>
    <w:rsid w:val="178C38B6"/>
    <w:rsid w:val="18F02C4C"/>
    <w:rsid w:val="18F279EF"/>
    <w:rsid w:val="19956D4A"/>
    <w:rsid w:val="19F30302"/>
    <w:rsid w:val="19F666FE"/>
    <w:rsid w:val="1A0A1734"/>
    <w:rsid w:val="1B667DD7"/>
    <w:rsid w:val="1BF9641B"/>
    <w:rsid w:val="1CC4307B"/>
    <w:rsid w:val="1CC774B7"/>
    <w:rsid w:val="1D14566E"/>
    <w:rsid w:val="1D340D41"/>
    <w:rsid w:val="1D5005E9"/>
    <w:rsid w:val="1DFB3F2D"/>
    <w:rsid w:val="1EBD1FE3"/>
    <w:rsid w:val="1FC861F1"/>
    <w:rsid w:val="20806F5C"/>
    <w:rsid w:val="20E83727"/>
    <w:rsid w:val="211F7BFF"/>
    <w:rsid w:val="21253F77"/>
    <w:rsid w:val="217D068E"/>
    <w:rsid w:val="21CB3359"/>
    <w:rsid w:val="22887B25"/>
    <w:rsid w:val="22C51FFF"/>
    <w:rsid w:val="22F6667F"/>
    <w:rsid w:val="237D3945"/>
    <w:rsid w:val="23A54955"/>
    <w:rsid w:val="243F0AC6"/>
    <w:rsid w:val="24CE6C5C"/>
    <w:rsid w:val="25B61627"/>
    <w:rsid w:val="27324F50"/>
    <w:rsid w:val="2831019F"/>
    <w:rsid w:val="283C6975"/>
    <w:rsid w:val="28910EB6"/>
    <w:rsid w:val="28B047AE"/>
    <w:rsid w:val="28BC0202"/>
    <w:rsid w:val="28DF7E14"/>
    <w:rsid w:val="29623C70"/>
    <w:rsid w:val="2B155392"/>
    <w:rsid w:val="2BCE3503"/>
    <w:rsid w:val="2CC84522"/>
    <w:rsid w:val="2CFF2B24"/>
    <w:rsid w:val="2D48003E"/>
    <w:rsid w:val="2D6964D2"/>
    <w:rsid w:val="2DA90579"/>
    <w:rsid w:val="2EC676CF"/>
    <w:rsid w:val="2EDD7372"/>
    <w:rsid w:val="2EF74F80"/>
    <w:rsid w:val="2F31541F"/>
    <w:rsid w:val="2F507109"/>
    <w:rsid w:val="2F5D4717"/>
    <w:rsid w:val="2F764193"/>
    <w:rsid w:val="2FE86433"/>
    <w:rsid w:val="30053297"/>
    <w:rsid w:val="302A064E"/>
    <w:rsid w:val="30371C05"/>
    <w:rsid w:val="3161334F"/>
    <w:rsid w:val="31710E0D"/>
    <w:rsid w:val="31724863"/>
    <w:rsid w:val="317446FC"/>
    <w:rsid w:val="323563A8"/>
    <w:rsid w:val="32621DC4"/>
    <w:rsid w:val="32671AE1"/>
    <w:rsid w:val="327A6F61"/>
    <w:rsid w:val="3289477C"/>
    <w:rsid w:val="32A217D1"/>
    <w:rsid w:val="333C57C2"/>
    <w:rsid w:val="33D849E0"/>
    <w:rsid w:val="344D3492"/>
    <w:rsid w:val="34E547EB"/>
    <w:rsid w:val="350E13AE"/>
    <w:rsid w:val="362A515C"/>
    <w:rsid w:val="36CC0A17"/>
    <w:rsid w:val="36E5743E"/>
    <w:rsid w:val="378A3AB9"/>
    <w:rsid w:val="38065CEA"/>
    <w:rsid w:val="380B316E"/>
    <w:rsid w:val="381313B7"/>
    <w:rsid w:val="38453BFA"/>
    <w:rsid w:val="386B50FD"/>
    <w:rsid w:val="388D482C"/>
    <w:rsid w:val="39104417"/>
    <w:rsid w:val="393731E4"/>
    <w:rsid w:val="39525E24"/>
    <w:rsid w:val="396F0940"/>
    <w:rsid w:val="39A5172D"/>
    <w:rsid w:val="39A623FB"/>
    <w:rsid w:val="3B076823"/>
    <w:rsid w:val="3B28777B"/>
    <w:rsid w:val="3B834610"/>
    <w:rsid w:val="3BF11350"/>
    <w:rsid w:val="3C087913"/>
    <w:rsid w:val="3C19518C"/>
    <w:rsid w:val="3C73427A"/>
    <w:rsid w:val="3CB063E4"/>
    <w:rsid w:val="3D2422ED"/>
    <w:rsid w:val="3D30652C"/>
    <w:rsid w:val="3D5177DF"/>
    <w:rsid w:val="3D701B50"/>
    <w:rsid w:val="3D86048D"/>
    <w:rsid w:val="3D9E5A13"/>
    <w:rsid w:val="3DB238C9"/>
    <w:rsid w:val="3DD902BB"/>
    <w:rsid w:val="3DDF10DC"/>
    <w:rsid w:val="3DFB359A"/>
    <w:rsid w:val="3E1C7838"/>
    <w:rsid w:val="3EB4038E"/>
    <w:rsid w:val="3EEE78A8"/>
    <w:rsid w:val="3F1A4A84"/>
    <w:rsid w:val="3F1D0F31"/>
    <w:rsid w:val="3F436A07"/>
    <w:rsid w:val="3FEF3E23"/>
    <w:rsid w:val="40360275"/>
    <w:rsid w:val="40E95B22"/>
    <w:rsid w:val="40EC43AD"/>
    <w:rsid w:val="41705F58"/>
    <w:rsid w:val="41D306BF"/>
    <w:rsid w:val="41F03593"/>
    <w:rsid w:val="41F07679"/>
    <w:rsid w:val="421119E4"/>
    <w:rsid w:val="423960C4"/>
    <w:rsid w:val="427160F6"/>
    <w:rsid w:val="429C408E"/>
    <w:rsid w:val="43CE2196"/>
    <w:rsid w:val="43D97CE2"/>
    <w:rsid w:val="441E4E19"/>
    <w:rsid w:val="445F3751"/>
    <w:rsid w:val="44CD240B"/>
    <w:rsid w:val="457E5E50"/>
    <w:rsid w:val="45806AD1"/>
    <w:rsid w:val="46011C8F"/>
    <w:rsid w:val="4615139F"/>
    <w:rsid w:val="46E671D0"/>
    <w:rsid w:val="484B4EBD"/>
    <w:rsid w:val="48702E97"/>
    <w:rsid w:val="491D4898"/>
    <w:rsid w:val="49243C70"/>
    <w:rsid w:val="49702588"/>
    <w:rsid w:val="49D44259"/>
    <w:rsid w:val="49D954BE"/>
    <w:rsid w:val="4A25030B"/>
    <w:rsid w:val="4A251C15"/>
    <w:rsid w:val="4A5C518C"/>
    <w:rsid w:val="4A6766C8"/>
    <w:rsid w:val="4A782D09"/>
    <w:rsid w:val="4A991121"/>
    <w:rsid w:val="4B0774EC"/>
    <w:rsid w:val="4B4F5EBE"/>
    <w:rsid w:val="4BA97D70"/>
    <w:rsid w:val="4C1C68C6"/>
    <w:rsid w:val="4C323F0B"/>
    <w:rsid w:val="4D325622"/>
    <w:rsid w:val="4D431F59"/>
    <w:rsid w:val="4DC76E04"/>
    <w:rsid w:val="4E2D292B"/>
    <w:rsid w:val="4E754DD6"/>
    <w:rsid w:val="4E9E3BD7"/>
    <w:rsid w:val="4EB61F67"/>
    <w:rsid w:val="4F1546C3"/>
    <w:rsid w:val="4F2361B9"/>
    <w:rsid w:val="50035424"/>
    <w:rsid w:val="508353B6"/>
    <w:rsid w:val="50FD432B"/>
    <w:rsid w:val="51280A72"/>
    <w:rsid w:val="521D70F2"/>
    <w:rsid w:val="527A08DA"/>
    <w:rsid w:val="52846CBE"/>
    <w:rsid w:val="52965681"/>
    <w:rsid w:val="52D87B72"/>
    <w:rsid w:val="53F7171D"/>
    <w:rsid w:val="54100764"/>
    <w:rsid w:val="5410444D"/>
    <w:rsid w:val="54B3026F"/>
    <w:rsid w:val="54DF0B16"/>
    <w:rsid w:val="56E54EFD"/>
    <w:rsid w:val="57995A6E"/>
    <w:rsid w:val="57A14C76"/>
    <w:rsid w:val="587C5E28"/>
    <w:rsid w:val="58E91A97"/>
    <w:rsid w:val="595B796E"/>
    <w:rsid w:val="59E87074"/>
    <w:rsid w:val="5B4A6EE2"/>
    <w:rsid w:val="5BBC6568"/>
    <w:rsid w:val="5C187E86"/>
    <w:rsid w:val="5C37032B"/>
    <w:rsid w:val="5CA30CFB"/>
    <w:rsid w:val="5CC913D9"/>
    <w:rsid w:val="5E14644D"/>
    <w:rsid w:val="5ED169B4"/>
    <w:rsid w:val="5F0F5589"/>
    <w:rsid w:val="605F1EC0"/>
    <w:rsid w:val="60894948"/>
    <w:rsid w:val="608D29F9"/>
    <w:rsid w:val="60A51A50"/>
    <w:rsid w:val="60E450B7"/>
    <w:rsid w:val="61952949"/>
    <w:rsid w:val="619F2A95"/>
    <w:rsid w:val="627B1593"/>
    <w:rsid w:val="630146F9"/>
    <w:rsid w:val="635A16ED"/>
    <w:rsid w:val="650F0FD7"/>
    <w:rsid w:val="65255465"/>
    <w:rsid w:val="66362EEF"/>
    <w:rsid w:val="66612D23"/>
    <w:rsid w:val="67053027"/>
    <w:rsid w:val="671B4B6F"/>
    <w:rsid w:val="675347C2"/>
    <w:rsid w:val="67E43021"/>
    <w:rsid w:val="680D1DBE"/>
    <w:rsid w:val="681906B6"/>
    <w:rsid w:val="682310E0"/>
    <w:rsid w:val="68FC79BC"/>
    <w:rsid w:val="69253724"/>
    <w:rsid w:val="69BB23C3"/>
    <w:rsid w:val="69BD5105"/>
    <w:rsid w:val="6A1C5122"/>
    <w:rsid w:val="6A350889"/>
    <w:rsid w:val="6A793762"/>
    <w:rsid w:val="6AA20776"/>
    <w:rsid w:val="6B3E2B8C"/>
    <w:rsid w:val="6B3F0377"/>
    <w:rsid w:val="6B7B57AB"/>
    <w:rsid w:val="6B85580C"/>
    <w:rsid w:val="6B952426"/>
    <w:rsid w:val="6D577C28"/>
    <w:rsid w:val="6DA0125E"/>
    <w:rsid w:val="6DC2013A"/>
    <w:rsid w:val="6DFA2D23"/>
    <w:rsid w:val="6E511C3E"/>
    <w:rsid w:val="6F2449AA"/>
    <w:rsid w:val="6F3626B4"/>
    <w:rsid w:val="6F845FCD"/>
    <w:rsid w:val="6F8E2DF1"/>
    <w:rsid w:val="6FD300CD"/>
    <w:rsid w:val="70917CAC"/>
    <w:rsid w:val="70AC43B1"/>
    <w:rsid w:val="717F2608"/>
    <w:rsid w:val="71C748BA"/>
    <w:rsid w:val="72931766"/>
    <w:rsid w:val="72B83B53"/>
    <w:rsid w:val="739D304D"/>
    <w:rsid w:val="73BF0659"/>
    <w:rsid w:val="73CE1C13"/>
    <w:rsid w:val="73D916F5"/>
    <w:rsid w:val="73E714E1"/>
    <w:rsid w:val="74112719"/>
    <w:rsid w:val="744E0627"/>
    <w:rsid w:val="748A4875"/>
    <w:rsid w:val="7519079F"/>
    <w:rsid w:val="751F5043"/>
    <w:rsid w:val="75513BCD"/>
    <w:rsid w:val="75AB1320"/>
    <w:rsid w:val="75BA5122"/>
    <w:rsid w:val="761A53B8"/>
    <w:rsid w:val="76426500"/>
    <w:rsid w:val="76635E9F"/>
    <w:rsid w:val="77FE266E"/>
    <w:rsid w:val="7867473E"/>
    <w:rsid w:val="795D36D9"/>
    <w:rsid w:val="79817B3A"/>
    <w:rsid w:val="79B307D8"/>
    <w:rsid w:val="79E12F26"/>
    <w:rsid w:val="7A08617F"/>
    <w:rsid w:val="7A4A4D66"/>
    <w:rsid w:val="7B6525F2"/>
    <w:rsid w:val="7BDB630D"/>
    <w:rsid w:val="7BE2362F"/>
    <w:rsid w:val="7D86450A"/>
    <w:rsid w:val="7DD452EA"/>
    <w:rsid w:val="7E09384B"/>
    <w:rsid w:val="7E6A3021"/>
    <w:rsid w:val="7E6E5A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nhideWhenUsed="0" w:uiPriority="0" w:semiHidden="0"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nhideWhenUsed="0" w:uiPriority="0" w:semiHidden="0" w:name="toa heading"/>
    <w:lsdException w:uiPriority="99" w:name="List"/>
    <w:lsdException w:uiPriority="99" w:name="List Bullet"/>
    <w:lsdException w:uiPriority="99" w:name="List Number"/>
    <w:lsdException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iPriority="99" w:name="List Bullet 5"/>
    <w:lsdException w:unhideWhenUsed="0" w:uiPriority="0" w:semiHidden="0" w:name="List Number 2"/>
    <w:lsdException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iPriority="99"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4">
    <w:name w:val="heading 1"/>
    <w:basedOn w:val="1"/>
    <w:next w:val="1"/>
    <w:qFormat/>
    <w:uiPriority w:val="0"/>
    <w:pPr>
      <w:keepNext/>
      <w:tabs>
        <w:tab w:val="left" w:pos="3360"/>
      </w:tabs>
      <w:snapToGrid w:val="0"/>
      <w:spacing w:beforeLines="100" w:afterLines="50" w:line="800" w:lineRule="atLeast"/>
      <w:jc w:val="center"/>
      <w:outlineLvl w:val="0"/>
    </w:pPr>
    <w:rPr>
      <w:rFonts w:eastAsia="黑体"/>
      <w:sz w:val="44"/>
    </w:rPr>
  </w:style>
  <w:style w:type="paragraph" w:styleId="5">
    <w:name w:val="heading 2"/>
    <w:basedOn w:val="1"/>
    <w:next w:val="1"/>
    <w:link w:val="89"/>
    <w:qFormat/>
    <w:uiPriority w:val="0"/>
    <w:pPr>
      <w:keepNext/>
      <w:keepLines/>
      <w:adjustRightInd w:val="0"/>
      <w:snapToGrid w:val="0"/>
      <w:spacing w:line="360" w:lineRule="auto"/>
      <w:outlineLvl w:val="1"/>
    </w:pPr>
    <w:rPr>
      <w:rFonts w:ascii="宋体" w:hAnsi="宋体"/>
    </w:rPr>
  </w:style>
  <w:style w:type="paragraph" w:styleId="6">
    <w:name w:val="heading 3"/>
    <w:basedOn w:val="1"/>
    <w:next w:val="1"/>
    <w:qFormat/>
    <w:uiPriority w:val="0"/>
    <w:pPr>
      <w:keepNext/>
      <w:keepLines/>
      <w:spacing w:before="260" w:after="260" w:line="413" w:lineRule="auto"/>
      <w:jc w:val="center"/>
      <w:outlineLvl w:val="2"/>
    </w:pPr>
    <w:rPr>
      <w:b/>
      <w:sz w:val="44"/>
    </w:rPr>
  </w:style>
  <w:style w:type="paragraph" w:styleId="7">
    <w:name w:val="heading 4"/>
    <w:basedOn w:val="1"/>
    <w:next w:val="1"/>
    <w:qFormat/>
    <w:uiPriority w:val="0"/>
    <w:pPr>
      <w:keepNext/>
      <w:keepLines/>
      <w:numPr>
        <w:ilvl w:val="0"/>
        <w:numId w:val="1"/>
      </w:numPr>
      <w:spacing w:before="560" w:after="290" w:line="377" w:lineRule="auto"/>
      <w:outlineLvl w:val="3"/>
    </w:pPr>
    <w:rPr>
      <w:rFonts w:ascii="Arial" w:hAnsi="Arial" w:eastAsia="黑体"/>
      <w:b/>
    </w:rPr>
  </w:style>
  <w:style w:type="paragraph" w:styleId="8">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9">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10">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11">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2">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2">
    <w:name w:val="Default Paragraph Font"/>
    <w:uiPriority w:val="0"/>
  </w:style>
  <w:style w:type="table" w:default="1" w:styleId="60">
    <w:name w:val="Normal Table"/>
    <w:unhideWhenUsed/>
    <w:qFormat/>
    <w:uiPriority w:val="99"/>
    <w:tblPr>
      <w:tblLayout w:type="fixed"/>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1"/>
      </w:numPr>
      <w:spacing w:before="280" w:after="156" w:line="377" w:lineRule="auto"/>
      <w:outlineLvl w:val="4"/>
    </w:pPr>
    <w:rPr>
      <w:rFonts w:ascii="Arial" w:hAnsi="Arial" w:eastAsia="黑体"/>
      <w:b/>
      <w:kern w:val="0"/>
      <w:szCs w:val="28"/>
    </w:rPr>
  </w:style>
  <w:style w:type="paragraph" w:customStyle="1" w:styleId="3">
    <w:name w:val="正文（绿盟科技）"/>
    <w:qFormat/>
    <w:uiPriority w:val="0"/>
    <w:pPr>
      <w:spacing w:line="300" w:lineRule="auto"/>
    </w:pPr>
    <w:rPr>
      <w:rFonts w:ascii="Arial" w:hAnsi="Arial" w:eastAsia="宋体" w:cs="Times New Roman"/>
      <w:sz w:val="21"/>
      <w:szCs w:val="21"/>
      <w:lang w:val="en-US" w:eastAsia="zh-CN" w:bidi="ar-SA"/>
    </w:rPr>
  </w:style>
  <w:style w:type="paragraph" w:styleId="13">
    <w:name w:val="List 3"/>
    <w:basedOn w:val="1"/>
    <w:qFormat/>
    <w:uiPriority w:val="0"/>
    <w:pPr>
      <w:adjustRightInd w:val="0"/>
      <w:snapToGrid w:val="0"/>
      <w:spacing w:line="360" w:lineRule="auto"/>
      <w:ind w:left="100" w:leftChars="400" w:hanging="200" w:hangingChars="200"/>
    </w:pPr>
    <w:rPr>
      <w:sz w:val="24"/>
    </w:rPr>
  </w:style>
  <w:style w:type="paragraph" w:styleId="14">
    <w:name w:val="toc 7"/>
    <w:basedOn w:val="1"/>
    <w:next w:val="1"/>
    <w:uiPriority w:val="0"/>
    <w:pPr>
      <w:ind w:left="2520" w:leftChars="1200"/>
    </w:pPr>
  </w:style>
  <w:style w:type="paragraph" w:styleId="15">
    <w:name w:val="List Number 2"/>
    <w:basedOn w:val="1"/>
    <w:uiPriority w:val="0"/>
    <w:pPr>
      <w:numPr>
        <w:ilvl w:val="0"/>
        <w:numId w:val="2"/>
      </w:numPr>
      <w:spacing w:line="360" w:lineRule="auto"/>
    </w:pPr>
    <w:rPr>
      <w:sz w:val="24"/>
    </w:rPr>
  </w:style>
  <w:style w:type="paragraph" w:styleId="16">
    <w:name w:val="List Bullet 4"/>
    <w:basedOn w:val="1"/>
    <w:uiPriority w:val="0"/>
    <w:pPr>
      <w:widowControl/>
      <w:numPr>
        <w:ilvl w:val="0"/>
        <w:numId w:val="3"/>
      </w:numPr>
      <w:tabs>
        <w:tab w:val="left" w:pos="1134"/>
        <w:tab w:val="clear" w:pos="1620"/>
      </w:tabs>
      <w:adjustRightInd w:val="0"/>
      <w:snapToGrid w:val="0"/>
      <w:spacing w:before="120" w:line="280" w:lineRule="atLeast"/>
      <w:ind w:left="1418" w:hanging="284"/>
      <w:jc w:val="left"/>
    </w:pPr>
    <w:rPr>
      <w:rFonts w:ascii="宋体"/>
      <w:kern w:val="0"/>
      <w:sz w:val="22"/>
    </w:rPr>
  </w:style>
  <w:style w:type="paragraph" w:styleId="17">
    <w:name w:val="Normal Indent"/>
    <w:basedOn w:val="1"/>
    <w:uiPriority w:val="0"/>
    <w:pPr>
      <w:adjustRightInd w:val="0"/>
      <w:snapToGrid w:val="0"/>
      <w:spacing w:line="360" w:lineRule="auto"/>
      <w:ind w:firstLine="420"/>
    </w:pPr>
    <w:rPr>
      <w:sz w:val="24"/>
    </w:rPr>
  </w:style>
  <w:style w:type="paragraph" w:styleId="18">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9">
    <w:name w:val="Document Map"/>
    <w:basedOn w:val="1"/>
    <w:uiPriority w:val="0"/>
    <w:pPr>
      <w:shd w:val="clear" w:color="auto" w:fill="000080"/>
    </w:pPr>
  </w:style>
  <w:style w:type="paragraph" w:styleId="20">
    <w:name w:val="toa heading"/>
    <w:basedOn w:val="1"/>
    <w:next w:val="1"/>
    <w:uiPriority w:val="0"/>
    <w:pPr>
      <w:spacing w:before="120"/>
    </w:pPr>
    <w:rPr>
      <w:rFonts w:ascii="Arial" w:hAnsi="Arial"/>
      <w:sz w:val="24"/>
    </w:rPr>
  </w:style>
  <w:style w:type="paragraph" w:styleId="21">
    <w:name w:val="annotation text"/>
    <w:basedOn w:val="1"/>
    <w:uiPriority w:val="0"/>
    <w:pPr>
      <w:widowControl/>
      <w:tabs>
        <w:tab w:val="left" w:pos="1134"/>
      </w:tabs>
      <w:adjustRightInd w:val="0"/>
      <w:snapToGrid w:val="0"/>
      <w:spacing w:line="280" w:lineRule="atLeast"/>
      <w:jc w:val="left"/>
    </w:pPr>
    <w:rPr>
      <w:rFonts w:eastAsia="PMingLiU"/>
      <w:kern w:val="0"/>
      <w:sz w:val="24"/>
      <w:lang w:eastAsia="zh-TW"/>
    </w:rPr>
  </w:style>
  <w:style w:type="paragraph" w:styleId="22">
    <w:name w:val="Body Text 3"/>
    <w:basedOn w:val="1"/>
    <w:qFormat/>
    <w:uiPriority w:val="0"/>
    <w:pPr>
      <w:adjustRightInd w:val="0"/>
      <w:snapToGrid w:val="0"/>
      <w:spacing w:after="120" w:line="360" w:lineRule="auto"/>
    </w:pPr>
    <w:rPr>
      <w:sz w:val="16"/>
    </w:rPr>
  </w:style>
  <w:style w:type="paragraph" w:styleId="23">
    <w:name w:val="List Bullet 3"/>
    <w:basedOn w:val="1"/>
    <w:uiPriority w:val="0"/>
    <w:pPr>
      <w:numPr>
        <w:ilvl w:val="0"/>
        <w:numId w:val="4"/>
      </w:numPr>
      <w:adjustRightInd w:val="0"/>
      <w:snapToGrid w:val="0"/>
      <w:spacing w:line="360" w:lineRule="auto"/>
    </w:pPr>
    <w:rPr>
      <w:sz w:val="24"/>
    </w:rPr>
  </w:style>
  <w:style w:type="paragraph" w:styleId="24">
    <w:name w:val="Body Text"/>
    <w:basedOn w:val="1"/>
    <w:uiPriority w:val="0"/>
    <w:rPr>
      <w:rFonts w:ascii="仿宋_GB2312" w:eastAsia="仿宋_GB2312"/>
      <w:sz w:val="32"/>
    </w:rPr>
  </w:style>
  <w:style w:type="paragraph" w:styleId="25">
    <w:name w:val="Body Text Indent"/>
    <w:basedOn w:val="1"/>
    <w:uiPriority w:val="0"/>
    <w:pPr>
      <w:spacing w:line="700" w:lineRule="exact"/>
      <w:ind w:left="960"/>
    </w:pPr>
    <w:rPr>
      <w:sz w:val="44"/>
    </w:rPr>
  </w:style>
  <w:style w:type="paragraph" w:styleId="26">
    <w:name w:val="List Number 3"/>
    <w:basedOn w:val="1"/>
    <w:uiPriority w:val="0"/>
    <w:pPr>
      <w:tabs>
        <w:tab w:val="left" w:pos="2120"/>
      </w:tabs>
      <w:adjustRightInd w:val="0"/>
      <w:snapToGrid w:val="0"/>
      <w:spacing w:line="360" w:lineRule="auto"/>
      <w:ind w:left="2120" w:hanging="720"/>
    </w:pPr>
    <w:rPr>
      <w:sz w:val="24"/>
    </w:rPr>
  </w:style>
  <w:style w:type="paragraph" w:styleId="27">
    <w:name w:val="List 2"/>
    <w:basedOn w:val="1"/>
    <w:uiPriority w:val="0"/>
    <w:pPr>
      <w:adjustRightInd w:val="0"/>
      <w:snapToGrid w:val="0"/>
      <w:spacing w:line="360" w:lineRule="auto"/>
      <w:ind w:left="100" w:leftChars="200" w:hanging="200" w:hangingChars="200"/>
    </w:pPr>
    <w:rPr>
      <w:sz w:val="24"/>
    </w:rPr>
  </w:style>
  <w:style w:type="paragraph" w:styleId="28">
    <w:name w:val="List Continue"/>
    <w:basedOn w:val="1"/>
    <w:uiPriority w:val="0"/>
    <w:pPr>
      <w:adjustRightInd w:val="0"/>
      <w:snapToGrid w:val="0"/>
      <w:spacing w:after="120" w:line="360" w:lineRule="auto"/>
      <w:ind w:left="420" w:leftChars="200"/>
    </w:pPr>
    <w:rPr>
      <w:sz w:val="24"/>
    </w:rPr>
  </w:style>
  <w:style w:type="paragraph" w:styleId="29">
    <w:name w:val="List Bullet 2"/>
    <w:basedOn w:val="1"/>
    <w:uiPriority w:val="0"/>
    <w:pPr>
      <w:numPr>
        <w:ilvl w:val="0"/>
        <w:numId w:val="5"/>
      </w:numPr>
      <w:adjustRightInd w:val="0"/>
      <w:snapToGrid w:val="0"/>
      <w:spacing w:line="360" w:lineRule="auto"/>
    </w:pPr>
    <w:rPr>
      <w:sz w:val="24"/>
    </w:rPr>
  </w:style>
  <w:style w:type="paragraph" w:styleId="30">
    <w:name w:val="toc 5"/>
    <w:basedOn w:val="1"/>
    <w:next w:val="1"/>
    <w:uiPriority w:val="0"/>
    <w:pPr>
      <w:ind w:left="1680" w:leftChars="800"/>
    </w:pPr>
  </w:style>
  <w:style w:type="paragraph" w:styleId="31">
    <w:name w:val="toc 3"/>
    <w:basedOn w:val="1"/>
    <w:next w:val="1"/>
    <w:uiPriority w:val="0"/>
    <w:pPr>
      <w:ind w:left="840" w:leftChars="400"/>
    </w:pPr>
  </w:style>
  <w:style w:type="paragraph" w:styleId="32">
    <w:name w:val="Plain Text"/>
    <w:basedOn w:val="1"/>
    <w:uiPriority w:val="0"/>
    <w:pPr>
      <w:adjustRightInd w:val="0"/>
      <w:snapToGrid w:val="0"/>
      <w:spacing w:line="360" w:lineRule="auto"/>
    </w:pPr>
    <w:rPr>
      <w:rFonts w:ascii="宋体" w:hAnsi="Courier New"/>
      <w:sz w:val="21"/>
    </w:rPr>
  </w:style>
  <w:style w:type="paragraph" w:styleId="33">
    <w:name w:val="toc 8"/>
    <w:basedOn w:val="1"/>
    <w:next w:val="1"/>
    <w:uiPriority w:val="0"/>
    <w:pPr>
      <w:ind w:left="2940" w:leftChars="1400"/>
    </w:pPr>
  </w:style>
  <w:style w:type="paragraph" w:styleId="34">
    <w:name w:val="Date"/>
    <w:basedOn w:val="1"/>
    <w:next w:val="1"/>
    <w:link w:val="88"/>
    <w:uiPriority w:val="0"/>
  </w:style>
  <w:style w:type="paragraph" w:styleId="35">
    <w:name w:val="Body Text Indent 2"/>
    <w:basedOn w:val="1"/>
    <w:uiPriority w:val="0"/>
    <w:pPr>
      <w:snapToGrid w:val="0"/>
      <w:spacing w:line="440" w:lineRule="atLeast"/>
      <w:ind w:firstLine="570"/>
    </w:pPr>
    <w:rPr>
      <w:rFonts w:ascii="宋体"/>
    </w:rPr>
  </w:style>
  <w:style w:type="paragraph" w:styleId="36">
    <w:name w:val="Balloon Text"/>
    <w:basedOn w:val="1"/>
    <w:uiPriority w:val="0"/>
    <w:rPr>
      <w:sz w:val="18"/>
    </w:rPr>
  </w:style>
  <w:style w:type="paragraph" w:styleId="37">
    <w:name w:val="footer"/>
    <w:basedOn w:val="1"/>
    <w:uiPriority w:val="0"/>
    <w:pPr>
      <w:tabs>
        <w:tab w:val="center" w:pos="4153"/>
        <w:tab w:val="right" w:pos="8306"/>
      </w:tabs>
      <w:snapToGrid w:val="0"/>
      <w:jc w:val="left"/>
    </w:pPr>
    <w:rPr>
      <w:sz w:val="18"/>
    </w:rPr>
  </w:style>
  <w:style w:type="paragraph" w:styleId="38">
    <w:name w:val="header"/>
    <w:basedOn w:val="1"/>
    <w:uiPriority w:val="0"/>
    <w:pPr>
      <w:pBdr>
        <w:bottom w:val="single" w:color="auto" w:sz="6" w:space="1"/>
      </w:pBdr>
      <w:tabs>
        <w:tab w:val="center" w:pos="4153"/>
        <w:tab w:val="right" w:pos="8306"/>
      </w:tabs>
      <w:snapToGrid w:val="0"/>
      <w:jc w:val="center"/>
    </w:pPr>
    <w:rPr>
      <w:sz w:val="18"/>
    </w:rPr>
  </w:style>
  <w:style w:type="paragraph" w:styleId="39">
    <w:name w:val="toc 1"/>
    <w:basedOn w:val="1"/>
    <w:next w:val="1"/>
    <w:uiPriority w:val="39"/>
    <w:pPr>
      <w:tabs>
        <w:tab w:val="left" w:pos="1260"/>
        <w:tab w:val="left" w:pos="1685"/>
        <w:tab w:val="right" w:leader="dot" w:pos="8400"/>
      </w:tabs>
      <w:spacing w:line="320" w:lineRule="exact"/>
      <w:ind w:firstLine="280" w:firstLineChars="100"/>
    </w:pPr>
    <w:rPr>
      <w:lang w:val="en-US" w:eastAsia="zh-CN"/>
    </w:rPr>
  </w:style>
  <w:style w:type="paragraph" w:styleId="40">
    <w:name w:val="List Continue 4"/>
    <w:basedOn w:val="1"/>
    <w:uiPriority w:val="0"/>
    <w:pPr>
      <w:adjustRightInd w:val="0"/>
      <w:snapToGrid w:val="0"/>
      <w:spacing w:after="120" w:line="360" w:lineRule="auto"/>
      <w:ind w:left="1680" w:leftChars="800"/>
    </w:pPr>
    <w:rPr>
      <w:sz w:val="24"/>
    </w:rPr>
  </w:style>
  <w:style w:type="paragraph" w:styleId="41">
    <w:name w:val="toc 4"/>
    <w:basedOn w:val="1"/>
    <w:next w:val="1"/>
    <w:uiPriority w:val="0"/>
    <w:pPr>
      <w:ind w:left="1260" w:leftChars="600"/>
    </w:pPr>
  </w:style>
  <w:style w:type="paragraph" w:styleId="42">
    <w:name w:val="footnote text"/>
    <w:basedOn w:val="1"/>
    <w:qFormat/>
    <w:uiPriority w:val="0"/>
    <w:pPr>
      <w:spacing w:line="360" w:lineRule="auto"/>
    </w:pPr>
    <w:rPr>
      <w:sz w:val="18"/>
    </w:rPr>
  </w:style>
  <w:style w:type="paragraph" w:styleId="43">
    <w:name w:val="toc 6"/>
    <w:basedOn w:val="1"/>
    <w:next w:val="1"/>
    <w:qFormat/>
    <w:uiPriority w:val="0"/>
    <w:pPr>
      <w:ind w:left="2100" w:leftChars="1000"/>
    </w:pPr>
  </w:style>
  <w:style w:type="paragraph" w:styleId="44">
    <w:name w:val="List 5"/>
    <w:basedOn w:val="1"/>
    <w:qFormat/>
    <w:uiPriority w:val="0"/>
    <w:pPr>
      <w:adjustRightInd w:val="0"/>
      <w:snapToGrid w:val="0"/>
      <w:spacing w:line="360" w:lineRule="auto"/>
      <w:ind w:left="100" w:leftChars="800" w:hanging="200" w:hangingChars="200"/>
    </w:pPr>
    <w:rPr>
      <w:sz w:val="24"/>
    </w:rPr>
  </w:style>
  <w:style w:type="paragraph" w:styleId="45">
    <w:name w:val="Body Text Indent 3"/>
    <w:basedOn w:val="1"/>
    <w:qFormat/>
    <w:uiPriority w:val="0"/>
    <w:pPr>
      <w:spacing w:line="360" w:lineRule="auto"/>
      <w:ind w:firstLine="632"/>
    </w:pPr>
    <w:rPr>
      <w:rFonts w:ascii="黑体" w:eastAsia="黑体"/>
    </w:rPr>
  </w:style>
  <w:style w:type="paragraph" w:styleId="46">
    <w:name w:val="table of figures"/>
    <w:basedOn w:val="1"/>
    <w:next w:val="1"/>
    <w:qFormat/>
    <w:uiPriority w:val="0"/>
    <w:pPr>
      <w:tabs>
        <w:tab w:val="right" w:leader="dot" w:pos="8640"/>
      </w:tabs>
      <w:spacing w:line="360" w:lineRule="auto"/>
      <w:ind w:left="400" w:hanging="400"/>
    </w:pPr>
    <w:rPr>
      <w:sz w:val="24"/>
    </w:rPr>
  </w:style>
  <w:style w:type="paragraph" w:styleId="47">
    <w:name w:val="toc 2"/>
    <w:basedOn w:val="1"/>
    <w:next w:val="1"/>
    <w:qFormat/>
    <w:uiPriority w:val="39"/>
    <w:pPr>
      <w:tabs>
        <w:tab w:val="right" w:leader="dot" w:pos="8400"/>
      </w:tabs>
      <w:spacing w:line="440" w:lineRule="exact"/>
      <w:ind w:left="280" w:leftChars="100" w:rightChars="-91"/>
    </w:pPr>
  </w:style>
  <w:style w:type="paragraph" w:styleId="48">
    <w:name w:val="toc 9"/>
    <w:basedOn w:val="1"/>
    <w:next w:val="1"/>
    <w:qFormat/>
    <w:uiPriority w:val="0"/>
    <w:pPr>
      <w:ind w:left="3360" w:leftChars="1600"/>
    </w:pPr>
  </w:style>
  <w:style w:type="paragraph" w:styleId="49">
    <w:name w:val="Body Text 2"/>
    <w:basedOn w:val="1"/>
    <w:qFormat/>
    <w:uiPriority w:val="0"/>
    <w:pPr>
      <w:adjustRightInd w:val="0"/>
      <w:snapToGrid w:val="0"/>
      <w:spacing w:after="120" w:line="480" w:lineRule="auto"/>
    </w:pPr>
    <w:rPr>
      <w:sz w:val="24"/>
    </w:rPr>
  </w:style>
  <w:style w:type="paragraph" w:styleId="50">
    <w:name w:val="List 4"/>
    <w:basedOn w:val="1"/>
    <w:qFormat/>
    <w:uiPriority w:val="0"/>
    <w:pPr>
      <w:adjustRightInd w:val="0"/>
      <w:snapToGrid w:val="0"/>
      <w:spacing w:line="360" w:lineRule="auto"/>
      <w:ind w:left="100" w:leftChars="600" w:hanging="200" w:hangingChars="200"/>
    </w:pPr>
    <w:rPr>
      <w:sz w:val="24"/>
    </w:rPr>
  </w:style>
  <w:style w:type="paragraph" w:styleId="51">
    <w:name w:val="List Continue 2"/>
    <w:basedOn w:val="1"/>
    <w:qFormat/>
    <w:uiPriority w:val="0"/>
    <w:pPr>
      <w:adjustRightInd w:val="0"/>
      <w:snapToGrid w:val="0"/>
      <w:spacing w:after="120" w:line="360" w:lineRule="auto"/>
      <w:ind w:left="840" w:leftChars="400"/>
    </w:pPr>
    <w:rPr>
      <w:sz w:val="24"/>
    </w:rPr>
  </w:style>
  <w:style w:type="paragraph" w:styleId="5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kern w:val="0"/>
      <w:szCs w:val="24"/>
    </w:rPr>
  </w:style>
  <w:style w:type="paragraph" w:styleId="53">
    <w:name w:val="Normal (Web)"/>
    <w:basedOn w:val="1"/>
    <w:qFormat/>
    <w:uiPriority w:val="0"/>
    <w:pPr>
      <w:widowControl/>
      <w:spacing w:before="100" w:beforeAutospacing="1" w:after="100" w:afterAutospacing="1"/>
      <w:jc w:val="left"/>
    </w:pPr>
    <w:rPr>
      <w:rFonts w:ascii="Arial Unicode MS" w:hAnsi="Arial Unicode MS" w:eastAsia="Arial Unicode MS"/>
      <w:kern w:val="0"/>
      <w:sz w:val="24"/>
    </w:rPr>
  </w:style>
  <w:style w:type="paragraph" w:styleId="54">
    <w:name w:val="List Continue 3"/>
    <w:basedOn w:val="1"/>
    <w:qFormat/>
    <w:uiPriority w:val="0"/>
    <w:pPr>
      <w:adjustRightInd w:val="0"/>
      <w:snapToGrid w:val="0"/>
      <w:spacing w:after="120" w:line="360" w:lineRule="auto"/>
      <w:ind w:left="1260" w:leftChars="600"/>
    </w:pPr>
    <w:rPr>
      <w:sz w:val="24"/>
    </w:rPr>
  </w:style>
  <w:style w:type="paragraph" w:styleId="55">
    <w:name w:val="index 1"/>
    <w:basedOn w:val="1"/>
    <w:next w:val="1"/>
    <w:qFormat/>
    <w:uiPriority w:val="0"/>
    <w:pPr>
      <w:adjustRightInd w:val="0"/>
      <w:spacing w:line="240" w:lineRule="atLeast"/>
      <w:textAlignment w:val="baseline"/>
    </w:pPr>
    <w:rPr>
      <w:rFonts w:ascii="宋体"/>
      <w:kern w:val="0"/>
      <w:sz w:val="21"/>
    </w:rPr>
  </w:style>
  <w:style w:type="paragraph" w:styleId="56">
    <w:name w:val="Title"/>
    <w:basedOn w:val="1"/>
    <w:qFormat/>
    <w:uiPriority w:val="0"/>
    <w:pPr>
      <w:widowControl/>
      <w:spacing w:after="240" w:line="360" w:lineRule="auto"/>
      <w:jc w:val="center"/>
    </w:pPr>
    <w:rPr>
      <w:rFonts w:ascii="Arial" w:hAnsi="Arial"/>
      <w:b/>
      <w:smallCaps/>
      <w:kern w:val="28"/>
      <w:sz w:val="36"/>
      <w:lang w:eastAsia="en-US"/>
    </w:rPr>
  </w:style>
  <w:style w:type="paragraph" w:styleId="57">
    <w:name w:val="annotation subject"/>
    <w:basedOn w:val="21"/>
    <w:next w:val="21"/>
    <w:qFormat/>
    <w:uiPriority w:val="0"/>
    <w:pPr>
      <w:widowControl w:val="0"/>
      <w:tabs>
        <w:tab w:val="clear" w:pos="1134"/>
      </w:tabs>
      <w:adjustRightInd/>
      <w:snapToGrid/>
      <w:spacing w:line="240" w:lineRule="auto"/>
    </w:pPr>
    <w:rPr>
      <w:rFonts w:eastAsia="宋体"/>
      <w:b/>
      <w:kern w:val="2"/>
      <w:sz w:val="21"/>
      <w:lang w:eastAsia="zh-CN"/>
    </w:rPr>
  </w:style>
  <w:style w:type="paragraph" w:styleId="58">
    <w:name w:val="Body Text First Indent"/>
    <w:basedOn w:val="1"/>
    <w:uiPriority w:val="0"/>
    <w:pPr>
      <w:spacing w:line="360" w:lineRule="auto"/>
      <w:ind w:firstLine="420"/>
    </w:pPr>
    <w:rPr>
      <w:rFonts w:ascii="宋体" w:hAnsi="宋体"/>
      <w:sz w:val="24"/>
    </w:rPr>
  </w:style>
  <w:style w:type="paragraph" w:styleId="59">
    <w:name w:val="Body Text First Indent 2"/>
    <w:basedOn w:val="25"/>
    <w:uiPriority w:val="0"/>
    <w:pPr>
      <w:spacing w:after="120" w:line="240" w:lineRule="auto"/>
      <w:ind w:left="420" w:leftChars="200" w:firstLine="420" w:firstLineChars="200"/>
    </w:pPr>
    <w:rPr>
      <w:sz w:val="21"/>
    </w:rPr>
  </w:style>
  <w:style w:type="table" w:styleId="61">
    <w:name w:val="Table Grid"/>
    <w:basedOn w:val="6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63">
    <w:name w:val="Strong"/>
    <w:qFormat/>
    <w:uiPriority w:val="22"/>
    <w:rPr>
      <w:b/>
    </w:rPr>
  </w:style>
  <w:style w:type="character" w:styleId="64">
    <w:name w:val="page number"/>
    <w:basedOn w:val="62"/>
    <w:uiPriority w:val="0"/>
  </w:style>
  <w:style w:type="character" w:styleId="65">
    <w:name w:val="FollowedHyperlink"/>
    <w:uiPriority w:val="0"/>
    <w:rPr>
      <w:color w:val="800080"/>
      <w:u w:val="single"/>
    </w:rPr>
  </w:style>
  <w:style w:type="character" w:styleId="66">
    <w:name w:val="Emphasis"/>
    <w:qFormat/>
    <w:uiPriority w:val="0"/>
    <w:rPr>
      <w:i/>
    </w:rPr>
  </w:style>
  <w:style w:type="character" w:styleId="67">
    <w:name w:val="Hyperlink"/>
    <w:uiPriority w:val="99"/>
    <w:rPr>
      <w:color w:val="0000FF"/>
      <w:u w:val="single"/>
    </w:rPr>
  </w:style>
  <w:style w:type="character" w:styleId="68">
    <w:name w:val="annotation reference"/>
    <w:uiPriority w:val="0"/>
    <w:rPr>
      <w:sz w:val="21"/>
    </w:rPr>
  </w:style>
  <w:style w:type="character" w:styleId="69">
    <w:name w:val="footnote reference"/>
    <w:uiPriority w:val="0"/>
    <w:rPr>
      <w:position w:val="6"/>
      <w:sz w:val="14"/>
      <w:vertAlign w:val="superscript"/>
    </w:rPr>
  </w:style>
  <w:style w:type="character" w:customStyle="1" w:styleId="70">
    <w:name w:val=" Char Char2"/>
    <w:uiPriority w:val="0"/>
    <w:rPr>
      <w:rFonts w:eastAsia="宋体"/>
      <w:kern w:val="2"/>
      <w:sz w:val="18"/>
      <w:lang w:val="en-US" w:eastAsia="zh-CN"/>
    </w:rPr>
  </w:style>
  <w:style w:type="character" w:customStyle="1" w:styleId="71">
    <w:name w:val="font1"/>
    <w:qFormat/>
    <w:uiPriority w:val="0"/>
    <w:rPr>
      <w:color w:val="000000"/>
      <w:sz w:val="18"/>
    </w:rPr>
  </w:style>
  <w:style w:type="character" w:customStyle="1" w:styleId="72">
    <w:name w:val="v151"/>
    <w:qFormat/>
    <w:uiPriority w:val="0"/>
    <w:rPr>
      <w:sz w:val="18"/>
    </w:rPr>
  </w:style>
  <w:style w:type="character" w:customStyle="1" w:styleId="73">
    <w:name w:val="正文 + 三号 Char"/>
    <w:qFormat/>
    <w:uiPriority w:val="0"/>
    <w:rPr>
      <w:rFonts w:eastAsia="宋体"/>
      <w:kern w:val="2"/>
      <w:sz w:val="21"/>
      <w:lang w:val="en-US" w:eastAsia="zh-CN"/>
    </w:rPr>
  </w:style>
  <w:style w:type="character" w:customStyle="1" w:styleId="74">
    <w:name w:val="Table Heading Char Char"/>
    <w:qFormat/>
    <w:uiPriority w:val="0"/>
    <w:rPr>
      <w:rFonts w:ascii="Arial" w:hAnsi="Arial" w:eastAsia="黑体"/>
      <w:kern w:val="2"/>
      <w:sz w:val="18"/>
      <w:lang w:val="en-US" w:eastAsia="zh-CN"/>
    </w:rPr>
  </w:style>
  <w:style w:type="character" w:customStyle="1" w:styleId="75">
    <w:name w:val=" Char Char7"/>
    <w:qFormat/>
    <w:uiPriority w:val="0"/>
    <w:rPr>
      <w:rFonts w:ascii="宋体" w:hAnsi="宋体" w:eastAsia="宋体"/>
      <w:kern w:val="2"/>
      <w:sz w:val="28"/>
    </w:rPr>
  </w:style>
  <w:style w:type="character" w:customStyle="1" w:styleId="76">
    <w:name w:val="top-det1"/>
    <w:qFormat/>
    <w:uiPriority w:val="0"/>
    <w:rPr>
      <w:b/>
      <w:color w:val="000000"/>
    </w:rPr>
  </w:style>
  <w:style w:type="character" w:customStyle="1" w:styleId="77">
    <w:name w:val=" Char Char"/>
    <w:qFormat/>
    <w:uiPriority w:val="0"/>
    <w:rPr>
      <w:rFonts w:ascii="宋体" w:hAnsi="宋体" w:eastAsia="宋体"/>
      <w:kern w:val="2"/>
      <w:sz w:val="24"/>
      <w:lang w:val="en-US" w:eastAsia="zh-CN" w:bidi="ar-SA"/>
    </w:rPr>
  </w:style>
  <w:style w:type="character" w:customStyle="1" w:styleId="78">
    <w:name w:val=" Char Char4"/>
    <w:qFormat/>
    <w:uiPriority w:val="0"/>
    <w:rPr>
      <w:rFonts w:eastAsia="宋体"/>
      <w:b/>
      <w:kern w:val="2"/>
      <w:sz w:val="21"/>
      <w:lang w:val="en-US" w:eastAsia="zh-CN"/>
    </w:rPr>
  </w:style>
  <w:style w:type="character" w:customStyle="1" w:styleId="79">
    <w:name w:val="文字 Char"/>
    <w:link w:val="80"/>
    <w:qFormat/>
    <w:uiPriority w:val="0"/>
    <w:rPr>
      <w:rFonts w:ascii="宋体" w:eastAsia="宋体"/>
      <w:kern w:val="2"/>
      <w:sz w:val="28"/>
      <w:lang w:val="en-US" w:eastAsia="zh-CN" w:bidi="ar-SA"/>
    </w:rPr>
  </w:style>
  <w:style w:type="paragraph" w:customStyle="1" w:styleId="80">
    <w:name w:val="文字"/>
    <w:basedOn w:val="1"/>
    <w:link w:val="79"/>
    <w:qFormat/>
    <w:uiPriority w:val="0"/>
    <w:pPr>
      <w:tabs>
        <w:tab w:val="left" w:pos="8520"/>
      </w:tabs>
      <w:spacing w:line="312" w:lineRule="auto"/>
      <w:ind w:right="-210" w:firstLine="556"/>
    </w:pPr>
    <w:rPr>
      <w:rFonts w:ascii="宋体"/>
    </w:rPr>
  </w:style>
  <w:style w:type="character" w:customStyle="1" w:styleId="81">
    <w:name w:val=" Char Char3"/>
    <w:qFormat/>
    <w:uiPriority w:val="0"/>
    <w:rPr>
      <w:rFonts w:eastAsia="宋体"/>
      <w:kern w:val="2"/>
      <w:sz w:val="18"/>
      <w:lang w:val="en-US" w:eastAsia="zh-CN"/>
    </w:rPr>
  </w:style>
  <w:style w:type="character" w:customStyle="1" w:styleId="82">
    <w:name w:val=" Char Char5"/>
    <w:qFormat/>
    <w:uiPriority w:val="0"/>
    <w:rPr>
      <w:rFonts w:ascii="Arial" w:hAnsi="Arial" w:eastAsia="宋体"/>
      <w:b/>
      <w:smallCaps/>
      <w:kern w:val="28"/>
      <w:sz w:val="36"/>
      <w:lang w:val="en-US" w:eastAsia="en-US"/>
    </w:rPr>
  </w:style>
  <w:style w:type="character" w:customStyle="1" w:styleId="83">
    <w:name w:val="crowed11"/>
    <w:qFormat/>
    <w:uiPriority w:val="0"/>
    <w:rPr>
      <w:rFonts w:hint="default"/>
      <w:sz w:val="24"/>
    </w:rPr>
  </w:style>
  <w:style w:type="character" w:customStyle="1" w:styleId="84">
    <w:name w:val="未命名11"/>
    <w:uiPriority w:val="0"/>
    <w:rPr>
      <w:color w:val="77FFFF"/>
      <w:sz w:val="24"/>
    </w:rPr>
  </w:style>
  <w:style w:type="character" w:customStyle="1" w:styleId="85">
    <w:name w:val="Table Text Char Char Char Char"/>
    <w:uiPriority w:val="0"/>
    <w:rPr>
      <w:rFonts w:ascii="Arial" w:hAnsi="Arial"/>
      <w:kern w:val="2"/>
      <w:sz w:val="18"/>
      <w:lang w:val="en-US" w:eastAsia="zh-CN" w:bidi="ar-SA"/>
    </w:rPr>
  </w:style>
  <w:style w:type="character" w:customStyle="1" w:styleId="86">
    <w:name w:val="样式 宋体"/>
    <w:uiPriority w:val="0"/>
    <w:rPr>
      <w:rFonts w:ascii="宋体" w:hAnsi="宋体" w:eastAsia="宋体"/>
      <w:sz w:val="28"/>
    </w:rPr>
  </w:style>
  <w:style w:type="character" w:customStyle="1" w:styleId="87">
    <w:name w:val="标书正文:  0.74 厘米 Char1"/>
    <w:uiPriority w:val="0"/>
    <w:rPr>
      <w:rFonts w:eastAsia="宋体"/>
      <w:kern w:val="2"/>
      <w:sz w:val="24"/>
      <w:lang w:val="en-US" w:eastAsia="zh-CN"/>
    </w:rPr>
  </w:style>
  <w:style w:type="character" w:customStyle="1" w:styleId="88">
    <w:name w:val="日期 Char"/>
    <w:link w:val="34"/>
    <w:uiPriority w:val="0"/>
    <w:rPr>
      <w:kern w:val="2"/>
      <w:sz w:val="28"/>
    </w:rPr>
  </w:style>
  <w:style w:type="character" w:customStyle="1" w:styleId="89">
    <w:name w:val="标题 2 Char"/>
    <w:link w:val="5"/>
    <w:uiPriority w:val="0"/>
    <w:rPr>
      <w:rFonts w:ascii="宋体" w:hAnsi="宋体"/>
      <w:kern w:val="2"/>
      <w:sz w:val="28"/>
    </w:rPr>
  </w:style>
  <w:style w:type="character" w:customStyle="1" w:styleId="90">
    <w:name w:val="content-white1"/>
    <w:uiPriority w:val="0"/>
    <w:rPr>
      <w:color w:val="auto"/>
      <w:sz w:val="18"/>
      <w:u w:val="none"/>
    </w:rPr>
  </w:style>
  <w:style w:type="character" w:customStyle="1" w:styleId="91">
    <w:name w:val="Table Text Char"/>
    <w:uiPriority w:val="0"/>
    <w:rPr>
      <w:rFonts w:ascii="Arial" w:hAnsi="Arial"/>
      <w:kern w:val="2"/>
      <w:sz w:val="18"/>
      <w:lang w:val="en-US" w:eastAsia="zh-CN" w:bidi="ar-SA"/>
    </w:rPr>
  </w:style>
  <w:style w:type="character" w:customStyle="1" w:styleId="92">
    <w:name w:val=" Char Char6"/>
    <w:uiPriority w:val="0"/>
    <w:rPr>
      <w:rFonts w:ascii="仿宋_GB2312" w:eastAsia="仿宋_GB2312"/>
      <w:kern w:val="2"/>
      <w:sz w:val="32"/>
    </w:rPr>
  </w:style>
  <w:style w:type="character" w:customStyle="1" w:styleId="93">
    <w:name w:val="Table Text Char1 Char"/>
    <w:uiPriority w:val="0"/>
    <w:rPr>
      <w:rFonts w:ascii="Arial" w:hAnsi="Arial"/>
      <w:kern w:val="2"/>
      <w:sz w:val="18"/>
      <w:lang w:val="en-US" w:eastAsia="zh-CN" w:bidi="ar-SA"/>
    </w:rPr>
  </w:style>
  <w:style w:type="character" w:customStyle="1" w:styleId="94">
    <w:name w:val="小 Char"/>
    <w:uiPriority w:val="0"/>
    <w:rPr>
      <w:rFonts w:ascii="宋体" w:hAnsi="Courier New" w:eastAsia="宋体"/>
      <w:kern w:val="2"/>
      <w:sz w:val="21"/>
      <w:lang w:val="en-US" w:eastAsia="zh-CN" w:bidi="ar-SA"/>
    </w:rPr>
  </w:style>
  <w:style w:type="paragraph" w:customStyle="1" w:styleId="95">
    <w:name w:val="Char Char1 Char Char Char Char Char Char Char Char"/>
    <w:basedOn w:val="1"/>
    <w:uiPriority w:val="0"/>
    <w:pPr>
      <w:widowControl/>
      <w:spacing w:after="160" w:line="240" w:lineRule="exact"/>
      <w:jc w:val="left"/>
    </w:pPr>
    <w:rPr>
      <w:rFonts w:ascii="Verdana" w:hAnsi="Verdana"/>
      <w:kern w:val="0"/>
      <w:sz w:val="20"/>
      <w:lang w:eastAsia="en-US"/>
    </w:rPr>
  </w:style>
  <w:style w:type="paragraph" w:customStyle="1" w:styleId="96">
    <w:name w:val="附录3"/>
    <w:basedOn w:val="1"/>
    <w:next w:val="1"/>
    <w:uiPriority w:val="0"/>
    <w:pPr>
      <w:tabs>
        <w:tab w:val="left" w:pos="851"/>
      </w:tabs>
      <w:ind w:left="425" w:hanging="425"/>
      <w:outlineLvl w:val="2"/>
    </w:pPr>
    <w:rPr>
      <w:rFonts w:eastAsia="黑体"/>
      <w:b/>
      <w:sz w:val="32"/>
    </w:rPr>
  </w:style>
  <w:style w:type="paragraph" w:customStyle="1" w:styleId="97">
    <w:name w:val="表头文本"/>
    <w:qFormat/>
    <w:uiPriority w:val="0"/>
    <w:pPr>
      <w:jc w:val="center"/>
    </w:pPr>
    <w:rPr>
      <w:rFonts w:ascii="Arial" w:hAnsi="Arial" w:eastAsia="宋体" w:cs="Times New Roman"/>
      <w:b/>
      <w:sz w:val="21"/>
      <w:lang w:val="en-US" w:eastAsia="zh-CN" w:bidi="ar-SA"/>
    </w:rPr>
  </w:style>
  <w:style w:type="paragraph" w:customStyle="1" w:styleId="98">
    <w:name w:val=" 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99">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00">
    <w:name w:val="标题3——2"/>
    <w:basedOn w:val="6"/>
    <w:next w:val="58"/>
    <w:qFormat/>
    <w:uiPriority w:val="0"/>
    <w:pPr>
      <w:tabs>
        <w:tab w:val="left" w:pos="1280"/>
        <w:tab w:val="right" w:leader="dot" w:pos="8777"/>
      </w:tabs>
      <w:spacing w:beforeLines="100" w:after="0" w:line="240" w:lineRule="auto"/>
      <w:ind w:left="851" w:hanging="851"/>
      <w:jc w:val="both"/>
      <w:outlineLvl w:val="9"/>
    </w:pPr>
    <w:rPr>
      <w:rFonts w:ascii="黑体" w:hAnsi="宋体" w:eastAsia="黑体"/>
      <w:sz w:val="30"/>
      <w:lang w:val="en-US" w:eastAsia="zh-CN"/>
    </w:rPr>
  </w:style>
  <w:style w:type="paragraph" w:customStyle="1" w:styleId="101">
    <w:name w:val="_"/>
    <w:basedOn w:val="1"/>
    <w:qFormat/>
    <w:uiPriority w:val="0"/>
    <w:pPr>
      <w:adjustRightInd w:val="0"/>
      <w:spacing w:line="360" w:lineRule="auto"/>
      <w:ind w:left="480" w:firstLine="200" w:firstLineChars="200"/>
      <w:textAlignment w:val="baseline"/>
    </w:pPr>
    <w:rPr>
      <w:kern w:val="0"/>
      <w:sz w:val="24"/>
    </w:rPr>
  </w:style>
  <w:style w:type="paragraph" w:customStyle="1" w:styleId="102">
    <w:name w:val="标题2"/>
    <w:basedOn w:val="5"/>
    <w:qFormat/>
    <w:uiPriority w:val="0"/>
    <w:pPr>
      <w:keepNext w:val="0"/>
      <w:keepLines w:val="0"/>
      <w:ind w:firstLine="574" w:firstLineChars="196"/>
      <w:outlineLvl w:val="9"/>
    </w:pPr>
    <w:rPr>
      <w:b/>
      <w:spacing w:val="6"/>
      <w:u w:val="single"/>
    </w:rPr>
  </w:style>
  <w:style w:type="paragraph" w:customStyle="1" w:styleId="103">
    <w:name w:val="Title - Revision"/>
    <w:basedOn w:val="56"/>
    <w:qFormat/>
    <w:uiPriority w:val="0"/>
    <w:pPr>
      <w:spacing w:before="720"/>
    </w:pPr>
  </w:style>
  <w:style w:type="paragraph" w:customStyle="1" w:styleId="104">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105">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06">
    <w:name w:val="样式 标题 1 + 居中 段前: 6 磅 段后: 6 磅 行距: 1.5 倍行距"/>
    <w:basedOn w:val="4"/>
    <w:qFormat/>
    <w:uiPriority w:val="0"/>
    <w:pPr>
      <w:keepLines/>
      <w:tabs>
        <w:tab w:val="clear" w:pos="3360"/>
      </w:tabs>
      <w:adjustRightInd w:val="0"/>
      <w:spacing w:beforeLines="0" w:line="360" w:lineRule="auto"/>
    </w:pPr>
    <w:rPr>
      <w:rFonts w:eastAsia="宋体"/>
      <w:b/>
      <w:kern w:val="44"/>
      <w:sz w:val="32"/>
    </w:rPr>
  </w:style>
  <w:style w:type="paragraph" w:customStyle="1" w:styleId="107">
    <w:name w:val="表文字"/>
    <w:qFormat/>
    <w:uiPriority w:val="0"/>
    <w:rPr>
      <w:rFonts w:ascii="宋体" w:hAnsi="Times New Roman" w:eastAsia="宋体" w:cs="Times New Roman"/>
      <w:kern w:val="2"/>
      <w:lang w:val="en-US" w:eastAsia="zh-CN" w:bidi="ar-SA"/>
    </w:rPr>
  </w:style>
  <w:style w:type="paragraph" w:customStyle="1" w:styleId="108">
    <w:name w:val="Title - Date"/>
    <w:basedOn w:val="56"/>
    <w:next w:val="1"/>
    <w:qFormat/>
    <w:uiPriority w:val="0"/>
    <w:pPr>
      <w:spacing w:before="240" w:after="720"/>
    </w:pPr>
    <w:rPr>
      <w:sz w:val="28"/>
    </w:rPr>
  </w:style>
  <w:style w:type="paragraph" w:customStyle="1" w:styleId="109">
    <w:name w:val="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10">
    <w:name w:val="段落正文"/>
    <w:basedOn w:val="1"/>
    <w:qFormat/>
    <w:uiPriority w:val="0"/>
    <w:pPr>
      <w:spacing w:beforeLines="50" w:line="360" w:lineRule="auto"/>
      <w:ind w:firstLine="200" w:firstLineChars="200"/>
    </w:pPr>
    <w:rPr>
      <w:spacing w:val="2"/>
      <w:sz w:val="24"/>
    </w:rPr>
  </w:style>
  <w:style w:type="paragraph" w:customStyle="1" w:styleId="111">
    <w:name w:val="样式 首行缩进:  0.74 厘米"/>
    <w:basedOn w:val="1"/>
    <w:qFormat/>
    <w:uiPriority w:val="0"/>
    <w:pPr>
      <w:spacing w:line="360" w:lineRule="auto"/>
      <w:ind w:firstLine="420"/>
    </w:pPr>
    <w:rPr>
      <w:sz w:val="24"/>
    </w:rPr>
  </w:style>
  <w:style w:type="paragraph" w:customStyle="1" w:styleId="112">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13">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14">
    <w:name w:val=" 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15">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16">
    <w:name w:val="Char1 Char Char Char"/>
    <w:basedOn w:val="1"/>
    <w:qFormat/>
    <w:uiPriority w:val="0"/>
    <w:rPr>
      <w:rFonts w:ascii="Tahoma" w:hAnsi="Tahoma"/>
      <w:sz w:val="21"/>
    </w:rPr>
  </w:style>
  <w:style w:type="paragraph" w:customStyle="1" w:styleId="117">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18">
    <w:name w:val="样式2"/>
    <w:basedOn w:val="7"/>
    <w:qFormat/>
    <w:uiPriority w:val="0"/>
    <w:pPr>
      <w:numPr>
        <w:ilvl w:val="0"/>
        <w:numId w:val="6"/>
      </w:numPr>
      <w:spacing w:line="400" w:lineRule="exact"/>
      <w:jc w:val="center"/>
      <w:outlineLvl w:val="0"/>
    </w:pPr>
    <w:rPr>
      <w:b w:val="0"/>
      <w:sz w:val="44"/>
    </w:rPr>
  </w:style>
  <w:style w:type="paragraph" w:customStyle="1" w:styleId="119">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20">
    <w:name w:val=" Char1 Char Char Char"/>
    <w:basedOn w:val="1"/>
    <w:qFormat/>
    <w:uiPriority w:val="0"/>
    <w:rPr>
      <w:rFonts w:ascii="Tahoma" w:hAnsi="Tahoma"/>
      <w:sz w:val="24"/>
    </w:rPr>
  </w:style>
  <w:style w:type="paragraph" w:customStyle="1" w:styleId="121">
    <w:name w:val="正文（首行不缩进）"/>
    <w:basedOn w:val="1"/>
    <w:qFormat/>
    <w:uiPriority w:val="0"/>
    <w:pPr>
      <w:autoSpaceDE w:val="0"/>
      <w:autoSpaceDN w:val="0"/>
      <w:adjustRightInd w:val="0"/>
      <w:spacing w:line="360" w:lineRule="auto"/>
      <w:jc w:val="left"/>
    </w:pPr>
    <w:rPr>
      <w:kern w:val="0"/>
      <w:sz w:val="21"/>
    </w:rPr>
  </w:style>
  <w:style w:type="paragraph" w:customStyle="1" w:styleId="122">
    <w:name w:val=" Char Char Char Char Char"/>
    <w:basedOn w:val="1"/>
    <w:qFormat/>
    <w:uiPriority w:val="0"/>
    <w:pPr>
      <w:numPr>
        <w:ilvl w:val="0"/>
        <w:numId w:val="7"/>
      </w:numPr>
    </w:pPr>
    <w:rPr>
      <w:rFonts w:ascii="Tahoma" w:hAnsi="Tahoma"/>
      <w:sz w:val="24"/>
    </w:rPr>
  </w:style>
  <w:style w:type="paragraph" w:customStyle="1" w:styleId="123">
    <w:name w:val="Item List"/>
    <w:qFormat/>
    <w:uiPriority w:val="0"/>
    <w:pPr>
      <w:numPr>
        <w:ilvl w:val="0"/>
        <w:numId w:val="8"/>
      </w:numPr>
      <w:spacing w:line="300" w:lineRule="auto"/>
      <w:jc w:val="both"/>
    </w:pPr>
    <w:rPr>
      <w:rFonts w:ascii="Arial" w:hAnsi="Arial" w:eastAsia="宋体" w:cs="Times New Roman"/>
      <w:sz w:val="21"/>
      <w:lang w:val="en-US" w:eastAsia="zh-CN" w:bidi="ar-SA"/>
    </w:rPr>
  </w:style>
  <w:style w:type="paragraph" w:customStyle="1" w:styleId="124">
    <w:name w:val="样式 样式 首行缩进:  2 字符 + 首行缩进:  2 字符"/>
    <w:basedOn w:val="1"/>
    <w:qFormat/>
    <w:uiPriority w:val="0"/>
    <w:pPr>
      <w:numPr>
        <w:ilvl w:val="0"/>
        <w:numId w:val="9"/>
      </w:numPr>
      <w:tabs>
        <w:tab w:val="clear" w:pos="1230"/>
      </w:tabs>
      <w:spacing w:line="360" w:lineRule="auto"/>
      <w:ind w:firstLine="480" w:firstLineChars="200"/>
    </w:pPr>
    <w:rPr>
      <w:sz w:val="24"/>
    </w:rPr>
  </w:style>
  <w:style w:type="paragraph" w:customStyle="1" w:styleId="125">
    <w:name w:val="样式 宋体 五号 行距: 单倍行距"/>
    <w:basedOn w:val="1"/>
    <w:qFormat/>
    <w:uiPriority w:val="0"/>
    <w:pPr>
      <w:adjustRightInd w:val="0"/>
      <w:jc w:val="left"/>
    </w:pPr>
    <w:rPr>
      <w:rFonts w:ascii="宋体" w:hAnsi="宋体"/>
      <w:kern w:val="0"/>
      <w:sz w:val="21"/>
    </w:rPr>
  </w:style>
  <w:style w:type="paragraph" w:customStyle="1" w:styleId="126">
    <w:name w:val="标准正文"/>
    <w:basedOn w:val="25"/>
    <w:qFormat/>
    <w:uiPriority w:val="0"/>
    <w:pPr>
      <w:spacing w:before="60" w:after="60" w:line="360" w:lineRule="auto"/>
      <w:ind w:left="0" w:firstLine="482"/>
    </w:pPr>
    <w:rPr>
      <w:rFonts w:ascii="Arial" w:hAnsi="Arial"/>
      <w:sz w:val="24"/>
    </w:rPr>
  </w:style>
  <w:style w:type="paragraph" w:customStyle="1" w:styleId="127">
    <w:name w:val=" Char Char 字元 字元 字元 Char Char Char Char"/>
    <w:basedOn w:val="1"/>
    <w:qFormat/>
    <w:uiPriority w:val="0"/>
    <w:pPr>
      <w:adjustRightInd w:val="0"/>
      <w:spacing w:line="360" w:lineRule="auto"/>
    </w:pPr>
    <w:rPr>
      <w:kern w:val="0"/>
      <w:sz w:val="24"/>
    </w:rPr>
  </w:style>
  <w:style w:type="paragraph" w:customStyle="1" w:styleId="128">
    <w:name w:val="_Style 180"/>
    <w:basedOn w:val="19"/>
    <w:qFormat/>
    <w:uiPriority w:val="0"/>
    <w:pPr>
      <w:spacing w:line="360" w:lineRule="auto"/>
      <w:ind w:firstLine="200" w:firstLineChars="200"/>
    </w:pPr>
  </w:style>
  <w:style w:type="paragraph" w:customStyle="1" w:styleId="129">
    <w:name w:val="Table Contents"/>
    <w:basedOn w:val="24"/>
    <w:qFormat/>
    <w:uiPriority w:val="0"/>
    <w:pPr>
      <w:suppressAutoHyphens/>
      <w:jc w:val="left"/>
    </w:pPr>
    <w:rPr>
      <w:rFonts w:ascii="Times New Roman" w:eastAsia="Times New Roman"/>
      <w:kern w:val="0"/>
      <w:sz w:val="24"/>
    </w:rPr>
  </w:style>
  <w:style w:type="paragraph" w:customStyle="1" w:styleId="130">
    <w:name w:val="bt"/>
    <w:basedOn w:val="1"/>
    <w:next w:val="24"/>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31">
    <w:name w:val=" Char Char1 Char"/>
    <w:basedOn w:val="1"/>
    <w:qFormat/>
    <w:uiPriority w:val="0"/>
    <w:rPr>
      <w:rFonts w:ascii="Tahoma" w:hAnsi="Tahoma"/>
      <w:sz w:val="24"/>
      <w:szCs w:val="24"/>
    </w:rPr>
  </w:style>
  <w:style w:type="paragraph" w:customStyle="1" w:styleId="132">
    <w:name w:val="标题无"/>
    <w:basedOn w:val="1"/>
    <w:qFormat/>
    <w:uiPriority w:val="0"/>
    <w:pPr>
      <w:spacing w:line="360" w:lineRule="auto"/>
    </w:pPr>
    <w:rPr>
      <w:sz w:val="24"/>
      <w:lang w:val="en-US" w:eastAsia="zh-CN"/>
    </w:rPr>
  </w:style>
  <w:style w:type="paragraph" w:customStyle="1" w:styleId="133">
    <w:name w:val="样式 正文缩进正文（首行缩进两字）表正文正文非缩进特点标题4段1 + 首行缩进:  2 字符"/>
    <w:basedOn w:val="17"/>
    <w:qFormat/>
    <w:uiPriority w:val="0"/>
    <w:pPr>
      <w:ind w:firstLine="480" w:firstLineChars="200"/>
    </w:pPr>
  </w:style>
  <w:style w:type="paragraph" w:customStyle="1" w:styleId="134">
    <w:name w:val="Table Text Char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35">
    <w:name w:val="Revision"/>
    <w:qFormat/>
    <w:uiPriority w:val="0"/>
    <w:rPr>
      <w:rFonts w:ascii="Times New Roman" w:hAnsi="Times New Roman" w:eastAsia="宋体" w:cs="Times New Roman"/>
      <w:kern w:val="2"/>
      <w:sz w:val="21"/>
      <w:lang w:val="en-US" w:eastAsia="zh-CN" w:bidi="ar-SA"/>
    </w:rPr>
  </w:style>
  <w:style w:type="paragraph" w:customStyle="1" w:styleId="136">
    <w:name w:val="图片文字"/>
    <w:basedOn w:val="1"/>
    <w:qFormat/>
    <w:uiPriority w:val="0"/>
    <w:pPr>
      <w:spacing w:line="240" w:lineRule="atLeast"/>
      <w:jc w:val="center"/>
    </w:pPr>
    <w:rPr>
      <w:sz w:val="21"/>
    </w:rPr>
  </w:style>
  <w:style w:type="paragraph" w:customStyle="1" w:styleId="137">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38">
    <w:name w:val="CSS1级正文 Char"/>
    <w:basedOn w:val="24"/>
    <w:qFormat/>
    <w:uiPriority w:val="0"/>
    <w:pPr>
      <w:adjustRightInd w:val="0"/>
      <w:snapToGrid w:val="0"/>
      <w:spacing w:line="360" w:lineRule="auto"/>
      <w:ind w:firstLine="480"/>
    </w:pPr>
    <w:rPr>
      <w:rFonts w:ascii="Times New Roman" w:eastAsia="宋体"/>
      <w:sz w:val="24"/>
    </w:rPr>
  </w:style>
  <w:style w:type="paragraph" w:customStyle="1" w:styleId="139">
    <w:name w:val="Item Step in Table"/>
    <w:qFormat/>
    <w:uiPriority w:val="0"/>
    <w:pPr>
      <w:numPr>
        <w:ilvl w:val="0"/>
        <w:numId w:val="10"/>
      </w:numPr>
      <w:spacing w:before="40" w:after="40"/>
      <w:jc w:val="both"/>
    </w:pPr>
    <w:rPr>
      <w:rFonts w:ascii="Arial" w:hAnsi="Arial" w:eastAsia="宋体" w:cs="Times New Roman"/>
      <w:sz w:val="18"/>
      <w:lang w:val="en-US" w:eastAsia="zh-CN" w:bidi="ar-SA"/>
    </w:rPr>
  </w:style>
  <w:style w:type="paragraph" w:customStyle="1" w:styleId="140">
    <w:name w:val="文本框样式1"/>
    <w:basedOn w:val="1"/>
    <w:qFormat/>
    <w:uiPriority w:val="0"/>
    <w:pPr>
      <w:adjustRightInd w:val="0"/>
      <w:snapToGrid w:val="0"/>
      <w:spacing w:before="60" w:line="180" w:lineRule="exact"/>
      <w:jc w:val="center"/>
    </w:pPr>
    <w:rPr>
      <w:sz w:val="21"/>
    </w:rPr>
  </w:style>
  <w:style w:type="paragraph" w:customStyle="1" w:styleId="141">
    <w:name w:val="摘要"/>
    <w:basedOn w:val="1"/>
    <w:next w:val="5"/>
    <w:qFormat/>
    <w:uiPriority w:val="0"/>
    <w:pPr>
      <w:spacing w:line="360" w:lineRule="auto"/>
    </w:pPr>
    <w:rPr>
      <w:rFonts w:eastAsia="黑体"/>
      <w:sz w:val="20"/>
    </w:rPr>
  </w:style>
  <w:style w:type="paragraph" w:customStyle="1" w:styleId="142">
    <w:name w:val="文本1"/>
    <w:basedOn w:val="1"/>
    <w:qFormat/>
    <w:uiPriority w:val="0"/>
    <w:pPr>
      <w:adjustRightInd w:val="0"/>
      <w:spacing w:line="312" w:lineRule="atLeast"/>
      <w:jc w:val="center"/>
      <w:textAlignment w:val="baseline"/>
    </w:pPr>
    <w:rPr>
      <w:kern w:val="0"/>
      <w:sz w:val="18"/>
    </w:rPr>
  </w:style>
  <w:style w:type="paragraph" w:customStyle="1" w:styleId="143">
    <w:name w:val=" Char Char Char"/>
    <w:basedOn w:val="1"/>
    <w:qFormat/>
    <w:uiPriority w:val="0"/>
    <w:rPr>
      <w:rFonts w:ascii="Tahoma" w:hAnsi="Tahoma"/>
      <w:sz w:val="24"/>
    </w:rPr>
  </w:style>
  <w:style w:type="paragraph" w:customStyle="1" w:styleId="14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45">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styleId="146">
    <w:name w:val="List Paragraph"/>
    <w:basedOn w:val="1"/>
    <w:qFormat/>
    <w:uiPriority w:val="34"/>
    <w:pPr>
      <w:ind w:firstLine="420" w:firstLineChars="200"/>
    </w:pPr>
  </w:style>
  <w:style w:type="paragraph" w:customStyle="1" w:styleId="147">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48">
    <w:name w:val="È±Ê¡ÎÄ±¾"/>
    <w:basedOn w:val="1"/>
    <w:qFormat/>
    <w:uiPriority w:val="0"/>
    <w:pPr>
      <w:widowControl/>
      <w:overflowPunct w:val="0"/>
      <w:autoSpaceDE w:val="0"/>
      <w:autoSpaceDN w:val="0"/>
      <w:adjustRightInd w:val="0"/>
      <w:jc w:val="left"/>
      <w:textAlignment w:val="baseline"/>
    </w:pPr>
    <w:rPr>
      <w:kern w:val="0"/>
      <w:sz w:val="24"/>
      <w:lang w:val="en-US" w:eastAsia="zh-CN"/>
    </w:rPr>
  </w:style>
  <w:style w:type="paragraph" w:customStyle="1" w:styleId="149">
    <w:name w:val="1"/>
    <w:basedOn w:val="1"/>
    <w:qFormat/>
    <w:uiPriority w:val="0"/>
    <w:rPr>
      <w:rFonts w:ascii="Tahoma" w:hAnsi="Tahoma"/>
      <w:sz w:val="24"/>
    </w:rPr>
  </w:style>
  <w:style w:type="paragraph" w:customStyle="1" w:styleId="150">
    <w:name w:val="样式 行距: 1.5 倍行距1"/>
    <w:basedOn w:val="1"/>
    <w:qFormat/>
    <w:uiPriority w:val="0"/>
    <w:pPr>
      <w:snapToGrid w:val="0"/>
    </w:pPr>
    <w:rPr>
      <w:sz w:val="21"/>
    </w:rPr>
  </w:style>
  <w:style w:type="paragraph" w:customStyle="1" w:styleId="151">
    <w:name w:val="Body Text 2"/>
    <w:basedOn w:val="1"/>
    <w:qFormat/>
    <w:uiPriority w:val="0"/>
    <w:pPr>
      <w:adjustRightInd w:val="0"/>
      <w:spacing w:before="120" w:line="360" w:lineRule="auto"/>
      <w:ind w:firstLine="480"/>
      <w:textAlignment w:val="baseline"/>
    </w:pPr>
    <w:rPr>
      <w:sz w:val="24"/>
    </w:rPr>
  </w:style>
  <w:style w:type="paragraph" w:customStyle="1" w:styleId="152">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53">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54">
    <w:name w:val="默认段落字体 Para Char Char Char Char Char Char Char Char Char1 Char Char Char Char"/>
    <w:basedOn w:val="1"/>
    <w:qFormat/>
    <w:uiPriority w:val="0"/>
    <w:rPr>
      <w:rFonts w:ascii="Tahoma" w:hAnsi="Tahoma"/>
      <w:sz w:val="24"/>
    </w:rPr>
  </w:style>
  <w:style w:type="paragraph" w:customStyle="1" w:styleId="155">
    <w:name w:val="1.正文"/>
    <w:basedOn w:val="1"/>
    <w:qFormat/>
    <w:uiPriority w:val="0"/>
    <w:pPr>
      <w:spacing w:line="360" w:lineRule="auto"/>
      <w:ind w:left="540" w:leftChars="225" w:firstLine="540" w:firstLineChars="225"/>
    </w:pPr>
    <w:rPr>
      <w:sz w:val="24"/>
    </w:rPr>
  </w:style>
  <w:style w:type="paragraph" w:customStyle="1" w:styleId="156">
    <w:name w:val="标书正文:  0.74 厘米"/>
    <w:basedOn w:val="1"/>
    <w:qFormat/>
    <w:uiPriority w:val="0"/>
    <w:pPr>
      <w:snapToGrid w:val="0"/>
      <w:spacing w:line="360" w:lineRule="auto"/>
      <w:ind w:firstLine="420"/>
    </w:pPr>
    <w:rPr>
      <w:sz w:val="24"/>
    </w:rPr>
  </w:style>
  <w:style w:type="paragraph" w:customStyle="1" w:styleId="157">
    <w:name w:val="样式1"/>
    <w:basedOn w:val="7"/>
    <w:qFormat/>
    <w:uiPriority w:val="0"/>
    <w:pPr>
      <w:spacing w:before="500" w:after="260" w:line="560" w:lineRule="atLeast"/>
    </w:pPr>
  </w:style>
  <w:style w:type="paragraph" w:customStyle="1" w:styleId="158">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59">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60">
    <w:name w:val="样式 标题 6第五层条 + 三号 段前: 0.5 行"/>
    <w:basedOn w:val="9"/>
    <w:uiPriority w:val="0"/>
    <w:pPr>
      <w:widowControl/>
      <w:adjustRightInd/>
      <w:snapToGrid/>
      <w:spacing w:beforeLines="50"/>
      <w:ind w:left="1152" w:hanging="1152"/>
      <w:jc w:val="left"/>
    </w:pPr>
    <w:rPr>
      <w:snapToGrid w:val="0"/>
      <w:kern w:val="24"/>
      <w:sz w:val="28"/>
    </w:rPr>
  </w:style>
  <w:style w:type="paragraph" w:customStyle="1" w:styleId="161">
    <w:name w:val="编号正文"/>
    <w:basedOn w:val="117"/>
    <w:qFormat/>
    <w:uiPriority w:val="0"/>
    <w:pPr>
      <w:snapToGrid/>
      <w:spacing w:line="360" w:lineRule="auto"/>
      <w:ind w:left="1407" w:hanging="1047"/>
      <w:jc w:val="left"/>
    </w:pPr>
    <w:rPr>
      <w:rFonts w:eastAsia="仿宋_GB2312"/>
    </w:rPr>
  </w:style>
  <w:style w:type="paragraph" w:customStyle="1" w:styleId="162">
    <w:name w:val="附录1"/>
    <w:basedOn w:val="1"/>
    <w:next w:val="1"/>
    <w:uiPriority w:val="0"/>
    <w:pPr>
      <w:tabs>
        <w:tab w:val="left" w:pos="1304"/>
      </w:tabs>
      <w:ind w:left="425" w:hanging="425"/>
      <w:outlineLvl w:val="0"/>
    </w:pPr>
    <w:rPr>
      <w:rFonts w:ascii="黑体" w:hAnsi="黑体" w:eastAsia="黑体"/>
      <w:b/>
      <w:sz w:val="44"/>
    </w:rPr>
  </w:style>
  <w:style w:type="paragraph" w:customStyle="1" w:styleId="163">
    <w:name w:val="Body Text Indent 2"/>
    <w:basedOn w:val="1"/>
    <w:qFormat/>
    <w:uiPriority w:val="0"/>
    <w:pPr>
      <w:adjustRightInd w:val="0"/>
      <w:spacing w:before="120"/>
      <w:ind w:firstLine="420"/>
      <w:textAlignment w:val="baseline"/>
    </w:pPr>
    <w:rPr>
      <w:sz w:val="24"/>
    </w:rPr>
  </w:style>
  <w:style w:type="paragraph" w:customStyle="1" w:styleId="164">
    <w:name w:val="样式3"/>
    <w:basedOn w:val="4"/>
    <w:next w:val="4"/>
    <w:uiPriority w:val="0"/>
    <w:pPr>
      <w:keepLines/>
      <w:tabs>
        <w:tab w:val="clear" w:pos="3360"/>
      </w:tabs>
      <w:adjustRightInd w:val="0"/>
      <w:spacing w:beforeLines="0" w:afterLines="0" w:line="576" w:lineRule="auto"/>
      <w:jc w:val="both"/>
    </w:pPr>
    <w:rPr>
      <w:b/>
      <w:kern w:val="44"/>
    </w:rPr>
  </w:style>
  <w:style w:type="paragraph" w:customStyle="1" w:styleId="165">
    <w:name w:val="表格内文字"/>
    <w:basedOn w:val="32"/>
    <w:uiPriority w:val="0"/>
    <w:pPr>
      <w:snapToGrid/>
      <w:spacing w:line="240" w:lineRule="auto"/>
    </w:pPr>
    <w:rPr>
      <w:color w:val="000000"/>
      <w:lang w:val="en-GB"/>
    </w:rPr>
  </w:style>
  <w:style w:type="paragraph" w:customStyle="1" w:styleId="166">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167">
    <w:name w:val="表号"/>
    <w:basedOn w:val="1"/>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68">
    <w:name w:val="正文 + 三号"/>
    <w:basedOn w:val="1"/>
    <w:qFormat/>
    <w:uiPriority w:val="0"/>
    <w:rPr>
      <w:sz w:val="21"/>
    </w:rPr>
  </w:style>
  <w:style w:type="paragraph" w:customStyle="1" w:styleId="169">
    <w:name w:val="表头样式"/>
    <w:basedOn w:val="1"/>
    <w:uiPriority w:val="0"/>
    <w:pPr>
      <w:autoSpaceDE w:val="0"/>
      <w:autoSpaceDN w:val="0"/>
      <w:adjustRightInd w:val="0"/>
      <w:spacing w:line="360" w:lineRule="auto"/>
      <w:jc w:val="left"/>
    </w:pPr>
    <w:rPr>
      <w:b/>
      <w:kern w:val="0"/>
      <w:sz w:val="21"/>
    </w:rPr>
  </w:style>
  <w:style w:type="paragraph" w:customStyle="1" w:styleId="170">
    <w:name w:val="操作步骤"/>
    <w:basedOn w:val="1"/>
    <w:uiPriority w:val="0"/>
    <w:pPr>
      <w:numPr>
        <w:ilvl w:val="0"/>
        <w:numId w:val="12"/>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71">
    <w:name w:val="图例"/>
    <w:basedOn w:val="1"/>
    <w:uiPriority w:val="0"/>
    <w:pPr>
      <w:spacing w:before="120" w:after="120" w:line="360" w:lineRule="auto"/>
      <w:jc w:val="center"/>
    </w:pPr>
    <w:rPr>
      <w:rFonts w:eastAsia="仿宋_GB2312"/>
      <w:b/>
      <w:sz w:val="24"/>
    </w:rPr>
  </w:style>
  <w:style w:type="paragraph" w:customStyle="1" w:styleId="172">
    <w:name w:val="没有缩进（为图形使用）"/>
    <w:basedOn w:val="1"/>
    <w:qFormat/>
    <w:uiPriority w:val="0"/>
    <w:pPr>
      <w:spacing w:before="120" w:after="120" w:line="360" w:lineRule="auto"/>
    </w:pPr>
    <w:rPr>
      <w:sz w:val="24"/>
    </w:rPr>
  </w:style>
  <w:style w:type="paragraph" w:customStyle="1" w:styleId="173">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74">
    <w:name w:val="首行缩进"/>
    <w:basedOn w:val="1"/>
    <w:uiPriority w:val="0"/>
    <w:pPr>
      <w:spacing w:line="360" w:lineRule="auto"/>
      <w:ind w:firstLine="420" w:firstLineChars="200"/>
    </w:pPr>
    <w:rPr>
      <w:sz w:val="21"/>
    </w:rPr>
  </w:style>
  <w:style w:type="paragraph" w:customStyle="1" w:styleId="175">
    <w:name w:val="样式4"/>
    <w:basedOn w:val="7"/>
    <w:qFormat/>
    <w:uiPriority w:val="0"/>
    <w:pPr>
      <w:numPr>
        <w:numId w:val="0"/>
      </w:numPr>
      <w:adjustRightInd w:val="0"/>
      <w:snapToGrid w:val="0"/>
      <w:spacing w:before="280" w:line="372" w:lineRule="auto"/>
    </w:pPr>
  </w:style>
  <w:style w:type="paragraph" w:customStyle="1" w:styleId="176">
    <w:name w:val="默认段落字体 Para Char Char Char Char Char Char Char"/>
    <w:basedOn w:val="1"/>
    <w:qFormat/>
    <w:uiPriority w:val="0"/>
    <w:rPr>
      <w:rFonts w:ascii="Tahoma" w:hAnsi="Tahoma"/>
      <w:sz w:val="24"/>
    </w:rPr>
  </w:style>
  <w:style w:type="paragraph" w:customStyle="1" w:styleId="177">
    <w:name w:val="首行缩进 1"/>
    <w:basedOn w:val="1"/>
    <w:uiPriority w:val="0"/>
    <w:pPr>
      <w:spacing w:after="120" w:line="360" w:lineRule="auto"/>
      <w:ind w:firstLine="200" w:firstLineChars="200"/>
    </w:pPr>
    <w:rPr>
      <w:sz w:val="24"/>
    </w:rPr>
  </w:style>
  <w:style w:type="paragraph" w:customStyle="1" w:styleId="178">
    <w:name w:val="Style Heading 3h3Heading 3 - oldLevel 3 HeadH3level_3PIM 3se..."/>
    <w:basedOn w:val="6"/>
    <w:uiPriority w:val="0"/>
    <w:pPr>
      <w:numPr>
        <w:ilvl w:val="2"/>
        <w:numId w:val="7"/>
      </w:numPr>
      <w:jc w:val="both"/>
    </w:pPr>
    <w:rPr>
      <w:sz w:val="32"/>
    </w:rPr>
  </w:style>
  <w:style w:type="paragraph" w:customStyle="1" w:styleId="179">
    <w:name w:val="文章正文"/>
    <w:basedOn w:val="1"/>
    <w:qFormat/>
    <w:uiPriority w:val="0"/>
    <w:pPr>
      <w:ind w:firstLine="560" w:firstLineChars="200"/>
    </w:pPr>
    <w:rPr>
      <w:rFonts w:ascii="仿宋_GB2312" w:hAnsi="宋体" w:eastAsia="仿宋_GB2312"/>
      <w:color w:val="000000"/>
    </w:rPr>
  </w:style>
  <w:style w:type="paragraph" w:customStyle="1" w:styleId="180">
    <w:name w:val="正文字缩2字"/>
    <w:basedOn w:val="1"/>
    <w:qFormat/>
    <w:uiPriority w:val="0"/>
    <w:pPr>
      <w:spacing w:before="60" w:after="60" w:line="360" w:lineRule="auto"/>
      <w:ind w:left="200" w:leftChars="200" w:firstLine="200" w:firstLineChars="200"/>
    </w:pPr>
    <w:rPr>
      <w:sz w:val="24"/>
    </w:rPr>
  </w:style>
  <w:style w:type="paragraph" w:customStyle="1" w:styleId="181">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82">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83">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84">
    <w:name w:val="内容标题"/>
    <w:basedOn w:val="19"/>
    <w:uiPriority w:val="0"/>
    <w:rPr>
      <w:rFonts w:ascii="Tahoma" w:hAnsi="Tahoma"/>
      <w:sz w:val="24"/>
    </w:rPr>
  </w:style>
  <w:style w:type="paragraph" w:customStyle="1" w:styleId="185">
    <w:name w:val="Char"/>
    <w:basedOn w:val="1"/>
    <w:uiPriority w:val="0"/>
    <w:pPr>
      <w:widowControl/>
      <w:spacing w:line="400" w:lineRule="exact"/>
      <w:jc w:val="center"/>
    </w:pPr>
    <w:rPr>
      <w:sz w:val="24"/>
    </w:rPr>
  </w:style>
  <w:style w:type="paragraph" w:customStyle="1" w:styleId="186">
    <w:name w:val="列表项目"/>
    <w:basedOn w:val="1"/>
    <w:uiPriority w:val="0"/>
    <w:pPr>
      <w:numPr>
        <w:ilvl w:val="0"/>
        <w:numId w:val="13"/>
      </w:numPr>
      <w:tabs>
        <w:tab w:val="left" w:pos="420"/>
        <w:tab w:val="clear" w:pos="980"/>
      </w:tabs>
      <w:spacing w:line="288" w:lineRule="auto"/>
      <w:ind w:left="840" w:leftChars="200" w:hanging="420" w:hangingChars="200"/>
    </w:pPr>
    <w:rPr>
      <w:sz w:val="21"/>
    </w:rPr>
  </w:style>
  <w:style w:type="paragraph" w:customStyle="1" w:styleId="187">
    <w:name w:val="Note"/>
    <w:basedOn w:val="1"/>
    <w:uiPriority w:val="0"/>
    <w:pPr>
      <w:pBdr>
        <w:top w:val="single" w:color="auto" w:sz="12" w:space="3"/>
        <w:bottom w:val="single" w:color="auto" w:sz="12" w:space="3"/>
      </w:pBdr>
      <w:spacing w:line="360" w:lineRule="auto"/>
    </w:pPr>
    <w:rPr>
      <w:sz w:val="24"/>
    </w:rPr>
  </w:style>
  <w:style w:type="paragraph" w:customStyle="1" w:styleId="188">
    <w:name w:val="章标题"/>
    <w:next w:val="1"/>
    <w:qFormat/>
    <w:uiPriority w:val="0"/>
    <w:pPr>
      <w:numPr>
        <w:ilvl w:val="1"/>
        <w:numId w:val="14"/>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189">
    <w:name w:val=" Char Char Char Char Char Char1 Char"/>
    <w:basedOn w:val="1"/>
    <w:uiPriority w:val="0"/>
    <w:pPr>
      <w:widowControl/>
      <w:spacing w:after="160" w:line="240" w:lineRule="exact"/>
      <w:jc w:val="left"/>
    </w:pPr>
    <w:rPr>
      <w:rFonts w:ascii="Verdana" w:hAnsi="Verdana"/>
      <w:kern w:val="0"/>
      <w:sz w:val="21"/>
      <w:lang w:eastAsia="en-US"/>
    </w:rPr>
  </w:style>
  <w:style w:type="paragraph" w:customStyle="1" w:styleId="190">
    <w:name w:val="正文1"/>
    <w:basedOn w:val="1"/>
    <w:qFormat/>
    <w:uiPriority w:val="0"/>
    <w:pPr>
      <w:spacing w:line="300" w:lineRule="auto"/>
      <w:ind w:firstLine="200" w:firstLineChars="200"/>
    </w:pPr>
    <w:rPr>
      <w:sz w:val="24"/>
    </w:rPr>
  </w:style>
  <w:style w:type="paragraph" w:customStyle="1" w:styleId="191">
    <w:name w:val="Table Text"/>
    <w:uiPriority w:val="0"/>
    <w:pPr>
      <w:snapToGrid w:val="0"/>
      <w:spacing w:before="80" w:after="80"/>
    </w:pPr>
    <w:rPr>
      <w:rFonts w:ascii="Arial" w:hAnsi="Arial" w:eastAsia="宋体" w:cs="Times New Roman"/>
      <w:kern w:val="2"/>
      <w:sz w:val="18"/>
      <w:lang w:val="en-US" w:eastAsia="zh-CN" w:bidi="ar-SA"/>
    </w:rPr>
  </w:style>
  <w:style w:type="paragraph" w:customStyle="1" w:styleId="192">
    <w:name w:val="文档正文 Char Char Char Char"/>
    <w:basedOn w:val="1"/>
    <w:uiPriority w:val="0"/>
    <w:pPr>
      <w:adjustRightInd w:val="0"/>
      <w:spacing w:line="440" w:lineRule="exact"/>
      <w:ind w:firstLine="420"/>
      <w:textAlignment w:val="baseline"/>
    </w:pPr>
    <w:rPr>
      <w:rFonts w:ascii="Arial Narrow" w:hAnsi="Arial Narrow"/>
      <w:kern w:val="0"/>
      <w:sz w:val="24"/>
    </w:rPr>
  </w:style>
  <w:style w:type="paragraph" w:customStyle="1" w:styleId="193">
    <w:name w:val=" Char"/>
    <w:basedOn w:val="1"/>
    <w:qFormat/>
    <w:uiPriority w:val="0"/>
    <w:pPr>
      <w:spacing w:line="240" w:lineRule="atLeast"/>
      <w:ind w:left="420" w:firstLine="420"/>
    </w:pPr>
    <w:rPr>
      <w:kern w:val="0"/>
      <w:sz w:val="21"/>
    </w:rPr>
  </w:style>
  <w:style w:type="paragraph" w:customStyle="1" w:styleId="194">
    <w:name w:val="简单回函地址"/>
    <w:basedOn w:val="1"/>
    <w:uiPriority w:val="0"/>
    <w:pPr>
      <w:adjustRightInd w:val="0"/>
      <w:snapToGrid w:val="0"/>
      <w:spacing w:line="360" w:lineRule="auto"/>
    </w:pPr>
    <w:rPr>
      <w:sz w:val="24"/>
    </w:rPr>
  </w:style>
  <w:style w:type="paragraph" w:customStyle="1" w:styleId="195">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96">
    <w:name w:val="二级列表"/>
    <w:basedOn w:val="110"/>
    <w:next w:val="110"/>
    <w:qFormat/>
    <w:uiPriority w:val="0"/>
    <w:pPr>
      <w:tabs>
        <w:tab w:val="left" w:pos="2120"/>
      </w:tabs>
      <w:ind w:firstLine="0" w:firstLineChars="0"/>
    </w:pPr>
    <w:rPr>
      <w:b/>
    </w:rPr>
  </w:style>
  <w:style w:type="paragraph" w:customStyle="1" w:styleId="197">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98">
    <w:name w:val="普通正文"/>
    <w:basedOn w:val="1"/>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99">
    <w:name w:val="正文4"/>
    <w:basedOn w:val="1"/>
    <w:uiPriority w:val="0"/>
    <w:pPr>
      <w:tabs>
        <w:tab w:val="left" w:pos="1275"/>
      </w:tabs>
      <w:spacing w:before="60" w:after="60" w:line="360" w:lineRule="auto"/>
      <w:ind w:left="820" w:leftChars="400" w:hanging="705"/>
    </w:pPr>
    <w:rPr>
      <w:sz w:val="24"/>
    </w:rPr>
  </w:style>
  <w:style w:type="paragraph" w:customStyle="1" w:styleId="200">
    <w:name w:val="表格文本"/>
    <w:qFormat/>
    <w:uiPriority w:val="0"/>
    <w:pPr>
      <w:tabs>
        <w:tab w:val="decimal" w:pos="0"/>
      </w:tabs>
    </w:pPr>
    <w:rPr>
      <w:rFonts w:ascii="Arial" w:hAnsi="Arial" w:eastAsia="宋体" w:cs="Times New Roman"/>
      <w:sz w:val="21"/>
      <w:lang w:val="en-US" w:eastAsia="zh-CN" w:bidi="ar-SA"/>
    </w:rPr>
  </w:style>
  <w:style w:type="paragraph" w:customStyle="1" w:styleId="201">
    <w:name w:val="00"/>
    <w:basedOn w:val="1"/>
    <w:uiPriority w:val="0"/>
    <w:pPr>
      <w:autoSpaceDE w:val="0"/>
      <w:autoSpaceDN w:val="0"/>
      <w:adjustRightInd w:val="0"/>
      <w:jc w:val="left"/>
    </w:pPr>
    <w:rPr>
      <w:rFonts w:ascii="黑体" w:eastAsia="黑体"/>
      <w:b/>
      <w:kern w:val="0"/>
      <w:sz w:val="20"/>
    </w:rPr>
  </w:style>
  <w:style w:type="paragraph" w:customStyle="1" w:styleId="202">
    <w:name w:val="关键词"/>
    <w:basedOn w:val="1"/>
    <w:next w:val="1"/>
    <w:qFormat/>
    <w:uiPriority w:val="0"/>
    <w:pPr>
      <w:spacing w:line="360" w:lineRule="auto"/>
    </w:pPr>
    <w:rPr>
      <w:rFonts w:eastAsia="黑体"/>
      <w:sz w:val="20"/>
    </w:rPr>
  </w:style>
  <w:style w:type="paragraph" w:customStyle="1" w:styleId="203">
    <w:name w:val="Char Char Char Char Char Char Char"/>
    <w:basedOn w:val="19"/>
    <w:uiPriority w:val="0"/>
    <w:rPr>
      <w:rFonts w:ascii="宋体" w:hAnsi="Tahoma"/>
    </w:rPr>
  </w:style>
  <w:style w:type="paragraph" w:customStyle="1" w:styleId="204">
    <w:name w:val="样式 标题 1章标题Heading 0Section HeadPIM 1H1h11st levell11H1..."/>
    <w:basedOn w:val="4"/>
    <w:uiPriority w:val="0"/>
    <w:pPr>
      <w:keepLines/>
      <w:pageBreakBefore/>
      <w:tabs>
        <w:tab w:val="left" w:pos="432"/>
        <w:tab w:val="clear" w:pos="3360"/>
      </w:tabs>
      <w:autoSpaceDE w:val="0"/>
      <w:autoSpaceDN w:val="0"/>
      <w:adjustRightInd w:val="0"/>
      <w:spacing w:beforeLines="0" w:afterLines="0" w:line="578" w:lineRule="atLeast"/>
      <w:jc w:val="both"/>
      <w:textAlignment w:val="bottom"/>
    </w:pPr>
    <w:rPr>
      <w:rFonts w:ascii="宋体" w:hAnsi="宋体"/>
      <w:b/>
      <w:kern w:val="44"/>
      <w:sz w:val="36"/>
    </w:rPr>
  </w:style>
  <w:style w:type="paragraph" w:customStyle="1" w:styleId="205">
    <w:name w:val=" Char1"/>
    <w:basedOn w:val="1"/>
    <w:uiPriority w:val="0"/>
    <w:rPr>
      <w:sz w:val="21"/>
    </w:rPr>
  </w:style>
  <w:style w:type="paragraph" w:customStyle="1" w:styleId="206">
    <w:name w:val="可研正文"/>
    <w:basedOn w:val="24"/>
    <w:qFormat/>
    <w:uiPriority w:val="0"/>
    <w:pPr>
      <w:adjustRightInd w:val="0"/>
      <w:snapToGrid w:val="0"/>
      <w:spacing w:line="440" w:lineRule="exact"/>
      <w:ind w:firstLine="567"/>
    </w:pPr>
    <w:rPr>
      <w:sz w:val="28"/>
    </w:rPr>
  </w:style>
  <w:style w:type="paragraph" w:customStyle="1" w:styleId="207">
    <w:name w:val=" Char Char1"/>
    <w:basedOn w:val="1"/>
    <w:qFormat/>
    <w:uiPriority w:val="0"/>
    <w:pPr>
      <w:widowControl/>
      <w:spacing w:after="160" w:line="240" w:lineRule="exact"/>
      <w:jc w:val="left"/>
    </w:pPr>
    <w:rPr>
      <w:rFonts w:ascii="Verdana" w:hAnsi="Verdana"/>
      <w:kern w:val="0"/>
      <w:sz w:val="20"/>
      <w:lang w:eastAsia="en-US"/>
    </w:rPr>
  </w:style>
  <w:style w:type="paragraph" w:customStyle="1" w:styleId="208">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09">
    <w:name w:val="缺省文本"/>
    <w:basedOn w:val="1"/>
    <w:uiPriority w:val="0"/>
    <w:pPr>
      <w:tabs>
        <w:tab w:val="left" w:pos="1260"/>
      </w:tabs>
      <w:autoSpaceDE w:val="0"/>
      <w:autoSpaceDN w:val="0"/>
      <w:adjustRightInd w:val="0"/>
      <w:spacing w:line="360" w:lineRule="auto"/>
      <w:jc w:val="left"/>
    </w:pPr>
    <w:rPr>
      <w:kern w:val="0"/>
      <w:sz w:val="24"/>
    </w:rPr>
  </w:style>
  <w:style w:type="paragraph" w:customStyle="1" w:styleId="210">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211">
    <w:name w:val="xl40"/>
    <w:basedOn w:val="1"/>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12">
    <w:name w:val="Table Heading"/>
    <w:uiPriority w:val="0"/>
    <w:pPr>
      <w:keepNext/>
      <w:snapToGrid w:val="0"/>
      <w:spacing w:before="80" w:after="80"/>
      <w:jc w:val="center"/>
    </w:pPr>
    <w:rPr>
      <w:rFonts w:ascii="Arial" w:hAnsi="Arial" w:eastAsia="黑体" w:cs="Times New Roman"/>
      <w:sz w:val="18"/>
      <w:lang w:val="en-US" w:eastAsia="zh-CN" w:bidi="ar-SA"/>
    </w:rPr>
  </w:style>
  <w:style w:type="paragraph" w:customStyle="1" w:styleId="213">
    <w:name w:val="样式 正文首行缩进 2 + 首行缩进:  2 字符"/>
    <w:basedOn w:val="1"/>
    <w:qFormat/>
    <w:uiPriority w:val="0"/>
    <w:pPr>
      <w:numPr>
        <w:ilvl w:val="0"/>
        <w:numId w:val="15"/>
      </w:numPr>
      <w:adjustRightInd w:val="0"/>
      <w:snapToGrid w:val="0"/>
      <w:spacing w:line="360" w:lineRule="auto"/>
    </w:pPr>
    <w:rPr>
      <w:rFonts w:ascii="Arial" w:hAnsi="Arial"/>
      <w:b/>
      <w:sz w:val="24"/>
    </w:rPr>
  </w:style>
  <w:style w:type="paragraph" w:customStyle="1" w:styleId="214">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15">
    <w:name w:val="正文表格"/>
    <w:basedOn w:val="1"/>
    <w:qFormat/>
    <w:uiPriority w:val="0"/>
    <w:pPr>
      <w:adjustRightInd w:val="0"/>
      <w:spacing w:before="40" w:after="40"/>
    </w:pPr>
    <w:rPr>
      <w:sz w:val="24"/>
    </w:rPr>
  </w:style>
  <w:style w:type="paragraph" w:customStyle="1" w:styleId="216">
    <w:name w:val="样式1xz"/>
    <w:basedOn w:val="1"/>
    <w:qFormat/>
    <w:uiPriority w:val="0"/>
    <w:pPr>
      <w:tabs>
        <w:tab w:val="left" w:pos="1050"/>
        <w:tab w:val="right" w:leader="dot" w:pos="8296"/>
      </w:tabs>
    </w:pPr>
    <w:rPr>
      <w:caps/>
      <w:spacing w:val="20"/>
      <w:sz w:val="24"/>
    </w:rPr>
  </w:style>
  <w:style w:type="paragraph" w:customStyle="1" w:styleId="217">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18">
    <w:name w:val="IN Feature"/>
    <w:next w:val="159"/>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19">
    <w:name w:val="tabletext"/>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4236</Words>
  <Characters>24147</Characters>
  <Lines>201</Lines>
  <Paragraphs>56</Paragraphs>
  <TotalTime>1</TotalTime>
  <ScaleCrop>false</ScaleCrop>
  <LinksUpToDate>false</LinksUpToDate>
  <CharactersWithSpaces>28327</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2021-04-10T06:08:00Z</dcterms:created>
  <dc:creator>admin</dc:creator>
  <cp:lastModifiedBy>user</cp:lastModifiedBy>
  <cp:lastPrinted>2020-11-12T07:32:00Z</cp:lastPrinted>
  <dcterms:modified xsi:type="dcterms:W3CDTF">2023-09-19T09:29:29Z</dcterms:modified>
  <dc:title>货物</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ies>
</file>